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333-232492</w:t>
      </w:r>
    </w:p>
    <w:p>
      <w:pPr>
        <w:spacing w:after="0" w:line="16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and are not soliciting an offer to buy these securities in any jurisdiction where such offer or sale is not permitted.</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DE1A1E"/>
        </w:rPr>
        <w:t>SUBJECT TO COMPLETION DATED DECEMBER 22, 2020</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August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356235</wp:posOffset>
            </wp:positionV>
            <wp:extent cx="161988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We are an internally managed, closed-end, non-diversified investment company that has elected to be treated as a business development company (“BDC”) under the Investment Company Act of 1940, as amended (the “1940 Act”). Our business strategy is to achieve our investment objective of producing attractive risk-adjusted returns by generating current income from our debt investments and capital appreciation from our equity and equity related investments.</w:t>
      </w:r>
    </w:p>
    <w:p>
      <w:pPr>
        <w:spacing w:after="0" w:line="77"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We are offering $ in aggregate principal amount of % notes due 2026, which we refer to as the Notes. The Notes will mature on , 2026. We will pay interest on the Notes on and of each year, beginning , 2021. We may redeem the Notes in whole or in part at any time or from time to time, at the redemption price set forth under the section titled</w:t>
      </w:r>
    </w:p>
    <w:p>
      <w:pPr>
        <w:spacing w:after="0" w:line="1" w:lineRule="exact"/>
        <w:rPr>
          <w:sz w:val="24"/>
          <w:szCs w:val="24"/>
          <w:color w:val="auto"/>
        </w:rPr>
      </w:pPr>
    </w:p>
    <w:p>
      <w:pPr>
        <w:jc w:val="both"/>
        <w:spacing w:after="0" w:line="248" w:lineRule="auto"/>
        <w:rPr>
          <w:sz w:val="20"/>
          <w:szCs w:val="20"/>
          <w:color w:val="auto"/>
        </w:rPr>
      </w:pPr>
      <w:r>
        <w:rPr>
          <w:rFonts w:ascii="Arial" w:cs="Arial" w:eastAsia="Arial" w:hAnsi="Arial"/>
          <w:sz w:val="14"/>
          <w:szCs w:val="14"/>
          <w:color w:val="auto"/>
        </w:rPr>
        <w:t>“Description of the Notes - 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83" w:lineRule="exact"/>
        <w:rPr>
          <w:sz w:val="24"/>
          <w:szCs w:val="24"/>
          <w:color w:val="auto"/>
        </w:rPr>
      </w:pPr>
    </w:p>
    <w:p>
      <w:pPr>
        <w:jc w:val="both"/>
        <w:spacing w:after="0" w:line="265" w:lineRule="auto"/>
        <w:rPr>
          <w:sz w:val="20"/>
          <w:szCs w:val="20"/>
          <w:color w:val="auto"/>
        </w:rPr>
      </w:pPr>
      <w:r>
        <w:rPr>
          <w:rFonts w:ascii="Arial" w:cs="Arial" w:eastAsia="Arial" w:hAnsi="Arial"/>
          <w:sz w:val="13"/>
          <w:szCs w:val="13"/>
          <w:color w:val="auto"/>
        </w:rPr>
        <w:t xml:space="preserve">The Notes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which means equal in right of payment, with all outstanding and future unsecured unsubordinated indebtedness issued by us, including our 5.95% Notes due 2022 (the “2022 Notes”), of which $37.1 million in aggregate principal amount was outstanding as of December 21, 2020, and our 5.375% Notes due 2024 (the “2024 Notes”), of which $125.0 million in aggregate principal amount was outstanding as of December 21, 2020. Because the Notes will not be secured by any of our assets, they will be effectively subordinated to all of our existing and future secured indebtedness (or any indebtedness that is initially unsecured as to which we subsequently grant security), to the extent of the value of the assets securing such indebtedness, including, without limitation, borrowings under our senior secured revolving credit facility, as amended, or the Credit Facility, of which we had $215.0 million outstanding as of December 21, 2020. The Notes will be structurally subordinated to all existing and future indebtedness and other obligations of any of our subsidiaries since the Notes are obligations exclusively of Capital Southwest Corporation and not of any of our subsidiaries. None of our subsidiaries is a guarantor of the Notes and the Notes will not be required to be guaranteed by any subsidiary we may acquire or create in the future.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Notes, and any assets of our subsidiaries will not be directly available to satisfy the claims of our creditors, including holders of the Notes. For further discussion, see the section titled “Description of the Notes” in this prospectus supplement.</w:t>
      </w:r>
    </w:p>
    <w:p>
      <w:pPr>
        <w:spacing w:after="0" w:line="74"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 xml:space="preserve">The Notes will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or equal to, our general liabilities (other than amounts outstanding under our Credit Facility). In total, these general liabilities were $194.3 million as of September 30, 2020. We currently do not have outstanding debt that is subordinated to the Notes and do not currently intend to issue indebtedness that expressly provides that it is subordinated to the Notes. Therefore, the Notes will not be senior to any of our indebtedness or obligations.</w:t>
      </w:r>
    </w:p>
    <w:p>
      <w:pPr>
        <w:spacing w:after="0" w:line="77" w:lineRule="exact"/>
        <w:rPr>
          <w:sz w:val="24"/>
          <w:szCs w:val="24"/>
          <w:color w:val="auto"/>
        </w:rPr>
      </w:pPr>
    </w:p>
    <w:p>
      <w:pPr>
        <w:jc w:val="both"/>
        <w:spacing w:after="0" w:line="268" w:lineRule="auto"/>
        <w:rPr>
          <w:sz w:val="20"/>
          <w:szCs w:val="20"/>
          <w:color w:val="auto"/>
        </w:rPr>
      </w:pPr>
      <w:r>
        <w:rPr>
          <w:rFonts w:ascii="Arial" w:cs="Arial" w:eastAsia="Arial" w:hAnsi="Arial"/>
          <w:sz w:val="13"/>
          <w:szCs w:val="13"/>
          <w:color w:val="auto"/>
        </w:rPr>
        <w:t>This prospectus supplement and the accompanying prospectus, including the information incorporated by reference herein and therein, contain important information about us that a prospective investor should know before investing in the Notes. We may also authorize one or more free writing prospectuses to be provided to you in connection with this offering. You should carefully read this prospectus supplement, the accompanying prospectus, and any related free writing prospectus, and the documents incorporated by reference, before investing in the Notes. We file annual, quarterly and current reports, proxy statements and other information with the Securities and Exchange Commission, or the SEC. This information is available free of charge by contacting us at 5400 Lyndon B. Johnson Freeway, Suite 1300, Dallas, Texas 75240, or by telephone at (214) 238-5700 or on our website at www.capitalsouthwest.com. Information contained on our website is not incorporated by reference into this prospectus supplement or the accompanying prospectus, and you should not consider that information to be part of this prospectus supplement or the accompanying prospectus. The SEC also maintains a website at www.sec.gov that contains information about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2" w:lineRule="exact"/>
        <w:rPr>
          <w:sz w:val="24"/>
          <w:szCs w:val="24"/>
          <w:color w:val="auto"/>
        </w:rPr>
      </w:pPr>
    </w:p>
    <w:p>
      <w:pPr>
        <w:jc w:val="both"/>
        <w:spacing w:after="0" w:line="254"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a high degree of risk, and should be considered highly speculative. See “</w:t>
      </w:r>
      <w:hyperlink w:anchor="page10">
        <w:r>
          <w:rPr>
            <w:rFonts w:ascii="Arial" w:cs="Arial" w:eastAsia="Arial" w:hAnsi="Arial"/>
            <w:sz w:val="14"/>
            <w:szCs w:val="14"/>
            <w:b w:val="1"/>
            <w:bCs w:val="1"/>
            <w:u w:val="single" w:color="auto"/>
            <w:color w:val="0000FF"/>
          </w:rPr>
          <w:t>Supplementary 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beginning on page S-7 of this prospectus supplement and “</w:t>
      </w:r>
      <w:hyperlink w:anchor="page48">
        <w:r>
          <w:rPr>
            <w:rFonts w:ascii="Arial" w:cs="Arial" w:eastAsia="Arial" w:hAnsi="Arial"/>
            <w:sz w:val="14"/>
            <w:szCs w:val="14"/>
            <w:b w:val="1"/>
            <w:bCs w:val="1"/>
            <w:u w:val="single" w:color="auto"/>
            <w:color w:val="0000FF"/>
          </w:rPr>
          <w:t>Risk Factors</w:t>
        </w:r>
      </w:hyperlink>
      <w:r>
        <w:rPr>
          <w:rFonts w:ascii="Arial" w:cs="Arial" w:eastAsia="Arial" w:hAnsi="Arial"/>
          <w:sz w:val="14"/>
          <w:szCs w:val="14"/>
          <w:b w:val="1"/>
          <w:bCs w:val="1"/>
          <w:color w:val="auto"/>
        </w:rPr>
        <w:t>” beginning on page 6 of the accompanying prospectus and in our most recent Annual Report on Form 10-K, and under similar headings in the other documents that are filed after the date hereof and incorporated by reference into this prospectus supplement and the accompanying prospectus to read about factors you should consider, including the risk of leverage, before investing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-332105</wp:posOffset>
            </wp:positionV>
            <wp:extent cx="31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37" w:right="33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4"/>
          <w:szCs w:val="14"/>
          <w:b w:val="1"/>
          <w:bCs w:val="1"/>
          <w:i w:val="1"/>
          <w:i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64"/>
        </w:trPr>
        <w:tc>
          <w:tcPr>
            <w:tcW w:w="5580" w:type="dxa"/>
            <w:vAlign w:val="bottom"/>
          </w:tcPr>
          <w:p>
            <w:pPr>
              <w:spacing w:after="0"/>
              <w:rPr>
                <w:sz w:val="14"/>
                <w:szCs w:val="14"/>
                <w:color w:val="auto"/>
              </w:rPr>
            </w:pPr>
          </w:p>
        </w:tc>
        <w:tc>
          <w:tcPr>
            <w:tcW w:w="2780" w:type="dxa"/>
            <w:vAlign w:val="bottom"/>
          </w:tcPr>
          <w:p>
            <w:pPr>
              <w:jc w:val="right"/>
              <w:ind w:right="557"/>
              <w:spacing w:after="0"/>
              <w:rPr>
                <w:sz w:val="20"/>
                <w:szCs w:val="20"/>
                <w:color w:val="auto"/>
              </w:rPr>
            </w:pPr>
            <w:r>
              <w:rPr>
                <w:rFonts w:ascii="Arial" w:cs="Arial" w:eastAsia="Arial" w:hAnsi="Arial"/>
                <w:sz w:val="13"/>
                <w:szCs w:val="13"/>
                <w:b w:val="1"/>
                <w:bCs w:val="1"/>
                <w:color w:val="auto"/>
              </w:rPr>
              <w:t>Per Note</w:t>
            </w:r>
          </w:p>
        </w:tc>
        <w:tc>
          <w:tcPr>
            <w:tcW w:w="1740" w:type="dxa"/>
            <w:vAlign w:val="bottom"/>
          </w:tcPr>
          <w:p>
            <w:pPr>
              <w:jc w:val="right"/>
              <w:ind w:right="597"/>
              <w:spacing w:after="0"/>
              <w:rPr>
                <w:sz w:val="20"/>
                <w:szCs w:val="20"/>
                <w:color w:val="auto"/>
              </w:rPr>
            </w:pPr>
            <w:r>
              <w:rPr>
                <w:rFonts w:ascii="Arial" w:cs="Arial" w:eastAsia="Arial" w:hAnsi="Arial"/>
                <w:sz w:val="13"/>
                <w:szCs w:val="13"/>
                <w:b w:val="1"/>
                <w:bCs w:val="1"/>
                <w:color w:val="auto"/>
              </w:rPr>
              <w:t>Total</w:t>
            </w:r>
          </w:p>
        </w:tc>
      </w:tr>
      <w:tr>
        <w:trPr>
          <w:trHeight w:val="83"/>
        </w:trPr>
        <w:tc>
          <w:tcPr>
            <w:tcW w:w="558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r>
        <w:trPr>
          <w:trHeight w:val="154"/>
        </w:trPr>
        <w:tc>
          <w:tcPr>
            <w:tcW w:w="5580" w:type="dxa"/>
            <w:vAlign w:val="bottom"/>
          </w:tcPr>
          <w:p>
            <w:pPr>
              <w:spacing w:after="0"/>
              <w:rPr>
                <w:sz w:val="20"/>
                <w:szCs w:val="20"/>
                <w:color w:val="auto"/>
              </w:rPr>
            </w:pPr>
            <w:r>
              <w:rPr>
                <w:rFonts w:ascii="Arial" w:cs="Arial" w:eastAsia="Arial" w:hAnsi="Arial"/>
                <w:sz w:val="13"/>
                <w:szCs w:val="13"/>
                <w:color w:val="auto"/>
              </w:rPr>
              <w:t>Public offering price</w:t>
            </w:r>
          </w:p>
        </w:tc>
        <w:tc>
          <w:tcPr>
            <w:tcW w:w="278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1097"/>
              <w:spacing w:after="0"/>
              <w:rPr>
                <w:sz w:val="20"/>
                <w:szCs w:val="20"/>
                <w:color w:val="auto"/>
              </w:rPr>
            </w:pPr>
            <w:r>
              <w:rPr>
                <w:rFonts w:ascii="Arial" w:cs="Arial" w:eastAsia="Arial" w:hAnsi="Arial"/>
                <w:sz w:val="13"/>
                <w:szCs w:val="13"/>
                <w:color w:val="auto"/>
              </w:rPr>
              <w:t>$</w:t>
            </w:r>
          </w:p>
        </w:tc>
      </w:tr>
      <w:tr>
        <w:trPr>
          <w:trHeight w:val="83"/>
        </w:trPr>
        <w:tc>
          <w:tcPr>
            <w:tcW w:w="558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r>
        <w:trPr>
          <w:trHeight w:val="154"/>
        </w:trPr>
        <w:tc>
          <w:tcPr>
            <w:tcW w:w="5580" w:type="dxa"/>
            <w:vAlign w:val="bottom"/>
          </w:tcPr>
          <w:p>
            <w:pPr>
              <w:spacing w:after="0"/>
              <w:rPr>
                <w:sz w:val="20"/>
                <w:szCs w:val="20"/>
                <w:color w:val="auto"/>
              </w:rPr>
            </w:pPr>
            <w:r>
              <w:rPr>
                <w:rFonts w:ascii="Arial" w:cs="Arial" w:eastAsia="Arial" w:hAnsi="Arial"/>
                <w:sz w:val="13"/>
                <w:szCs w:val="13"/>
                <w:color w:val="auto"/>
              </w:rPr>
              <w:t>Underwriting discount (sales load)</w:t>
            </w:r>
          </w:p>
        </w:tc>
        <w:tc>
          <w:tcPr>
            <w:tcW w:w="278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1097"/>
              <w:spacing w:after="0"/>
              <w:rPr>
                <w:sz w:val="20"/>
                <w:szCs w:val="20"/>
                <w:color w:val="auto"/>
              </w:rPr>
            </w:pPr>
            <w:r>
              <w:rPr>
                <w:rFonts w:ascii="Arial" w:cs="Arial" w:eastAsia="Arial" w:hAnsi="Arial"/>
                <w:sz w:val="13"/>
                <w:szCs w:val="13"/>
                <w:color w:val="auto"/>
              </w:rPr>
              <w:t>$</w:t>
            </w:r>
          </w:p>
        </w:tc>
      </w:tr>
      <w:tr>
        <w:trPr>
          <w:trHeight w:val="83"/>
        </w:trPr>
        <w:tc>
          <w:tcPr>
            <w:tcW w:w="558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r>
        <w:trPr>
          <w:trHeight w:val="154"/>
        </w:trPr>
        <w:tc>
          <w:tcPr>
            <w:tcW w:w="5580" w:type="dxa"/>
            <w:vAlign w:val="bottom"/>
          </w:tcPr>
          <w:p>
            <w:pPr>
              <w:spacing w:after="0"/>
              <w:rPr>
                <w:sz w:val="20"/>
                <w:szCs w:val="20"/>
                <w:color w:val="auto"/>
              </w:rPr>
            </w:pPr>
            <w:r>
              <w:rPr>
                <w:rFonts w:ascii="Arial" w:cs="Arial" w:eastAsia="Arial" w:hAnsi="Arial"/>
                <w:sz w:val="13"/>
                <w:szCs w:val="13"/>
                <w:color w:val="auto"/>
              </w:rPr>
              <w:t>Proceeds to Capital Southwest Corporation (before estimated expenses of $ )</w:t>
            </w:r>
          </w:p>
        </w:tc>
        <w:tc>
          <w:tcPr>
            <w:tcW w:w="278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1097"/>
              <w:spacing w:after="0"/>
              <w:rPr>
                <w:sz w:val="20"/>
                <w:szCs w:val="20"/>
                <w:color w:val="auto"/>
              </w:rPr>
            </w:pPr>
            <w:r>
              <w:rPr>
                <w:rFonts w:ascii="Arial" w:cs="Arial" w:eastAsia="Arial" w:hAnsi="Arial"/>
                <w:sz w:val="13"/>
                <w:szCs w:val="13"/>
                <w:color w:val="auto"/>
              </w:rPr>
              <w:t>$</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The public offering price set forth above does not include accrued interest, if any. Interest on the Notes will accrue from December , 2020 and must be paid by the purchaser if the Notes are delivered after December , 2020.</w:t>
      </w:r>
    </w:p>
    <w:p>
      <w:pPr>
        <w:spacing w:after="0" w:line="336" w:lineRule="exact"/>
        <w:rPr>
          <w:sz w:val="20"/>
          <w:szCs w:val="20"/>
          <w:color w:val="auto"/>
        </w:rPr>
      </w:pPr>
    </w:p>
    <w:p>
      <w:pPr>
        <w:spacing w:after="0" w:line="279"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20" w:type="dxa"/>
            <w:vAlign w:val="bottom"/>
          </w:tcPr>
          <w:p>
            <w:pPr>
              <w:spacing w:after="0"/>
              <w:rPr>
                <w:sz w:val="20"/>
                <w:szCs w:val="20"/>
                <w:color w:val="auto"/>
              </w:rPr>
            </w:pPr>
            <w:r>
              <w:rPr>
                <w:rFonts w:ascii="Arial" w:cs="Arial" w:eastAsia="Arial" w:hAnsi="Arial"/>
                <w:sz w:val="14"/>
                <w:szCs w:val="14"/>
                <w:color w:val="auto"/>
              </w:rPr>
              <w:t>Delivery of the Notes in book-entry form only through The Depository Trust Company, or DTC, will be made on or about</w:t>
            </w:r>
          </w:p>
        </w:tc>
        <w:tc>
          <w:tcPr>
            <w:tcW w:w="760" w:type="dxa"/>
            <w:vAlign w:val="bottom"/>
          </w:tcPr>
          <w:p>
            <w:pPr>
              <w:jc w:val="right"/>
              <w:spacing w:after="0"/>
              <w:rPr>
                <w:sz w:val="20"/>
                <w:szCs w:val="20"/>
                <w:color w:val="auto"/>
              </w:rPr>
            </w:pPr>
            <w:r>
              <w:rPr>
                <w:rFonts w:ascii="Arial" w:cs="Arial" w:eastAsia="Arial" w:hAnsi="Arial"/>
                <w:sz w:val="14"/>
                <w:szCs w:val="14"/>
                <w:color w:val="auto"/>
              </w:rPr>
              <w:t>, 2020.</w:t>
            </w: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Sole Book-Running Manager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Raymond James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880" w:type="dxa"/>
        <w:tblCellMar>
          <w:top w:w="0" w:type="dxa"/>
          <w:left w:w="0" w:type="dxa"/>
          <w:bottom w:w="0" w:type="dxa"/>
          <w:right w:w="0" w:type="dxa"/>
        </w:tblCellMar>
      </w:tblPr>
      <w:tr>
        <w:trPr>
          <w:trHeight w:val="182"/>
        </w:trPr>
        <w:tc>
          <w:tcPr>
            <w:tcW w:w="2760" w:type="dxa"/>
            <w:vAlign w:val="bottom"/>
          </w:tcPr>
          <w:p>
            <w:pPr>
              <w:spacing w:after="0"/>
              <w:rPr>
                <w:sz w:val="20"/>
                <w:szCs w:val="20"/>
                <w:color w:val="auto"/>
              </w:rPr>
            </w:pPr>
            <w:r>
              <w:rPr>
                <w:rFonts w:ascii="Arial" w:cs="Arial" w:eastAsia="Arial" w:hAnsi="Arial"/>
                <w:sz w:val="14"/>
                <w:szCs w:val="14"/>
                <w:color w:val="auto"/>
              </w:rPr>
              <w:t>The date of this prospectus supplement is</w:t>
            </w:r>
          </w:p>
        </w:tc>
        <w:tc>
          <w:tcPr>
            <w:tcW w:w="740" w:type="dxa"/>
            <w:vAlign w:val="bottom"/>
          </w:tcPr>
          <w:p>
            <w:pPr>
              <w:jc w:val="right"/>
              <w:spacing w:after="0"/>
              <w:rPr>
                <w:sz w:val="20"/>
                <w:szCs w:val="20"/>
                <w:color w:val="auto"/>
              </w:rPr>
            </w:pPr>
            <w:r>
              <w:rPr>
                <w:rFonts w:ascii="Arial" w:cs="Arial" w:eastAsia="Arial" w:hAnsi="Arial"/>
                <w:sz w:val="14"/>
                <w:szCs w:val="14"/>
                <w:color w:val="auto"/>
              </w:rPr>
              <w:t>,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TABLE OF CONTENTS</w:t>
            </w: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4"/>
        </w:trPr>
        <w:tc>
          <w:tcPr>
            <w:tcW w:w="8340" w:type="dxa"/>
            <w:vAlign w:val="bottom"/>
          </w:tcPr>
          <w:p>
            <w:pPr>
              <w:jc w:val="center"/>
              <w:ind w:left="2010"/>
              <w:spacing w:after="0"/>
              <w:rPr>
                <w:sz w:val="20"/>
                <w:szCs w:val="20"/>
                <w:color w:val="auto"/>
              </w:rPr>
            </w:pPr>
            <w:r>
              <w:rPr>
                <w:rFonts w:ascii="Arial" w:cs="Arial" w:eastAsia="Arial" w:hAnsi="Arial"/>
                <w:sz w:val="18"/>
                <w:szCs w:val="18"/>
                <w:b w:val="1"/>
                <w:bCs w:val="1"/>
                <w:color w:val="auto"/>
                <w:w w:val="87"/>
              </w:rPr>
              <w:t>Prospectus Supplement</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834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49"/>
        </w:trPr>
        <w:tc>
          <w:tcPr>
            <w:tcW w:w="834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ABOUT THIS PROSPECTUS SUPPLEMENT</w:t>
              </w:r>
            </w:hyperlink>
          </w:p>
        </w:tc>
        <w:tc>
          <w:tcPr>
            <w:tcW w:w="1740" w:type="dxa"/>
            <w:vAlign w:val="bottom"/>
          </w:tcPr>
          <w:p>
            <w:pPr>
              <w:spacing w:after="0"/>
              <w:rPr>
                <w:sz w:val="21"/>
                <w:szCs w:val="21"/>
                <w:color w:val="auto"/>
              </w:rPr>
            </w:pPr>
          </w:p>
        </w:tc>
        <w:tc>
          <w:tcPr>
            <w:tcW w:w="380" w:type="dxa"/>
            <w:vAlign w:val="bottom"/>
            <w:tcBorders>
              <w:top w:val="single" w:sz="8" w:color="auto"/>
            </w:tcBorders>
          </w:tcPr>
          <w:p>
            <w:pPr>
              <w:jc w:val="right"/>
              <w:spacing w:after="0"/>
              <w:rPr>
                <w:rFonts w:ascii="Arial" w:cs="Arial" w:eastAsia="Arial" w:hAnsi="Arial"/>
                <w:sz w:val="18"/>
                <w:szCs w:val="18"/>
                <w:color w:val="auto"/>
              </w:rPr>
            </w:pPr>
            <w:r>
              <w:rPr>
                <w:rFonts w:ascii="Arial" w:cs="Arial" w:eastAsia="Arial" w:hAnsi="Arial"/>
                <w:sz w:val="18"/>
                <w:szCs w:val="18"/>
                <w:color w:val="auto"/>
              </w:rPr>
              <w:t>S-</w:t>
            </w:r>
            <w:hyperlink w:anchor="page3">
              <w:r>
                <w:rPr>
                  <w:rFonts w:ascii="Arial" w:cs="Arial" w:eastAsia="Arial" w:hAnsi="Arial"/>
                  <w:sz w:val="18"/>
                  <w:szCs w:val="18"/>
                  <w:color w:val="auto"/>
                </w:rPr>
                <w:t>ii</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PROSPECTUS SUPPLEMENT SUMMARY</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S-</w:t>
            </w:r>
            <w:hyperlink w:anchor="page4">
              <w:r>
                <w:rPr>
                  <w:rFonts w:ascii="Arial" w:cs="Arial" w:eastAsia="Arial" w:hAnsi="Arial"/>
                  <w:sz w:val="18"/>
                  <w:szCs w:val="18"/>
                  <w:color w:val="auto"/>
                </w:rPr>
                <w:t>1</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TERMS OF THE NOTES OFFERING</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S-</w:t>
            </w:r>
            <w:hyperlink w:anchor="page6">
              <w:r>
                <w:rPr>
                  <w:rFonts w:ascii="Arial" w:cs="Arial" w:eastAsia="Arial" w:hAnsi="Arial"/>
                  <w:sz w:val="18"/>
                  <w:szCs w:val="18"/>
                  <w:color w:val="auto"/>
                </w:rPr>
                <w:t>3</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SUPPLEMENTARY RISK FACTORS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S-</w:t>
            </w:r>
            <w:hyperlink w:anchor="page10">
              <w:r>
                <w:rPr>
                  <w:rFonts w:ascii="Arial" w:cs="Arial" w:eastAsia="Arial" w:hAnsi="Arial"/>
                  <w:sz w:val="18"/>
                  <w:szCs w:val="18"/>
                  <w:color w:val="auto"/>
                </w:rPr>
                <w:t>7</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SPECIAL NOTE REGARDING FORWARD-LOOKING STATEMENTS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14">
              <w:r>
                <w:rPr>
                  <w:rFonts w:ascii="Arial" w:cs="Arial" w:eastAsia="Arial" w:hAnsi="Arial"/>
                  <w:sz w:val="18"/>
                  <w:szCs w:val="18"/>
                  <w:color w:val="auto"/>
                  <w:w w:val="94"/>
                </w:rPr>
                <w:t>11</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USE OF PROCEEDS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15">
              <w:r>
                <w:rPr>
                  <w:rFonts w:ascii="Arial" w:cs="Arial" w:eastAsia="Arial" w:hAnsi="Arial"/>
                  <w:sz w:val="18"/>
                  <w:szCs w:val="18"/>
                  <w:color w:val="auto"/>
                  <w:w w:val="94"/>
                </w:rPr>
                <w:t>12</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CAPITALIZATION</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16">
              <w:r>
                <w:rPr>
                  <w:rFonts w:ascii="Arial" w:cs="Arial" w:eastAsia="Arial" w:hAnsi="Arial"/>
                  <w:sz w:val="18"/>
                  <w:szCs w:val="18"/>
                  <w:color w:val="auto"/>
                  <w:w w:val="94"/>
                </w:rPr>
                <w:t>13</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DESCRIPTION OF THE NOTES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17">
              <w:r>
                <w:rPr>
                  <w:rFonts w:ascii="Arial" w:cs="Arial" w:eastAsia="Arial" w:hAnsi="Arial"/>
                  <w:sz w:val="18"/>
                  <w:szCs w:val="18"/>
                  <w:color w:val="auto"/>
                  <w:w w:val="94"/>
                </w:rPr>
                <w:t>14</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CERTAIN U.S. FEDERAL INCOME TAX CONSEQUENCES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30">
              <w:r>
                <w:rPr>
                  <w:rFonts w:ascii="Arial" w:cs="Arial" w:eastAsia="Arial" w:hAnsi="Arial"/>
                  <w:sz w:val="18"/>
                  <w:szCs w:val="18"/>
                  <w:color w:val="auto"/>
                  <w:w w:val="94"/>
                </w:rPr>
                <w:t>27</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UNDERWRITING (CONFLICTS OF INTEREST)</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35">
              <w:r>
                <w:rPr>
                  <w:rFonts w:ascii="Arial" w:cs="Arial" w:eastAsia="Arial" w:hAnsi="Arial"/>
                  <w:sz w:val="18"/>
                  <w:szCs w:val="18"/>
                  <w:color w:val="auto"/>
                  <w:w w:val="94"/>
                </w:rPr>
                <w:t>32</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LEGAL MATTERS</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38">
              <w:r>
                <w:rPr>
                  <w:rFonts w:ascii="Arial" w:cs="Arial" w:eastAsia="Arial" w:hAnsi="Arial"/>
                  <w:sz w:val="18"/>
                  <w:szCs w:val="18"/>
                  <w:color w:val="auto"/>
                  <w:w w:val="94"/>
                </w:rPr>
                <w:t>35</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AVAILABLE INFORMATION</w:t>
              </w:r>
            </w:hyperlink>
          </w:p>
        </w:tc>
        <w:tc>
          <w:tcPr>
            <w:tcW w:w="1740" w:type="dxa"/>
            <w:vAlign w:val="bottom"/>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39">
              <w:r>
                <w:rPr>
                  <w:rFonts w:ascii="Arial" w:cs="Arial" w:eastAsia="Arial" w:hAnsi="Arial"/>
                  <w:sz w:val="18"/>
                  <w:szCs w:val="18"/>
                  <w:color w:val="auto"/>
                  <w:w w:val="94"/>
                </w:rPr>
                <w:t>36</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INCORPORATION BY REFERENCE</w:t>
              </w:r>
            </w:hyperlink>
          </w:p>
        </w:tc>
        <w:tc>
          <w:tcPr>
            <w:tcW w:w="1740" w:type="dxa"/>
            <w:vAlign w:val="bottom"/>
          </w:tcPr>
          <w:p>
            <w:pPr>
              <w:spacing w:after="0"/>
              <w:rPr>
                <w:sz w:val="20"/>
                <w:szCs w:val="20"/>
                <w:color w:val="auto"/>
              </w:rPr>
            </w:pPr>
          </w:p>
        </w:tc>
        <w:tc>
          <w:tcPr>
            <w:tcW w:w="380" w:type="dxa"/>
            <w:vAlign w:val="bottom"/>
          </w:tcPr>
          <w:p>
            <w:pPr>
              <w:jc w:val="right"/>
              <w:spacing w:after="0"/>
              <w:rPr>
                <w:rFonts w:ascii="Arial" w:cs="Arial" w:eastAsia="Arial" w:hAnsi="Arial"/>
                <w:sz w:val="18"/>
                <w:szCs w:val="18"/>
                <w:color w:val="auto"/>
                <w:w w:val="94"/>
              </w:rPr>
            </w:pPr>
            <w:r>
              <w:rPr>
                <w:rFonts w:ascii="Arial" w:cs="Arial" w:eastAsia="Arial" w:hAnsi="Arial"/>
                <w:sz w:val="18"/>
                <w:szCs w:val="18"/>
                <w:color w:val="auto"/>
                <w:w w:val="94"/>
              </w:rPr>
              <w:t>S-</w:t>
            </w:r>
            <w:hyperlink w:anchor="page40">
              <w:r>
                <w:rPr>
                  <w:rFonts w:ascii="Arial" w:cs="Arial" w:eastAsia="Arial" w:hAnsi="Arial"/>
                  <w:sz w:val="18"/>
                  <w:szCs w:val="18"/>
                  <w:color w:val="auto"/>
                  <w:w w:val="94"/>
                </w:rPr>
                <w:t>37</w:t>
              </w:r>
            </w:hyperlink>
          </w:p>
        </w:tc>
      </w:tr>
      <w:tr>
        <w:trPr>
          <w:trHeight w:val="540"/>
        </w:trPr>
        <w:tc>
          <w:tcPr>
            <w:tcW w:w="8340" w:type="dxa"/>
            <w:vAlign w:val="bottom"/>
          </w:tcPr>
          <w:p>
            <w:pPr>
              <w:jc w:val="center"/>
              <w:ind w:left="2010"/>
              <w:spacing w:after="0"/>
              <w:rPr>
                <w:sz w:val="20"/>
                <w:szCs w:val="20"/>
                <w:color w:val="auto"/>
              </w:rPr>
            </w:pPr>
            <w:r>
              <w:rPr>
                <w:rFonts w:ascii="Arial" w:cs="Arial" w:eastAsia="Arial" w:hAnsi="Arial"/>
                <w:sz w:val="18"/>
                <w:szCs w:val="18"/>
                <w:b w:val="1"/>
                <w:bCs w:val="1"/>
                <w:color w:val="auto"/>
                <w:w w:val="85"/>
              </w:rPr>
              <w:t>Prospectus</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0"/>
        </w:trPr>
        <w:tc>
          <w:tcPr>
            <w:tcW w:w="8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49"/>
        </w:trPr>
        <w:tc>
          <w:tcPr>
            <w:tcW w:w="834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PROSPECTUS SUMMARY</w:t>
              </w:r>
            </w:hyperlink>
          </w:p>
        </w:tc>
        <w:tc>
          <w:tcPr>
            <w:tcW w:w="2120" w:type="dxa"/>
            <w:vAlign w:val="bottom"/>
            <w:gridSpan w:val="2"/>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1</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FEES AND EXPENSES</w:t>
              </w:r>
            </w:hyperlink>
          </w:p>
        </w:tc>
        <w:tc>
          <w:tcPr>
            <w:tcW w:w="212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212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6</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CAUTIONARY STATEMENT CONCERNING FORWARD-LOOKING STATEMENTS</w:t>
              </w:r>
            </w:hyperlink>
          </w:p>
        </w:tc>
        <w:tc>
          <w:tcPr>
            <w:tcW w:w="212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7</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USE OF PROCEEDS</w:t>
              </w:r>
            </w:hyperlink>
          </w:p>
        </w:tc>
        <w:tc>
          <w:tcPr>
            <w:tcW w:w="212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8</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PRICE RANGE OF COMMON STOCK AND DISTRIBUTIONS</w:t>
              </w:r>
            </w:hyperlink>
          </w:p>
        </w:tc>
        <w:tc>
          <w:tcPr>
            <w:tcW w:w="212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9</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SENIOR SECURITIES</w:t>
              </w:r>
            </w:hyperlink>
          </w:p>
        </w:tc>
        <w:tc>
          <w:tcPr>
            <w:tcW w:w="212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12</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PORTFOLIO COMPANIES</w:t>
              </w:r>
            </w:hyperlink>
          </w:p>
        </w:tc>
        <w:tc>
          <w:tcPr>
            <w:tcW w:w="212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13</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SALES OF COMMON STOCK BELOW NET ASSET VALUE</w:t>
              </w:r>
            </w:hyperlink>
          </w:p>
        </w:tc>
        <w:tc>
          <w:tcPr>
            <w:tcW w:w="212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20</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DIVIDEND REINVESTMENT PLAN</w:t>
              </w:r>
            </w:hyperlink>
          </w:p>
        </w:tc>
        <w:tc>
          <w:tcPr>
            <w:tcW w:w="2120" w:type="dxa"/>
            <w:vAlign w:val="bottom"/>
            <w:gridSpan w:val="2"/>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26</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DESCRIPTION OF COMMON STOCK</w:t>
              </w:r>
            </w:hyperlink>
          </w:p>
        </w:tc>
        <w:tc>
          <w:tcPr>
            <w:tcW w:w="2120" w:type="dxa"/>
            <w:vAlign w:val="bottom"/>
            <w:gridSpan w:val="2"/>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27</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DESCRIPTION OF OUR DEBT SECURITIES</w:t>
              </w:r>
            </w:hyperlink>
          </w:p>
        </w:tc>
        <w:tc>
          <w:tcPr>
            <w:tcW w:w="2120" w:type="dxa"/>
            <w:vAlign w:val="bottom"/>
            <w:gridSpan w:val="2"/>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30</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CERTAIN U.S. FEDERAL INCOME TAX CONSIDERATIONS</w:t>
              </w:r>
            </w:hyperlink>
          </w:p>
        </w:tc>
        <w:tc>
          <w:tcPr>
            <w:tcW w:w="2120" w:type="dxa"/>
            <w:vAlign w:val="bottom"/>
            <w:gridSpan w:val="2"/>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41</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PLAN OF DISTRIBUTION</w:t>
              </w:r>
            </w:hyperlink>
          </w:p>
        </w:tc>
        <w:tc>
          <w:tcPr>
            <w:tcW w:w="2120" w:type="dxa"/>
            <w:vAlign w:val="bottom"/>
            <w:gridSpan w:val="2"/>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49</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CUSTODIAN, TRANSFER AND DISTRIBUTION PAYING AGENT AND REGISTRAR</w:t>
              </w:r>
            </w:hyperlink>
          </w:p>
        </w:tc>
        <w:tc>
          <w:tcPr>
            <w:tcW w:w="2120" w:type="dxa"/>
            <w:vAlign w:val="bottom"/>
            <w:gridSpan w:val="2"/>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51</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BROKERAGE ALLOCATION AND OTHER PRACTICES</w:t>
              </w:r>
            </w:hyperlink>
          </w:p>
        </w:tc>
        <w:tc>
          <w:tcPr>
            <w:tcW w:w="2120" w:type="dxa"/>
            <w:vAlign w:val="bottom"/>
            <w:gridSpan w:val="2"/>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51</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LEGAL MATTERS</w:t>
              </w:r>
            </w:hyperlink>
          </w:p>
        </w:tc>
        <w:tc>
          <w:tcPr>
            <w:tcW w:w="2120" w:type="dxa"/>
            <w:vAlign w:val="bottom"/>
            <w:gridSpan w:val="2"/>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51</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INDEPENDENT REGISTERED PUBLIC ACCOUNTING FIRM</w:t>
              </w:r>
            </w:hyperlink>
          </w:p>
        </w:tc>
        <w:tc>
          <w:tcPr>
            <w:tcW w:w="2120" w:type="dxa"/>
            <w:vAlign w:val="bottom"/>
            <w:gridSpan w:val="2"/>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51</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INCORPORATION BY REFERENCE</w:t>
              </w:r>
            </w:hyperlink>
          </w:p>
        </w:tc>
        <w:tc>
          <w:tcPr>
            <w:tcW w:w="2120" w:type="dxa"/>
            <w:vAlign w:val="bottom"/>
            <w:gridSpan w:val="2"/>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52</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AVAILABLE INFORMATION</w:t>
              </w:r>
            </w:hyperlink>
          </w:p>
        </w:tc>
        <w:tc>
          <w:tcPr>
            <w:tcW w:w="2120" w:type="dxa"/>
            <w:vAlign w:val="bottom"/>
            <w:gridSpan w:val="2"/>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460"/>
          </w:cols>
          <w:pgMar w:left="720" w:top="999"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You should rely only on the information included or incorporated by reference in this prospectus supplement, the accompanying prospectus, or any free writing prospectuses prepared by, or on behalf of, us that relates to this offering of the Notes. Neither we nor the underwriters have authorized any other person to provide you with different information or to make representations as to matters not stated in this prospectus supplement, the accompanying prospectus or in any free writing prospectus prepared by, or on behalf of, us that relates to this offering of the Notes. We take no responsibility for, and can provide no assurance as to the reliability of, any other information that others give you. If anyone provides you with different or inconsistent information, you should not rely on it. This prospectus supplement, the accompanying prospectus and any free writing prospectus prepared by or on behalf of us that relates to this offering of the Notes do not constitute an offer to sell, or a solicitation of an offer to buy, any of the Notes by any person in any jurisdiction where it is unlawful for that person to make such an offer or solicitation or to any person in any jurisdiction to whom it is unlawful to make such an offer or solicitation. You should not assume that the information included in this prospectus supplement, the accompanying prospectus or in any free writing prospectus is complete and accurate as of any date other than their respective dates, or that any information incorporated by reference herein or therein is complete and accurate as of any date other than the date of the document incorporated by reference containing such information, regardless of the time of delivery of this prospectus supplement or sale of the Notes.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7136130" cy="7453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summary highlights some of the information included elsewhere, or incorporated by reference, in this prospectus supplement or the accompanying prospectus. It is not complete and may not contain all of the information that you should consider before making your investment decision to in invest in the Notes offered hereby. To understand the terms of the Notes offered hereby before making your investment decision, you should carefully read the entire prospectus supplement, the accompanying prospectus, any free writing prospectus relating to this offering and the documents incorporated by reference in this prospectus supplement and the accompanying prospectus, as provided in sections titled “Available Information” and “Incorporation by Reference” beginning on pages S-36 and S-37 in this prospectus supplement, respectively, and page 50 of the accompanying prospectus. Together, this prospectus supplement and the accompanying prospectus describe the specific terms of the Notes we are offering. In this prospectus supplement and the accompanying prospectus, unless the context otherwise requires, the “Company,” “Capital Southwest,” “CSWC,” “we,” “us” and “our” refer to Capital Southwest Corporation and our subsidiaries.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Southwest is an internally managed closed-end, non-diversified investment company that has elected to be regulated as a BDC, under the 1940 Act. We specialize in providing customized financing to middle market companies in a broad range of industry segments located primarily in the United States. Our common stock currently trades on The Nasdaq Global Select Market under the ticker symbol “CSWC.”</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CSWC was organized as a Texas corporation on April 19, 1961. Prior to March 30, 1988, CSWC was registered as a closed-end, non-diversified investment company under the 1940 Act. On that date, we elected to be treated as BDC under the 1940 Act.</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elected, and intend to qualify annually, to be treated for U.S. federal income tax purposes as a regulated investment company, or RIC, under Subchapter M of the U.S. Internal Revenue Code of 1986, or the Code. As such, we generally will not have to pay corporate-level U.S. federal income tax on any ordinary income or capital gains that we distribute to our shareholders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Depending on the level of taxable income earned in a tax year, we may choose to carry forward taxable income in excess of current year distributions into the next year and pay a 4% U.S. federal excise tax on such income. Any such carryover taxable income must be distributed through a dividend declared prior to filing the final tax return related to the year that generated such taxable income.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30, 2015, we completed the spin-off, which we refer to as the Share Distribution, of CSW Industrials, Inc., or CSWI. CSWI is now an independent publicly traded company. The Share Distribution was effected through a tax-free, pro-rata distribution of 100% of CSWI’s common stock to our shareholders. Each of our shareholders received one share of CSWI common stock for every one share of our common stock on the record date, September 18, 2015. Cash was paid in lieu of any fractional shares of CSWI common stock.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Share Distribution, we have maintained operations as an internally managed BDC and pursued a credit-focused investing strategy akin to similarly structured organizations. We continue to provide capital to middle-market companies. We invest primarily in debt securities, including senior debt, second lien and subordinated debt, and also invest in preferred stock and common stock alongside our debt investments or through warrants.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Capital Southwest Management Corporation, or CSMC, a wholly owned subsidiary of CSWC, is the management company for CSWC. CSMC generally incurs all normal operating and administrative expenses, including, but not limited to, salaries and related benefits, rent, equipment and other administrative costs required for day-to-day operations.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CSWC also has a direct wholly-owned subsidiary that has been elected to be a taxable entity, or the Taxable Subsidiary. The primary purpose of the Taxable Subsidiary is to permit CSWC to hold certain interests in portfolio companies that are organized as limited liability companies (or other forms of pass-through entities) and still allow us to satisfy the RIC tax requirement that at least 90% of our gross income for U.S. federal income tax purposes must consist of qualifying investment income. The Taxable Subsidiary is taxed at normal corporate tax rates based on its taxable income.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060"/>
          </w:cols>
          <w:pgMar w:left="920" w:top="1350" w:right="919" w:bottom="1440" w:gutter="0" w:footer="0" w:header="0"/>
        </w:sectPr>
      </w:pPr>
    </w:p>
    <w:bookmarkStart w:id="5" w:name="page6"/>
    <w:bookmarkEnd w:id="5"/>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7136130" cy="8310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310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CSWC is an internally managed closed-end, non-diversified investment company that has elected to be regulated as a BDC under the 1940 Act. We specialize in providing customized debt and equity financing to lower middle market, or LMM, companies and debt capital to upper middle market, or UMM,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financial sponsors, entrepreneurs, management teams and business owners to provide flexible financing solutions to fund growth, changes of control, or other corporate events. We invest primarily in senior debt securities, secured by security interests in portfolio company assets and in secured and unsecured subordinated debt securities. We also invest in equity interests in our portfolio companies alongside our debt securities.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focus on investing in companies with histories of generating revenues and positive cash flow, established market positions and proven management teams with strong operating discipline. We target senior debt, subordinated debt, and equity investments in LMM companies, as well as first and second lien syndicated loans in UMM companies. Our target LMM companies typically have annual earnings before interest, taxes, depreciation and amortization, or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as well as subordinated debt, which may either be secured or unsecured subordinated loans. Our LMM debt investments typically have a term of between five and seven years from the original investment date. We also often seek to invest in the equity securities of our LMM portfolio companies.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offices are located at 5400 Lyndon B. Johnson Freeway, Suite 1300, Dallas, Texas 75240. We maintain a website at http://www.capitalsouthwest.com. Information contained on our website is not incorporated by reference into this prospectus supplement or the accompanying prospectus, and you should not consider that information to be part of this prospectus supplement or the accompanying prospectus.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numerous risks, as described in the section titled “Supplementary Risk Factors” in this prospectus supplement, “Risk Factors” 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“Risk Factors” included in our most recent Annual Report on Form 10-K, as well as in any of our subsequent SEC filings.</w:t>
      </w:r>
    </w:p>
    <w:p>
      <w:pPr>
        <w:sectPr>
          <w:pgSz w:w="11900" w:h="16838" w:orient="portrait"/>
          <w:cols w:equalWidth="0" w:num="1">
            <w:col w:w="10060"/>
          </w:cols>
          <w:pgMar w:left="920" w:top="144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060"/>
          </w:cols>
          <w:pgMar w:left="920" w:top="1440" w:right="9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7136130" cy="7025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TERMS OF THE NOTES OFFERING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summary sets forth certain terms of the Notes that we are offering pursuant to this prospectus supplement and the accompanying prospectus. This section and the “Description of the Notes” section in this prospectus supplement outline the specific legal and financial terms of the Notes. You should read this section of the prospectus supplement together with the section titled “Description of the Notes” beginning on page S-14 of this prospectus supplement and the more general description of the Notes in the section titled “Description of Our Debt Securities” beginning on page 29 of the accompanying prospectus before investing in the Notes. Capitalized terms used in this prospectus supplement and not otherwise defined shall have the meanings ascribed to them in the accompanying prospectus or in the indenture governing the Notes.</w:t>
      </w:r>
    </w:p>
    <w:p>
      <w:pPr>
        <w:spacing w:after="0" w:line="11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360" w:type="dxa"/>
            <w:vAlign w:val="bottom"/>
            <w:gridSpan w:val="3"/>
          </w:tcPr>
          <w:p>
            <w:pPr>
              <w:ind w:left="680"/>
              <w:spacing w:after="0"/>
              <w:rPr>
                <w:sz w:val="20"/>
                <w:szCs w:val="20"/>
                <w:color w:val="auto"/>
              </w:rPr>
            </w:pPr>
            <w:r>
              <w:rPr>
                <w:rFonts w:ascii="Arial" w:cs="Arial" w:eastAsia="Arial" w:hAnsi="Arial"/>
                <w:sz w:val="18"/>
                <w:szCs w:val="18"/>
                <w:color w:val="auto"/>
              </w:rPr>
              <w:t>Capital Southwest Corporation</w:t>
            </w:r>
          </w:p>
        </w:tc>
        <w:tc>
          <w:tcPr>
            <w:tcW w:w="880" w:type="dxa"/>
            <w:vAlign w:val="bottom"/>
          </w:tcPr>
          <w:p>
            <w:pPr>
              <w:spacing w:after="0"/>
              <w:rPr>
                <w:sz w:val="20"/>
                <w:szCs w:val="20"/>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8"/>
                <w:szCs w:val="18"/>
                <w:b w:val="1"/>
                <w:bCs w:val="1"/>
                <w:color w:val="auto"/>
              </w:rPr>
              <w:t>Title of the securities</w:t>
            </w:r>
          </w:p>
        </w:tc>
        <w:tc>
          <w:tcPr>
            <w:tcW w:w="2300" w:type="dxa"/>
            <w:vAlign w:val="bottom"/>
            <w:gridSpan w:val="2"/>
          </w:tcPr>
          <w:p>
            <w:pPr>
              <w:ind w:left="820"/>
              <w:spacing w:after="0"/>
              <w:rPr>
                <w:sz w:val="20"/>
                <w:szCs w:val="20"/>
                <w:color w:val="auto"/>
              </w:rPr>
            </w:pPr>
            <w:r>
              <w:rPr>
                <w:rFonts w:ascii="Arial" w:cs="Arial" w:eastAsia="Arial" w:hAnsi="Arial"/>
                <w:sz w:val="18"/>
                <w:szCs w:val="18"/>
                <w:color w:val="auto"/>
                <w:w w:val="98"/>
              </w:rPr>
              <w:t>% Notes due 2026</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8"/>
                <w:szCs w:val="18"/>
                <w:b w:val="1"/>
                <w:bCs w:val="1"/>
                <w:color w:val="auto"/>
              </w:rPr>
              <w:t>Aggregate principal amount being offered</w:t>
            </w:r>
          </w:p>
        </w:tc>
        <w:tc>
          <w:tcPr>
            <w:tcW w:w="1580" w:type="dxa"/>
            <w:vAlign w:val="bottom"/>
          </w:tcPr>
          <w:p>
            <w:pPr>
              <w:ind w:left="6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8"/>
                <w:szCs w:val="18"/>
                <w:b w:val="1"/>
                <w:bCs w:val="1"/>
                <w:color w:val="auto"/>
              </w:rPr>
              <w:t>Initial public offering price</w:t>
            </w:r>
          </w:p>
        </w:tc>
        <w:tc>
          <w:tcPr>
            <w:tcW w:w="4360" w:type="dxa"/>
            <w:vAlign w:val="bottom"/>
            <w:gridSpan w:val="3"/>
          </w:tcPr>
          <w:p>
            <w:pPr>
              <w:ind w:left="820"/>
              <w:spacing w:after="0"/>
              <w:rPr>
                <w:sz w:val="20"/>
                <w:szCs w:val="20"/>
                <w:color w:val="auto"/>
              </w:rPr>
            </w:pPr>
            <w:r>
              <w:rPr>
                <w:rFonts w:ascii="Arial" w:cs="Arial" w:eastAsia="Arial" w:hAnsi="Arial"/>
                <w:sz w:val="18"/>
                <w:szCs w:val="18"/>
                <w:color w:val="auto"/>
              </w:rPr>
              <w:t>% of the aggregate principal amount</w:t>
            </w:r>
          </w:p>
        </w:tc>
        <w:tc>
          <w:tcPr>
            <w:tcW w:w="880" w:type="dxa"/>
            <w:vAlign w:val="bottom"/>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b w:val="1"/>
                <w:bCs w:val="1"/>
                <w:color w:val="auto"/>
              </w:rPr>
              <w:t>Principal payable at maturity</w:t>
            </w:r>
          </w:p>
        </w:tc>
        <w:tc>
          <w:tcPr>
            <w:tcW w:w="5240" w:type="dxa"/>
            <w:vAlign w:val="bottom"/>
            <w:gridSpan w:val="4"/>
          </w:tcPr>
          <w:p>
            <w:pPr>
              <w:ind w:left="680"/>
              <w:spacing w:after="0"/>
              <w:rPr>
                <w:sz w:val="20"/>
                <w:szCs w:val="20"/>
                <w:color w:val="auto"/>
              </w:rPr>
            </w:pPr>
            <w:r>
              <w:rPr>
                <w:rFonts w:ascii="Arial" w:cs="Arial" w:eastAsia="Arial" w:hAnsi="Arial"/>
                <w:sz w:val="18"/>
                <w:szCs w:val="18"/>
                <w:color w:val="auto"/>
                <w:w w:val="92"/>
              </w:rPr>
              <w:t>100% of the aggregate principal amount; the principal amount</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3"/>
              </w:rPr>
              <w:t>of each Note will be payable on its stated maturity date at the</w:t>
            </w:r>
          </w:p>
        </w:tc>
      </w:tr>
      <w:tr>
        <w:trPr>
          <w:trHeight w:val="176"/>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2"/>
              </w:rPr>
              <w:t>office of the trustee for the Notes or at such other office as we</w:t>
            </w:r>
          </w:p>
        </w:tc>
      </w:tr>
      <w:tr>
        <w:trPr>
          <w:trHeight w:val="230"/>
        </w:trPr>
        <w:tc>
          <w:tcPr>
            <w:tcW w:w="3920" w:type="dxa"/>
            <w:vAlign w:val="bottom"/>
          </w:tcPr>
          <w:p>
            <w:pPr>
              <w:spacing w:after="0"/>
              <w:rPr>
                <w:sz w:val="20"/>
                <w:szCs w:val="20"/>
                <w:color w:val="auto"/>
              </w:rPr>
            </w:pP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may designate.</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9"/>
        </w:trPr>
        <w:tc>
          <w:tcPr>
            <w:tcW w:w="3920" w:type="dxa"/>
            <w:vAlign w:val="bottom"/>
          </w:tcPr>
          <w:p>
            <w:pPr>
              <w:spacing w:after="0"/>
              <w:rPr>
                <w:sz w:val="20"/>
                <w:szCs w:val="20"/>
                <w:color w:val="auto"/>
              </w:rPr>
            </w:pPr>
            <w:r>
              <w:rPr>
                <w:rFonts w:ascii="Arial" w:cs="Arial" w:eastAsia="Arial" w:hAnsi="Arial"/>
                <w:sz w:val="18"/>
                <w:szCs w:val="18"/>
                <w:b w:val="1"/>
                <w:bCs w:val="1"/>
                <w:color w:val="auto"/>
              </w:rPr>
              <w:t>No established trading market</w:t>
            </w:r>
          </w:p>
        </w:tc>
        <w:tc>
          <w:tcPr>
            <w:tcW w:w="5240" w:type="dxa"/>
            <w:vAlign w:val="bottom"/>
            <w:gridSpan w:val="4"/>
          </w:tcPr>
          <w:p>
            <w:pPr>
              <w:ind w:left="680"/>
              <w:spacing w:after="0"/>
              <w:rPr>
                <w:sz w:val="20"/>
                <w:szCs w:val="20"/>
                <w:color w:val="auto"/>
              </w:rPr>
            </w:pPr>
            <w:r>
              <w:rPr>
                <w:rFonts w:ascii="Arial" w:cs="Arial" w:eastAsia="Arial" w:hAnsi="Arial"/>
                <w:sz w:val="18"/>
                <w:szCs w:val="18"/>
                <w:color w:val="auto"/>
                <w:w w:val="95"/>
              </w:rPr>
              <w:t>The Notes are a new issue of securities with no established</w:t>
            </w:r>
          </w:p>
        </w:tc>
      </w:tr>
      <w:tr>
        <w:trPr>
          <w:trHeight w:val="176"/>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4"/>
              </w:rPr>
              <w:t>trading market. The Notes will not be listed on any securities</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89"/>
              </w:rPr>
              <w:t>exchange or quoted on any automated dealer quotation system.</w:t>
            </w:r>
          </w:p>
        </w:tc>
      </w:tr>
      <w:tr>
        <w:trPr>
          <w:trHeight w:val="176"/>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8"/>
              </w:rPr>
              <w:t>Although certain of the underwriters have informed us that</w:t>
            </w:r>
          </w:p>
        </w:tc>
      </w:tr>
      <w:tr>
        <w:trPr>
          <w:trHeight w:val="176"/>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rPr>
              <w:t>they intend to make a market in the Notes, they are not</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89"/>
              </w:rPr>
              <w:t>obligated to do so, and may discontinue any such market at any</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3"/>
              </w:rPr>
              <w:t>time without notice. Accordingly, we cannot assure you that a</w:t>
            </w:r>
          </w:p>
        </w:tc>
      </w:tr>
      <w:tr>
        <w:trPr>
          <w:trHeight w:val="230"/>
        </w:trPr>
        <w:tc>
          <w:tcPr>
            <w:tcW w:w="3920" w:type="dxa"/>
            <w:vAlign w:val="bottom"/>
          </w:tcPr>
          <w:p>
            <w:pPr>
              <w:spacing w:after="0"/>
              <w:rPr>
                <w:sz w:val="20"/>
                <w:szCs w:val="20"/>
                <w:color w:val="auto"/>
              </w:rPr>
            </w:pPr>
          </w:p>
        </w:tc>
        <w:tc>
          <w:tcPr>
            <w:tcW w:w="5240" w:type="dxa"/>
            <w:vAlign w:val="bottom"/>
            <w:gridSpan w:val="4"/>
          </w:tcPr>
          <w:p>
            <w:pPr>
              <w:ind w:left="680"/>
              <w:spacing w:after="0"/>
              <w:rPr>
                <w:sz w:val="20"/>
                <w:szCs w:val="20"/>
                <w:color w:val="auto"/>
              </w:rPr>
            </w:pPr>
            <w:r>
              <w:rPr>
                <w:rFonts w:ascii="Arial" w:cs="Arial" w:eastAsia="Arial" w:hAnsi="Arial"/>
                <w:sz w:val="18"/>
                <w:szCs w:val="18"/>
                <w:color w:val="auto"/>
              </w:rPr>
              <w:t>liquid market for the Notes will develop or be maintained.</w:t>
            </w:r>
          </w:p>
        </w:tc>
      </w:tr>
      <w:tr>
        <w:trPr>
          <w:trHeight w:val="323"/>
        </w:trPr>
        <w:tc>
          <w:tcPr>
            <w:tcW w:w="39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2300" w:type="dxa"/>
            <w:vAlign w:val="bottom"/>
            <w:gridSpan w:val="2"/>
          </w:tcPr>
          <w:p>
            <w:pPr>
              <w:ind w:left="820"/>
              <w:spacing w:after="0"/>
              <w:rPr>
                <w:sz w:val="20"/>
                <w:szCs w:val="20"/>
                <w:color w:val="auto"/>
              </w:rPr>
            </w:pPr>
            <w:r>
              <w:rPr>
                <w:rFonts w:ascii="Arial" w:cs="Arial" w:eastAsia="Arial" w:hAnsi="Arial"/>
                <w:sz w:val="18"/>
                <w:szCs w:val="18"/>
                <w:color w:val="auto"/>
              </w:rPr>
              <w:t>% per year</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3"/>
        </w:trPr>
        <w:tc>
          <w:tcPr>
            <w:tcW w:w="392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1580" w:type="dxa"/>
            <w:vAlign w:val="bottom"/>
          </w:tcPr>
          <w:p>
            <w:pPr>
              <w:ind w:left="680"/>
              <w:spacing w:after="0"/>
              <w:rPr>
                <w:sz w:val="20"/>
                <w:szCs w:val="20"/>
                <w:color w:val="auto"/>
              </w:rPr>
            </w:pPr>
            <w:r>
              <w:rPr>
                <w:rFonts w:ascii="Arial" w:cs="Arial" w:eastAsia="Arial" w:hAnsi="Arial"/>
                <w:sz w:val="18"/>
                <w:szCs w:val="18"/>
                <w:color w:val="auto"/>
              </w:rPr>
              <w:t>December</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9"/>
              </w:rPr>
              <w:t>, 2020</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39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158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 2026</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3"/>
        </w:trPr>
        <w:tc>
          <w:tcPr>
            <w:tcW w:w="3920" w:type="dxa"/>
            <w:vAlign w:val="bottom"/>
          </w:tcPr>
          <w:p>
            <w:pPr>
              <w:spacing w:after="0"/>
              <w:rPr>
                <w:sz w:val="20"/>
                <w:szCs w:val="20"/>
                <w:color w:val="auto"/>
              </w:rPr>
            </w:pPr>
            <w:r>
              <w:rPr>
                <w:rFonts w:ascii="Arial" w:cs="Arial" w:eastAsia="Arial" w:hAnsi="Arial"/>
                <w:sz w:val="18"/>
                <w:szCs w:val="18"/>
                <w:b w:val="1"/>
                <w:bCs w:val="1"/>
                <w:color w:val="auto"/>
              </w:rPr>
              <w:t>Day count basis</w:t>
            </w:r>
          </w:p>
        </w:tc>
        <w:tc>
          <w:tcPr>
            <w:tcW w:w="4360" w:type="dxa"/>
            <w:vAlign w:val="bottom"/>
            <w:gridSpan w:val="3"/>
          </w:tcPr>
          <w:p>
            <w:pPr>
              <w:ind w:left="680"/>
              <w:spacing w:after="0"/>
              <w:rPr>
                <w:sz w:val="20"/>
                <w:szCs w:val="20"/>
                <w:color w:val="auto"/>
              </w:rPr>
            </w:pPr>
            <w:r>
              <w:rPr>
                <w:rFonts w:ascii="Arial" w:cs="Arial" w:eastAsia="Arial" w:hAnsi="Arial"/>
                <w:sz w:val="18"/>
                <w:szCs w:val="18"/>
                <w:color w:val="auto"/>
              </w:rPr>
              <w:t>360-day year of twelve 30-day months</w:t>
            </w:r>
          </w:p>
        </w:tc>
        <w:tc>
          <w:tcPr>
            <w:tcW w:w="880" w:type="dxa"/>
            <w:vAlign w:val="bottom"/>
          </w:tcPr>
          <w:p>
            <w:pPr>
              <w:spacing w:after="0"/>
              <w:rPr>
                <w:sz w:val="24"/>
                <w:szCs w:val="24"/>
                <w:color w:val="auto"/>
              </w:rPr>
            </w:pPr>
          </w:p>
        </w:tc>
      </w:tr>
      <w:tr>
        <w:trPr>
          <w:trHeight w:val="283"/>
        </w:trPr>
        <w:tc>
          <w:tcPr>
            <w:tcW w:w="3920" w:type="dxa"/>
            <w:vAlign w:val="bottom"/>
          </w:tcPr>
          <w:p>
            <w:pPr>
              <w:spacing w:after="0"/>
              <w:rPr>
                <w:sz w:val="20"/>
                <w:szCs w:val="20"/>
                <w:color w:val="auto"/>
              </w:rPr>
            </w:pPr>
            <w:r>
              <w:rPr>
                <w:rFonts w:ascii="Arial" w:cs="Arial" w:eastAsia="Arial" w:hAnsi="Arial"/>
                <w:sz w:val="18"/>
                <w:szCs w:val="18"/>
                <w:b w:val="1"/>
                <w:bCs w:val="1"/>
                <w:color w:val="auto"/>
              </w:rPr>
              <w:t>Date interest rate starts accruing</w:t>
            </w:r>
          </w:p>
        </w:tc>
        <w:tc>
          <w:tcPr>
            <w:tcW w:w="1580" w:type="dxa"/>
            <w:vAlign w:val="bottom"/>
          </w:tcPr>
          <w:p>
            <w:pPr>
              <w:ind w:left="680"/>
              <w:spacing w:after="0"/>
              <w:rPr>
                <w:sz w:val="20"/>
                <w:szCs w:val="20"/>
                <w:color w:val="auto"/>
              </w:rPr>
            </w:pPr>
            <w:r>
              <w:rPr>
                <w:rFonts w:ascii="Arial" w:cs="Arial" w:eastAsia="Arial" w:hAnsi="Arial"/>
                <w:sz w:val="18"/>
                <w:szCs w:val="18"/>
                <w:color w:val="auto"/>
              </w:rPr>
              <w:t>December</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9"/>
              </w:rPr>
              <w:t>, 2020</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1580" w:type="dxa"/>
            <w:vAlign w:val="bottom"/>
          </w:tcPr>
          <w:p>
            <w:pPr>
              <w:ind w:left="680"/>
              <w:spacing w:after="0"/>
              <w:rPr>
                <w:sz w:val="20"/>
                <w:szCs w:val="20"/>
                <w:color w:val="auto"/>
              </w:rPr>
            </w:pPr>
            <w:r>
              <w:rPr>
                <w:rFonts w:ascii="Arial" w:cs="Arial" w:eastAsia="Arial" w:hAnsi="Arial"/>
                <w:sz w:val="18"/>
                <w:szCs w:val="18"/>
                <w:color w:val="auto"/>
              </w:rPr>
              <w:t>Every</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and</w:t>
            </w:r>
          </w:p>
        </w:tc>
        <w:tc>
          <w:tcPr>
            <w:tcW w:w="2060" w:type="dxa"/>
            <w:vAlign w:val="bottom"/>
          </w:tcPr>
          <w:p>
            <w:pPr>
              <w:ind w:left="140"/>
              <w:spacing w:after="0"/>
              <w:rPr>
                <w:sz w:val="20"/>
                <w:szCs w:val="20"/>
                <w:color w:val="auto"/>
              </w:rPr>
            </w:pPr>
            <w:r>
              <w:rPr>
                <w:rFonts w:ascii="Arial" w:cs="Arial" w:eastAsia="Arial" w:hAnsi="Arial"/>
                <w:sz w:val="18"/>
                <w:szCs w:val="18"/>
                <w:color w:val="auto"/>
              </w:rPr>
              <w:t>of each year, beginning</w:t>
            </w:r>
          </w:p>
        </w:tc>
        <w:tc>
          <w:tcPr>
            <w:tcW w:w="880" w:type="dxa"/>
            <w:vAlign w:val="bottom"/>
          </w:tcPr>
          <w:p>
            <w:pPr>
              <w:ind w:left="220"/>
              <w:spacing w:after="0"/>
              <w:rPr>
                <w:sz w:val="20"/>
                <w:szCs w:val="20"/>
                <w:color w:val="auto"/>
              </w:rPr>
            </w:pPr>
            <w:r>
              <w:rPr>
                <w:rFonts w:ascii="Arial" w:cs="Arial" w:eastAsia="Arial" w:hAnsi="Arial"/>
                <w:sz w:val="18"/>
                <w:szCs w:val="18"/>
                <w:color w:val="auto"/>
                <w:w w:val="91"/>
              </w:rPr>
              <w:t>, 2021. If</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9"/>
              </w:rPr>
              <w:t>an interest payment date falls on a non-business day, the</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1"/>
              </w:rPr>
              <w:t>applicable interest payment will be made on the next business</w:t>
            </w:r>
          </w:p>
        </w:tc>
      </w:tr>
      <w:tr>
        <w:trPr>
          <w:trHeight w:val="175"/>
        </w:trPr>
        <w:tc>
          <w:tcPr>
            <w:tcW w:w="3920" w:type="dxa"/>
            <w:vAlign w:val="bottom"/>
          </w:tcPr>
          <w:p>
            <w:pPr>
              <w:spacing w:after="0"/>
              <w:rPr>
                <w:sz w:val="15"/>
                <w:szCs w:val="15"/>
                <w:color w:val="auto"/>
              </w:rPr>
            </w:pPr>
          </w:p>
        </w:tc>
        <w:tc>
          <w:tcPr>
            <w:tcW w:w="5240" w:type="dxa"/>
            <w:vAlign w:val="bottom"/>
            <w:gridSpan w:val="4"/>
          </w:tcPr>
          <w:p>
            <w:pPr>
              <w:ind w:left="680"/>
              <w:spacing w:after="0" w:line="176" w:lineRule="exact"/>
              <w:rPr>
                <w:sz w:val="20"/>
                <w:szCs w:val="20"/>
                <w:color w:val="auto"/>
              </w:rPr>
            </w:pPr>
            <w:r>
              <w:rPr>
                <w:rFonts w:ascii="Arial" w:cs="Arial" w:eastAsia="Arial" w:hAnsi="Arial"/>
                <w:sz w:val="18"/>
                <w:szCs w:val="18"/>
                <w:color w:val="auto"/>
                <w:w w:val="95"/>
              </w:rPr>
              <w:t>day and no additional interest will accrue as a result of such</w:t>
            </w:r>
          </w:p>
        </w:tc>
      </w:tr>
      <w:tr>
        <w:trPr>
          <w:trHeight w:val="230"/>
        </w:trPr>
        <w:tc>
          <w:tcPr>
            <w:tcW w:w="3920" w:type="dxa"/>
            <w:vAlign w:val="bottom"/>
          </w:tcPr>
          <w:p>
            <w:pPr>
              <w:spacing w:after="0"/>
              <w:rPr>
                <w:sz w:val="20"/>
                <w:szCs w:val="20"/>
                <w:color w:val="auto"/>
              </w:rPr>
            </w:pP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delayed payment.</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3920" w:type="dxa"/>
            <w:vAlign w:val="bottom"/>
          </w:tcPr>
          <w:p>
            <w:pPr>
              <w:spacing w:after="0"/>
              <w:rPr>
                <w:sz w:val="20"/>
                <w:szCs w:val="20"/>
                <w:color w:val="auto"/>
              </w:rPr>
            </w:pPr>
            <w:r>
              <w:rPr>
                <w:rFonts w:ascii="Arial" w:cs="Arial" w:eastAsia="Arial" w:hAnsi="Arial"/>
                <w:sz w:val="18"/>
                <w:szCs w:val="18"/>
                <w:b w:val="1"/>
                <w:bCs w:val="1"/>
                <w:color w:val="auto"/>
              </w:rPr>
              <w:t>Specified currency</w:t>
            </w:r>
          </w:p>
        </w:tc>
        <w:tc>
          <w:tcPr>
            <w:tcW w:w="1580" w:type="dxa"/>
            <w:vAlign w:val="bottom"/>
          </w:tcPr>
          <w:p>
            <w:pPr>
              <w:ind w:left="680"/>
              <w:spacing w:after="0"/>
              <w:rPr>
                <w:sz w:val="20"/>
                <w:szCs w:val="20"/>
                <w:color w:val="auto"/>
              </w:rPr>
            </w:pPr>
            <w:r>
              <w:rPr>
                <w:rFonts w:ascii="Arial" w:cs="Arial" w:eastAsia="Arial" w:hAnsi="Arial"/>
                <w:sz w:val="18"/>
                <w:szCs w:val="18"/>
                <w:color w:val="auto"/>
                <w:w w:val="91"/>
              </w:rPr>
              <w:t>U.S. Dollars</w:t>
            </w: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b w:val="1"/>
                <w:bCs w:val="1"/>
                <w:color w:val="auto"/>
              </w:rPr>
              <w:t>Ranking of notes</w:t>
            </w:r>
          </w:p>
        </w:tc>
        <w:tc>
          <w:tcPr>
            <w:tcW w:w="5240" w:type="dxa"/>
            <w:vAlign w:val="bottom"/>
            <w:gridSpan w:val="4"/>
          </w:tcPr>
          <w:p>
            <w:pPr>
              <w:ind w:left="680"/>
              <w:spacing w:after="0"/>
              <w:rPr>
                <w:sz w:val="20"/>
                <w:szCs w:val="20"/>
                <w:color w:val="auto"/>
              </w:rPr>
            </w:pPr>
            <w:r>
              <w:rPr>
                <w:rFonts w:ascii="Arial" w:cs="Arial" w:eastAsia="Arial" w:hAnsi="Arial"/>
                <w:sz w:val="18"/>
                <w:szCs w:val="18"/>
                <w:color w:val="auto"/>
                <w:w w:val="98"/>
              </w:rPr>
              <w:t>The Notes will be our direct unsecured obligations and will</w:t>
            </w:r>
          </w:p>
        </w:tc>
      </w:tr>
      <w:tr>
        <w:trPr>
          <w:trHeight w:val="230"/>
        </w:trPr>
        <w:tc>
          <w:tcPr>
            <w:tcW w:w="3920" w:type="dxa"/>
            <w:vAlign w:val="bottom"/>
          </w:tcPr>
          <w:p>
            <w:pPr>
              <w:spacing w:after="0"/>
              <w:rPr>
                <w:sz w:val="20"/>
                <w:szCs w:val="20"/>
                <w:color w:val="auto"/>
              </w:rPr>
            </w:pPr>
          </w:p>
        </w:tc>
        <w:tc>
          <w:tcPr>
            <w:tcW w:w="1580" w:type="dxa"/>
            <w:vAlign w:val="bottom"/>
          </w:tcPr>
          <w:p>
            <w:pPr>
              <w:ind w:left="680"/>
              <w:spacing w:after="0"/>
              <w:rPr>
                <w:sz w:val="20"/>
                <w:szCs w:val="20"/>
                <w:color w:val="auto"/>
              </w:rPr>
            </w:pPr>
            <w:r>
              <w:rPr>
                <w:rFonts w:ascii="Arial" w:cs="Arial" w:eastAsia="Arial" w:hAnsi="Arial"/>
                <w:sz w:val="18"/>
                <w:szCs w:val="18"/>
                <w:color w:val="auto"/>
              </w:rPr>
              <w:t>rank:</w:t>
            </w:r>
          </w:p>
        </w:tc>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5040"/>
        <w:spacing w:after="0" w:line="22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other outstanding and future unsecured,</w:t>
      </w:r>
    </w:p>
    <w:p>
      <w:pPr>
        <w:ind w:left="5040"/>
        <w:spacing w:after="0" w:line="203" w:lineRule="auto"/>
        <w:rPr>
          <w:sz w:val="20"/>
          <w:szCs w:val="20"/>
          <w:color w:val="auto"/>
        </w:rPr>
      </w:pPr>
      <w:r>
        <w:rPr>
          <w:rFonts w:ascii="Arial" w:cs="Arial" w:eastAsia="Arial" w:hAnsi="Arial"/>
          <w:sz w:val="18"/>
          <w:szCs w:val="18"/>
          <w:color w:val="auto"/>
        </w:rPr>
        <w:t>unsubordinated indebtedness, including, as of December 21,</w:t>
      </w:r>
    </w:p>
    <w:p>
      <w:pPr>
        <w:ind w:left="5040"/>
        <w:spacing w:after="0" w:line="204" w:lineRule="auto"/>
        <w:rPr>
          <w:sz w:val="20"/>
          <w:szCs w:val="20"/>
          <w:color w:val="auto"/>
        </w:rPr>
      </w:pPr>
      <w:r>
        <w:rPr>
          <w:rFonts w:ascii="Arial" w:cs="Arial" w:eastAsia="Arial" w:hAnsi="Arial"/>
          <w:sz w:val="18"/>
          <w:szCs w:val="18"/>
          <w:color w:val="auto"/>
        </w:rPr>
        <w:t>2020, $37.1 million in aggregate principal amount outstanding</w:t>
      </w:r>
    </w:p>
    <w:p>
      <w:pPr>
        <w:ind w:left="5040"/>
        <w:spacing w:after="0" w:line="203" w:lineRule="auto"/>
        <w:rPr>
          <w:sz w:val="20"/>
          <w:szCs w:val="20"/>
          <w:color w:val="auto"/>
        </w:rPr>
      </w:pPr>
      <w:r>
        <w:rPr>
          <w:rFonts w:ascii="Arial" w:cs="Arial" w:eastAsia="Arial" w:hAnsi="Arial"/>
          <w:sz w:val="18"/>
          <w:szCs w:val="18"/>
          <w:color w:val="auto"/>
        </w:rPr>
        <w:t>of the 2022 Notes, which we intend to redeem in full using the</w:t>
      </w:r>
    </w:p>
    <w:p>
      <w:pPr>
        <w:ind w:left="5040"/>
        <w:spacing w:after="0" w:line="204" w:lineRule="auto"/>
        <w:rPr>
          <w:sz w:val="20"/>
          <w:szCs w:val="20"/>
          <w:color w:val="auto"/>
        </w:rPr>
      </w:pPr>
      <w:r>
        <w:rPr>
          <w:rFonts w:ascii="Arial" w:cs="Arial" w:eastAsia="Arial" w:hAnsi="Arial"/>
          <w:sz w:val="18"/>
          <w:szCs w:val="18"/>
          <w:color w:val="auto"/>
        </w:rPr>
        <w:t>proceeds from this offering, and $125.0 million in aggregate</w:t>
      </w:r>
    </w:p>
    <w:p>
      <w:pPr>
        <w:ind w:left="5040"/>
        <w:spacing w:after="0"/>
        <w:rPr>
          <w:sz w:val="20"/>
          <w:szCs w:val="20"/>
          <w:color w:val="auto"/>
        </w:rPr>
      </w:pPr>
      <w:r>
        <w:rPr>
          <w:rFonts w:ascii="Arial" w:cs="Arial" w:eastAsia="Arial" w:hAnsi="Arial"/>
          <w:sz w:val="18"/>
          <w:szCs w:val="18"/>
          <w:color w:val="auto"/>
        </w:rPr>
        <w:t>principal amount outstanding of the 2024 Notes;</w:t>
      </w:r>
    </w:p>
    <w:p>
      <w:pPr>
        <w:ind w:left="5040"/>
        <w:spacing w:after="0" w:line="229" w:lineRule="auto"/>
        <w:rPr>
          <w:sz w:val="20"/>
          <w:szCs w:val="20"/>
          <w:color w:val="auto"/>
        </w:rPr>
      </w:pPr>
      <w:r>
        <w:rPr>
          <w:rFonts w:ascii="Arial" w:cs="Arial" w:eastAsia="Arial" w:hAnsi="Arial"/>
          <w:sz w:val="18"/>
          <w:szCs w:val="18"/>
          <w:color w:val="auto"/>
        </w:rPr>
        <w:t>• senior to any of our future indebtedness that expressly</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provides it is subordinated to the Notes;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060"/>
          </w:cols>
          <w:pgMar w:left="920" w:top="1350" w:right="9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960"/>
        <w:spacing w:after="0" w:line="360" w:lineRule="auto"/>
        <w:rPr>
          <w:sz w:val="20"/>
          <w:szCs w:val="20"/>
          <w:color w:val="auto"/>
        </w:rPr>
      </w:pPr>
      <w:r>
        <w:rPr>
          <w:rFonts w:ascii="Arial" w:cs="Arial" w:eastAsia="Arial" w:hAnsi="Arial"/>
          <w:sz w:val="18"/>
          <w:szCs w:val="18"/>
          <w:b w:val="1"/>
          <w:bCs w:val="1"/>
          <w:color w:val="auto"/>
        </w:rPr>
        <w:t>Trustee, paying agent, and security registrar Other covenants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firstLine="2"/>
        <w:spacing w:after="0" w:line="212"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secured indebtedness (including indebtedness that is initially unsecured in respect of which we subsequently grant security), to the extent of the value of the assets securing such indebtedness, including, without limitation, borrowings under our Credit Facility, of which $215.0 million was outstanding as of December 21, 2020; and</w:t>
      </w:r>
    </w:p>
    <w:p>
      <w:pPr>
        <w:spacing w:after="0" w:line="3" w:lineRule="exact"/>
        <w:rPr>
          <w:rFonts w:ascii="Arial" w:cs="Arial" w:eastAsia="Arial" w:hAnsi="Arial"/>
          <w:sz w:val="18"/>
          <w:szCs w:val="18"/>
          <w:color w:val="auto"/>
        </w:rPr>
      </w:pPr>
    </w:p>
    <w:p>
      <w:pPr>
        <w:jc w:val="both"/>
        <w:ind w:right="200" w:firstLine="2"/>
        <w:spacing w:after="0" w:line="224" w:lineRule="auto"/>
        <w:tabs>
          <w:tab w:leader="none" w:pos="189"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-1552575</wp:posOffset>
            </wp:positionV>
            <wp:extent cx="7136130" cy="7333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will issue the Notes in denominations of $2,000 and integral multiples of $1,000 in excess thereof.</w:t>
      </w:r>
    </w:p>
    <w:p>
      <w:pPr>
        <w:spacing w:after="0" w:line="54"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 xml:space="preserve">We may redeem some or all of the Notes at any time, or from time to time at our option, at a redemption price (as determined by us) equal to the greater of the following amounts, plus, in each case, accrued and unpaid interest to, but excluding, the redemption date: (1) 100% of the principal amount of the Notes to be redeemed or (2) 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(as defined herein) plus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we redeem any Notes on or after , 20 (the date falling three months prior to the maturity date of the Notes), the redemption price for the Notes will be equal to 100% of the principal amount of the Notes to be redeemed, plus accrued and unpaid interest, if any, to, but excluding, the date of redemption.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subject to any sinking fund.</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a Change of Control Repurchase Event (as defined in the section titled “Description of the Notes” in this prospectus supplement) occurs prior to maturity,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pacing w:after="0" w:line="5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Notes are subject to legal and covenant defeasance by us. See “Description of the Notes - Defeasance” in this prospectus supplement.</w:t>
      </w:r>
    </w:p>
    <w:p>
      <w:pPr>
        <w:spacing w:after="0" w:line="5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addition to any covenants described elsewhere in this prospectus supplement or the accompanying prospectus, the following covenants shall apply to the Notes:</w:t>
      </w:r>
    </w:p>
    <w:p>
      <w:pPr>
        <w:spacing w:after="0" w:line="200" w:lineRule="exact"/>
        <w:rPr>
          <w:sz w:val="20"/>
          <w:szCs w:val="20"/>
          <w:color w:val="auto"/>
        </w:rPr>
      </w:pPr>
    </w:p>
    <w:p>
      <w:pPr>
        <w:sectPr>
          <w:pgSz w:w="11900" w:h="16838" w:orient="portrait"/>
          <w:cols w:equalWidth="0" w:num="2">
            <w:col w:w="4360" w:space="240"/>
            <w:col w:w="4560"/>
          </w:cols>
          <w:pgMar w:left="1360" w:top="1440" w:right="137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9160"/>
          </w:cols>
          <w:pgMar w:left="1360" w:top="1440" w:right="137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759"/>
        </w:trPr>
        <w:tc>
          <w:tcPr>
            <w:tcW w:w="4000" w:type="dxa"/>
            <w:vAlign w:val="bottom"/>
            <w:tcBorders>
              <w:top w:val="single" w:sz="8" w:color="auto"/>
              <w:left w:val="single" w:sz="8" w:color="auto"/>
            </w:tcBorders>
          </w:tcPr>
          <w:p>
            <w:pPr>
              <w:spacing w:after="0"/>
              <w:rPr>
                <w:sz w:val="24"/>
                <w:szCs w:val="24"/>
                <w:color w:val="auto"/>
              </w:rPr>
            </w:pPr>
          </w:p>
        </w:tc>
        <w:tc>
          <w:tcPr>
            <w:tcW w:w="724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color w:val="auto"/>
              </w:rPr>
              <w:t>• We agree that for the period of time during which the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Notes are outstanding, we will not violate Section 18(a)(1)</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 as modified by Section 61(a)(2) of the 1940 Act or any</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successor provisions, whether or not we continue to be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subject to such provisions of the 1940 Act, but giving effect,</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in either case, to any exemptive relief granted to us by the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SEC. Currently, these provisions generally prohibit us from</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incurring  additional  borrowings,  including  through  the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issuance of additional debt securities, unless our asset</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coverage, as defined in the 1940 Act, equals at least</w:t>
            </w:r>
          </w:p>
        </w:tc>
      </w:tr>
      <w:tr>
        <w:trPr>
          <w:trHeight w:val="229"/>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150% after such borrowings.</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 We agree that, for the period of time during which the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Notes are outstanding, we will not violate Section 18(a)(1)</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(B) as modified by (i) Section 61(a)(2) of the 1940 Act or</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any successor provisions and after giving effect to any</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exemptive relief granted to us by the SEC and (ii) the two</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other exceptions set forth below. These statutory provisions</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of the 1940 Act are not currently applicable to us and will</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not be applicable to us as a result of this offering. However,</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if Section 18(a)(1)(B) as modified by Section 61(a)(2) of the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1940 Act were currently applicable to us in connection with</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this offering, these provisions would generally prohibit us</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from declaring any cash dividend or distribution upon any</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class of our capital stock, or purchasing any such capital</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stock if our asset coverage, as defined in the 1940 Act, were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below 150% at the time of the declaration of the dividend or</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distribution or the purchase and after deducting the amount</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of  such  dividend,  distribution,  or  purchase.  Under  the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covenant, we will be permitted to declare a cash dividend or</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distribution notwithstanding the prohibition contained in</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Section 18(a)(1)(B) as modified by Section 61(a)(2) of the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1940 Act or any successor provisions, but only up to such</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amount as is necessary for us to maintain our status as a</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RIC under Subchapter M of the Code. Furthermore, the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covenant will not be triggered unless and until such time as</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our asset coverage has not been in compliance with the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minimum asset coverage required by Section 18(a)(1)(B) as</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modified by Section 61(a)(2) of the 1940 Act or any</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successor provisions (after giving effect to any exemptive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relief  granted  to  us  by  the  SEC)  for  more  than  six</w:t>
            </w:r>
          </w:p>
        </w:tc>
      </w:tr>
      <w:tr>
        <w:trPr>
          <w:trHeight w:val="229"/>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consecutive months.</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 If, at any time, we are not subject to the reporting</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requirements of Sections 13 or 15(d) of the Securities</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Exchange Act of 1934, or the Exchange Act, to file any</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periodic reports with the SEC, we agree to furnish to</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holders of the Notes and the trustee, for the period of time</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during which the Notes are outstanding, our audited annual</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consolidated financial statements, within 90 days of our</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fiscal year end, and unaudited interim consolidated financial</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statements, within 45 days of our fiscal quarter end (other</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than our fourth fiscal quarter). All such financial statements</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will be prepared, in all material respects, in accordance with</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applicable Generally Accepted Accounting Principles in the</w:t>
            </w:r>
          </w:p>
        </w:tc>
      </w:tr>
      <w:tr>
        <w:trPr>
          <w:trHeight w:val="230"/>
        </w:trPr>
        <w:tc>
          <w:tcPr>
            <w:tcW w:w="400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United States of America, or U.S. GAAP.</w:t>
            </w:r>
          </w:p>
        </w:tc>
      </w:tr>
      <w:tr>
        <w:trPr>
          <w:trHeight w:val="404"/>
        </w:trPr>
        <w:tc>
          <w:tcPr>
            <w:tcW w:w="4000" w:type="dxa"/>
            <w:vAlign w:val="bottom"/>
            <w:tcBorders>
              <w:left w:val="single" w:sz="8" w:color="auto"/>
            </w:tcBorders>
          </w:tcPr>
          <w:p>
            <w:pPr>
              <w:ind w:left="1040"/>
              <w:spacing w:after="0"/>
              <w:rPr>
                <w:sz w:val="20"/>
                <w:szCs w:val="20"/>
                <w:color w:val="auto"/>
              </w:rPr>
            </w:pPr>
            <w:r>
              <w:rPr>
                <w:rFonts w:ascii="Arial" w:cs="Arial" w:eastAsia="Arial" w:hAnsi="Arial"/>
                <w:sz w:val="18"/>
                <w:szCs w:val="18"/>
                <w:b w:val="1"/>
                <w:bCs w:val="1"/>
                <w:color w:val="auto"/>
              </w:rPr>
              <w:t>Events of default</w:t>
            </w:r>
          </w:p>
        </w:tc>
        <w:tc>
          <w:tcPr>
            <w:tcW w:w="724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If an event of default (as described in the section titled</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“Description of the Notes” in this prospectus supplement) on</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the Notes occurs, the principal amount of the Notes, plus</w:t>
            </w:r>
          </w:p>
        </w:tc>
      </w:tr>
      <w:tr>
        <w:trPr>
          <w:trHeight w:val="175"/>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accrued and unpaid interest, may be declared immediately due</w:t>
            </w:r>
          </w:p>
        </w:tc>
      </w:tr>
      <w:tr>
        <w:trPr>
          <w:trHeight w:val="176"/>
        </w:trPr>
        <w:tc>
          <w:tcPr>
            <w:tcW w:w="4000" w:type="dxa"/>
            <w:vAlign w:val="bottom"/>
            <w:tcBorders>
              <w:left w:val="single" w:sz="8" w:color="auto"/>
            </w:tcBorders>
          </w:tcPr>
          <w:p>
            <w:pPr>
              <w:spacing w:after="0"/>
              <w:rPr>
                <w:sz w:val="15"/>
                <w:szCs w:val="15"/>
                <w:color w:val="auto"/>
              </w:rPr>
            </w:pPr>
          </w:p>
        </w:tc>
        <w:tc>
          <w:tcPr>
            <w:tcW w:w="7240" w:type="dxa"/>
            <w:vAlign w:val="bottom"/>
            <w:tcBorders>
              <w:right w:val="single" w:sz="8" w:color="auto"/>
            </w:tcBorders>
          </w:tcPr>
          <w:p>
            <w:pPr>
              <w:ind w:left="1640"/>
              <w:spacing w:after="0" w:line="176" w:lineRule="exact"/>
              <w:rPr>
                <w:sz w:val="20"/>
                <w:szCs w:val="20"/>
                <w:color w:val="auto"/>
              </w:rPr>
            </w:pPr>
            <w:r>
              <w:rPr>
                <w:rFonts w:ascii="Arial" w:cs="Arial" w:eastAsia="Arial" w:hAnsi="Arial"/>
                <w:sz w:val="18"/>
                <w:szCs w:val="18"/>
                <w:color w:val="auto"/>
              </w:rPr>
              <w:t>and payable, subject to the conditions set forth in the indenture</w:t>
            </w:r>
          </w:p>
        </w:tc>
      </w:tr>
      <w:tr>
        <w:trPr>
          <w:trHeight w:val="230"/>
        </w:trPr>
        <w:tc>
          <w:tcPr>
            <w:tcW w:w="400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governing the Notes.</w:t>
            </w:r>
          </w:p>
        </w:tc>
      </w:tr>
      <w:tr>
        <w:trPr>
          <w:trHeight w:val="266"/>
        </w:trPr>
        <w:tc>
          <w:tcPr>
            <w:tcW w:w="4000" w:type="dxa"/>
            <w:vAlign w:val="bottom"/>
            <w:tcBorders>
              <w:left w:val="single" w:sz="8" w:color="auto"/>
              <w:bottom w:val="single" w:sz="8" w:color="auto"/>
            </w:tcBorders>
          </w:tcPr>
          <w:p>
            <w:pPr>
              <w:spacing w:after="0"/>
              <w:rPr>
                <w:sz w:val="23"/>
                <w:szCs w:val="23"/>
                <w:color w:val="auto"/>
              </w:rPr>
            </w:pPr>
          </w:p>
        </w:tc>
        <w:tc>
          <w:tcPr>
            <w:tcW w:w="72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320" w:top="886" w:right="339" w:bottom="1440" w:gutter="0" w:footer="0" w:header="0"/>
        </w:sectPr>
      </w:pPr>
    </w:p>
    <w:bookmarkStart w:id="9" w:name="page10"/>
    <w:bookmarkEnd w:id="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7136130" cy="4813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813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20"/>
                <w:szCs w:val="20"/>
                <w:color w:val="auto"/>
              </w:rPr>
            </w:pPr>
            <w:r>
              <w:rPr>
                <w:rFonts w:ascii="Arial" w:cs="Arial" w:eastAsia="Arial" w:hAnsi="Arial"/>
                <w:sz w:val="18"/>
                <w:szCs w:val="18"/>
                <w:b w:val="1"/>
                <w:bCs w:val="1"/>
                <w:color w:val="auto"/>
              </w:rPr>
              <w:t>Further issuances</w:t>
            </w: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w w:val="90"/>
              </w:rPr>
              <w:t>We have the ability to issue additional debt securities under the</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3"/>
              </w:rPr>
              <w:t>indenture with terms different from the Notes and, without the</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4"/>
              </w:rPr>
              <w:t>consent of the holders of the Notes, to reopen the Notes and</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4"/>
              </w:rPr>
              <w:t>issue additional Notes. If we issue additional debt securities,</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9"/>
              </w:rPr>
              <w:t>these additional debt securities could have a lien or other</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89"/>
              </w:rPr>
              <w:t>security interest greater than that accorded to the holders of the</w:t>
            </w:r>
          </w:p>
        </w:tc>
      </w:tr>
      <w:tr>
        <w:trPr>
          <w:trHeight w:val="230"/>
        </w:trPr>
        <w:tc>
          <w:tcPr>
            <w:tcW w:w="3980" w:type="dxa"/>
            <w:vAlign w:val="bottom"/>
          </w:tcPr>
          <w:p>
            <w:pPr>
              <w:spacing w:after="0"/>
              <w:rPr>
                <w:sz w:val="20"/>
                <w:szCs w:val="20"/>
                <w:color w:val="auto"/>
              </w:rPr>
            </w:pPr>
          </w:p>
        </w:tc>
        <w:tc>
          <w:tcPr>
            <w:tcW w:w="3700" w:type="dxa"/>
            <w:vAlign w:val="bottom"/>
          </w:tcPr>
          <w:p>
            <w:pPr>
              <w:ind w:left="620"/>
              <w:spacing w:after="0"/>
              <w:rPr>
                <w:sz w:val="20"/>
                <w:szCs w:val="20"/>
                <w:color w:val="auto"/>
              </w:rPr>
            </w:pPr>
            <w:r>
              <w:rPr>
                <w:rFonts w:ascii="Arial" w:cs="Arial" w:eastAsia="Arial" w:hAnsi="Arial"/>
                <w:sz w:val="18"/>
                <w:szCs w:val="18"/>
                <w:color w:val="auto"/>
              </w:rPr>
              <w:t>Notes, which are unsecured.</w:t>
            </w:r>
          </w:p>
        </w:tc>
        <w:tc>
          <w:tcPr>
            <w:tcW w:w="1480" w:type="dxa"/>
            <w:vAlign w:val="bottom"/>
          </w:tcPr>
          <w:p>
            <w:pPr>
              <w:spacing w:after="0"/>
              <w:rPr>
                <w:sz w:val="20"/>
                <w:szCs w:val="20"/>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w w:val="90"/>
              </w:rPr>
              <w:t>We estimate that the net proceeds we will receive from the sale</w:t>
            </w:r>
          </w:p>
        </w:tc>
      </w:tr>
      <w:tr>
        <w:trPr>
          <w:trHeight w:val="175"/>
        </w:trPr>
        <w:tc>
          <w:tcPr>
            <w:tcW w:w="3980" w:type="dxa"/>
            <w:vAlign w:val="bottom"/>
          </w:tcPr>
          <w:p>
            <w:pPr>
              <w:spacing w:after="0"/>
              <w:rPr>
                <w:sz w:val="15"/>
                <w:szCs w:val="15"/>
                <w:color w:val="auto"/>
              </w:rPr>
            </w:pPr>
          </w:p>
        </w:tc>
        <w:tc>
          <w:tcPr>
            <w:tcW w:w="3700" w:type="dxa"/>
            <w:vAlign w:val="bottom"/>
          </w:tcPr>
          <w:p>
            <w:pPr>
              <w:ind w:left="620"/>
              <w:spacing w:after="0" w:line="176" w:lineRule="exact"/>
              <w:rPr>
                <w:sz w:val="20"/>
                <w:szCs w:val="20"/>
                <w:color w:val="auto"/>
              </w:rPr>
            </w:pPr>
            <w:r>
              <w:rPr>
                <w:rFonts w:ascii="Arial" w:cs="Arial" w:eastAsia="Arial" w:hAnsi="Arial"/>
                <w:sz w:val="18"/>
                <w:szCs w:val="18"/>
                <w:color w:val="auto"/>
              </w:rPr>
              <w:t>of the Notes will be approximately $</w:t>
            </w:r>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million after</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1"/>
              </w:rPr>
              <w:t>deducting the underwriting discount and the estimated offering</w:t>
            </w:r>
          </w:p>
        </w:tc>
      </w:tr>
      <w:tr>
        <w:trPr>
          <w:trHeight w:val="230"/>
        </w:trPr>
        <w:tc>
          <w:tcPr>
            <w:tcW w:w="3980" w:type="dxa"/>
            <w:vAlign w:val="bottom"/>
          </w:tcPr>
          <w:p>
            <w:pPr>
              <w:spacing w:after="0"/>
              <w:rPr>
                <w:sz w:val="20"/>
                <w:szCs w:val="20"/>
                <w:color w:val="auto"/>
              </w:rPr>
            </w:pPr>
          </w:p>
        </w:tc>
        <w:tc>
          <w:tcPr>
            <w:tcW w:w="3700" w:type="dxa"/>
            <w:vAlign w:val="bottom"/>
          </w:tcPr>
          <w:p>
            <w:pPr>
              <w:ind w:left="620"/>
              <w:spacing w:after="0"/>
              <w:rPr>
                <w:sz w:val="20"/>
                <w:szCs w:val="20"/>
                <w:color w:val="auto"/>
              </w:rPr>
            </w:pPr>
            <w:r>
              <w:rPr>
                <w:rFonts w:ascii="Arial" w:cs="Arial" w:eastAsia="Arial" w:hAnsi="Arial"/>
                <w:sz w:val="18"/>
                <w:szCs w:val="18"/>
                <w:color w:val="auto"/>
              </w:rPr>
              <w:t>expenses payable by us.</w:t>
            </w:r>
          </w:p>
        </w:tc>
        <w:tc>
          <w:tcPr>
            <w:tcW w:w="1480" w:type="dxa"/>
            <w:vAlign w:val="bottom"/>
          </w:tcPr>
          <w:p>
            <w:pPr>
              <w:spacing w:after="0"/>
              <w:rPr>
                <w:sz w:val="20"/>
                <w:szCs w:val="20"/>
                <w:color w:val="auto"/>
              </w:rPr>
            </w:pPr>
          </w:p>
        </w:tc>
      </w:tr>
      <w:tr>
        <w:trPr>
          <w:trHeight w:val="296"/>
        </w:trPr>
        <w:tc>
          <w:tcPr>
            <w:tcW w:w="3980" w:type="dxa"/>
            <w:vAlign w:val="bottom"/>
          </w:tcPr>
          <w:p>
            <w:pPr>
              <w:spacing w:after="0"/>
              <w:rPr>
                <w:sz w:val="24"/>
                <w:szCs w:val="24"/>
                <w:color w:val="auto"/>
              </w:rPr>
            </w:pP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w w:val="90"/>
              </w:rPr>
              <w:t>We intend to use the net proceeds from this offering to redeem</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5"/>
              </w:rPr>
              <w:t>all of the outstanding 2022 Notes and repay a portion of the</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3"/>
              </w:rPr>
              <w:t>outstanding indebtedness under our Credit Facility. However,</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4"/>
              </w:rPr>
              <w:t>through re-borrowings under our Credit Facility, we intend to</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6"/>
              </w:rPr>
              <w:t>make investments in LMM and UMM portfolio companies in</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3"/>
              </w:rPr>
              <w:t>accordance with our investment objective and strategies, and</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7"/>
              </w:rPr>
              <w:t>for other general corporate purposes, including payment of</w:t>
            </w:r>
          </w:p>
        </w:tc>
      </w:tr>
      <w:tr>
        <w:trPr>
          <w:trHeight w:val="176"/>
        </w:trPr>
        <w:tc>
          <w:tcPr>
            <w:tcW w:w="3980" w:type="dxa"/>
            <w:vAlign w:val="bottom"/>
          </w:tcPr>
          <w:p>
            <w:pPr>
              <w:spacing w:after="0"/>
              <w:rPr>
                <w:sz w:val="15"/>
                <w:szCs w:val="15"/>
                <w:color w:val="auto"/>
              </w:rPr>
            </w:pPr>
          </w:p>
        </w:tc>
        <w:tc>
          <w:tcPr>
            <w:tcW w:w="3700" w:type="dxa"/>
            <w:vAlign w:val="bottom"/>
          </w:tcPr>
          <w:p>
            <w:pPr>
              <w:ind w:left="620"/>
              <w:spacing w:after="0" w:line="176" w:lineRule="exact"/>
              <w:rPr>
                <w:sz w:val="20"/>
                <w:szCs w:val="20"/>
                <w:color w:val="auto"/>
              </w:rPr>
            </w:pPr>
            <w:r>
              <w:rPr>
                <w:rFonts w:ascii="Arial" w:cs="Arial" w:eastAsia="Arial" w:hAnsi="Arial"/>
                <w:sz w:val="18"/>
                <w:szCs w:val="18"/>
                <w:color w:val="auto"/>
                <w:w w:val="96"/>
              </w:rPr>
              <w:t>operating  expenses.  As  of  December</w:t>
            </w:r>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w w:val="95"/>
              </w:rPr>
              <w:t>21,  2020,  we  had</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5"/>
              </w:rPr>
              <w:t>$215.0 million of indebtedness outstanding under our Credit</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5"/>
              </w:rPr>
              <w:t>Facility. Our Credit Facility matures on December 21, 2023,</w:t>
            </w:r>
          </w:p>
        </w:tc>
      </w:tr>
      <w:tr>
        <w:trPr>
          <w:trHeight w:val="175"/>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6"/>
              </w:rPr>
              <w:t>and  borrowings  under  our  Credit  Facility  currently  bear</w:t>
            </w:r>
          </w:p>
        </w:tc>
      </w:tr>
      <w:tr>
        <w:trPr>
          <w:trHeight w:val="176"/>
        </w:trPr>
        <w:tc>
          <w:tcPr>
            <w:tcW w:w="3980" w:type="dxa"/>
            <w:vAlign w:val="bottom"/>
          </w:tcPr>
          <w:p>
            <w:pPr>
              <w:spacing w:after="0"/>
              <w:rPr>
                <w:sz w:val="15"/>
                <w:szCs w:val="15"/>
                <w:color w:val="auto"/>
              </w:rPr>
            </w:pPr>
          </w:p>
        </w:tc>
        <w:tc>
          <w:tcPr>
            <w:tcW w:w="5180" w:type="dxa"/>
            <w:vAlign w:val="bottom"/>
            <w:gridSpan w:val="2"/>
          </w:tcPr>
          <w:p>
            <w:pPr>
              <w:ind w:left="620"/>
              <w:spacing w:after="0" w:line="176" w:lineRule="exact"/>
              <w:rPr>
                <w:sz w:val="20"/>
                <w:szCs w:val="20"/>
                <w:color w:val="auto"/>
              </w:rPr>
            </w:pPr>
            <w:r>
              <w:rPr>
                <w:rFonts w:ascii="Arial" w:cs="Arial" w:eastAsia="Arial" w:hAnsi="Arial"/>
                <w:sz w:val="18"/>
                <w:szCs w:val="18"/>
                <w:color w:val="auto"/>
                <w:w w:val="90"/>
              </w:rPr>
              <w:t>interest on a per annum basis equal to LIBOR plus 2.50%. See</w:t>
            </w:r>
          </w:p>
        </w:tc>
      </w:tr>
      <w:tr>
        <w:trPr>
          <w:trHeight w:val="230"/>
        </w:trPr>
        <w:tc>
          <w:tcPr>
            <w:tcW w:w="3980" w:type="dxa"/>
            <w:vAlign w:val="bottom"/>
          </w:tcPr>
          <w:p>
            <w:pPr>
              <w:spacing w:after="0"/>
              <w:rPr>
                <w:sz w:val="20"/>
                <w:szCs w:val="20"/>
                <w:color w:val="auto"/>
              </w:rPr>
            </w:pP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rPr>
              <w:t>“Use of Proceeds” in this prospectus supplement.</w:t>
            </w:r>
          </w:p>
        </w:tc>
      </w:tr>
      <w:tr>
        <w:trPr>
          <w:trHeight w:val="229"/>
        </w:trPr>
        <w:tc>
          <w:tcPr>
            <w:tcW w:w="398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w w:val="89"/>
              </w:rPr>
              <w:t>The Notes and the indenture will be governed by and construed</w:t>
            </w:r>
          </w:p>
        </w:tc>
      </w:tr>
      <w:tr>
        <w:trPr>
          <w:trHeight w:val="230"/>
        </w:trPr>
        <w:tc>
          <w:tcPr>
            <w:tcW w:w="3980" w:type="dxa"/>
            <w:vAlign w:val="bottom"/>
          </w:tcPr>
          <w:p>
            <w:pPr>
              <w:spacing w:after="0"/>
              <w:rPr>
                <w:sz w:val="20"/>
                <w:szCs w:val="20"/>
                <w:color w:val="auto"/>
              </w:rPr>
            </w:pP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rPr>
              <w:t>in accordance with the laws of the State of New York.</w:t>
            </w:r>
          </w:p>
        </w:tc>
      </w:tr>
      <w:tr>
        <w:trPr>
          <w:trHeight w:val="229"/>
        </w:trPr>
        <w:tc>
          <w:tcPr>
            <w:tcW w:w="3980" w:type="dxa"/>
            <w:vAlign w:val="bottom"/>
          </w:tcPr>
          <w:p>
            <w:pPr>
              <w:spacing w:after="0"/>
              <w:rPr>
                <w:sz w:val="20"/>
                <w:szCs w:val="20"/>
                <w:color w:val="auto"/>
              </w:rPr>
            </w:pPr>
            <w:r>
              <w:rPr>
                <w:rFonts w:ascii="Arial" w:cs="Arial" w:eastAsia="Arial" w:hAnsi="Arial"/>
                <w:sz w:val="18"/>
                <w:szCs w:val="18"/>
                <w:b w:val="1"/>
                <w:bCs w:val="1"/>
                <w:color w:val="auto"/>
              </w:rPr>
              <w:t>Global clearance and settlement procedures</w:t>
            </w:r>
          </w:p>
        </w:tc>
        <w:tc>
          <w:tcPr>
            <w:tcW w:w="5180" w:type="dxa"/>
            <w:vAlign w:val="bottom"/>
            <w:gridSpan w:val="2"/>
          </w:tcPr>
          <w:p>
            <w:pPr>
              <w:ind w:left="620"/>
              <w:spacing w:after="0"/>
              <w:rPr>
                <w:sz w:val="20"/>
                <w:szCs w:val="20"/>
                <w:color w:val="auto"/>
              </w:rPr>
            </w:pPr>
            <w:r>
              <w:rPr>
                <w:rFonts w:ascii="Arial" w:cs="Arial" w:eastAsia="Arial" w:hAnsi="Arial"/>
                <w:sz w:val="18"/>
                <w:szCs w:val="18"/>
                <w:color w:val="auto"/>
                <w:w w:val="97"/>
              </w:rPr>
              <w:t>Interests in the Notes will trade in DTC’s Same Day Funds</w:t>
            </w:r>
          </w:p>
        </w:tc>
      </w:tr>
      <w:tr>
        <w:trPr>
          <w:trHeight w:val="191"/>
        </w:trPr>
        <w:tc>
          <w:tcPr>
            <w:tcW w:w="3980" w:type="dxa"/>
            <w:vAlign w:val="bottom"/>
          </w:tcPr>
          <w:p>
            <w:pPr>
              <w:spacing w:after="0"/>
              <w:rPr>
                <w:sz w:val="16"/>
                <w:szCs w:val="16"/>
                <w:color w:val="auto"/>
              </w:rPr>
            </w:pPr>
          </w:p>
        </w:tc>
        <w:tc>
          <w:tcPr>
            <w:tcW w:w="3700" w:type="dxa"/>
            <w:vAlign w:val="bottom"/>
          </w:tcPr>
          <w:p>
            <w:pPr>
              <w:ind w:left="620"/>
              <w:spacing w:after="0" w:line="191" w:lineRule="exact"/>
              <w:rPr>
                <w:sz w:val="20"/>
                <w:szCs w:val="20"/>
                <w:color w:val="auto"/>
              </w:rPr>
            </w:pPr>
            <w:r>
              <w:rPr>
                <w:rFonts w:ascii="Arial" w:cs="Arial" w:eastAsia="Arial" w:hAnsi="Arial"/>
                <w:sz w:val="18"/>
                <w:szCs w:val="18"/>
                <w:color w:val="auto"/>
                <w:w w:val="94"/>
              </w:rPr>
              <w:t>Settlement  System,  and  any  permitted</w:t>
            </w:r>
          </w:p>
        </w:tc>
        <w:tc>
          <w:tcPr>
            <w:tcW w:w="1480" w:type="dxa"/>
            <w:vAlign w:val="bottom"/>
          </w:tcPr>
          <w:p>
            <w:pPr>
              <w:jc w:val="right"/>
              <w:spacing w:after="0" w:line="191" w:lineRule="exact"/>
              <w:rPr>
                <w:sz w:val="20"/>
                <w:szCs w:val="20"/>
                <w:color w:val="auto"/>
              </w:rPr>
            </w:pPr>
            <w:r>
              <w:rPr>
                <w:rFonts w:ascii="Arial" w:cs="Arial" w:eastAsia="Arial" w:hAnsi="Arial"/>
                <w:sz w:val="18"/>
                <w:szCs w:val="18"/>
                <w:color w:val="auto"/>
                <w:w w:val="98"/>
              </w:rPr>
              <w:t>secondary  market</w:t>
            </w:r>
          </w:p>
        </w:tc>
      </w:tr>
    </w:tbl>
    <w:p>
      <w:pPr>
        <w:ind w:left="4600"/>
        <w:spacing w:after="0" w:line="215" w:lineRule="auto"/>
        <w:rPr>
          <w:sz w:val="20"/>
          <w:szCs w:val="20"/>
          <w:color w:val="auto"/>
        </w:rPr>
      </w:pPr>
      <w:r>
        <w:rPr>
          <w:rFonts w:ascii="Arial" w:cs="Arial" w:eastAsia="Arial" w:hAnsi="Arial"/>
          <w:sz w:val="17"/>
          <w:szCs w:val="17"/>
          <w:color w:val="auto"/>
        </w:rPr>
        <w:t>trading activity in such Notes will, therefore, be required by</w:t>
      </w:r>
    </w:p>
    <w:p>
      <w:pPr>
        <w:ind w:left="4600"/>
        <w:spacing w:after="0" w:line="229" w:lineRule="auto"/>
        <w:rPr>
          <w:sz w:val="20"/>
          <w:szCs w:val="20"/>
          <w:color w:val="auto"/>
        </w:rPr>
      </w:pPr>
      <w:r>
        <w:rPr>
          <w:rFonts w:ascii="Arial" w:cs="Arial" w:eastAsia="Arial" w:hAnsi="Arial"/>
          <w:sz w:val="16"/>
          <w:szCs w:val="16"/>
          <w:color w:val="auto"/>
        </w:rPr>
        <w:t>DTC to be settled in immediately available funds. None of the</w:t>
      </w:r>
    </w:p>
    <w:p>
      <w:pPr>
        <w:ind w:left="4600"/>
        <w:spacing w:after="0" w:line="203" w:lineRule="auto"/>
        <w:rPr>
          <w:sz w:val="20"/>
          <w:szCs w:val="20"/>
          <w:color w:val="auto"/>
        </w:rPr>
      </w:pPr>
      <w:r>
        <w:rPr>
          <w:rFonts w:ascii="Arial" w:cs="Arial" w:eastAsia="Arial" w:hAnsi="Arial"/>
          <w:sz w:val="18"/>
          <w:szCs w:val="18"/>
          <w:color w:val="auto"/>
        </w:rPr>
        <w:t>Company, the trustee or the paying agent will have any</w:t>
      </w:r>
    </w:p>
    <w:p>
      <w:pPr>
        <w:ind w:left="4600"/>
        <w:spacing w:after="0" w:line="216" w:lineRule="auto"/>
        <w:rPr>
          <w:sz w:val="20"/>
          <w:szCs w:val="20"/>
          <w:color w:val="auto"/>
        </w:rPr>
      </w:pPr>
      <w:r>
        <w:rPr>
          <w:rFonts w:ascii="Arial" w:cs="Arial" w:eastAsia="Arial" w:hAnsi="Arial"/>
          <w:sz w:val="17"/>
          <w:szCs w:val="17"/>
          <w:color w:val="auto"/>
        </w:rPr>
        <w:t>responsibility for the performance by DTC or its participants</w:t>
      </w:r>
    </w:p>
    <w:p>
      <w:pPr>
        <w:ind w:left="4600"/>
        <w:spacing w:after="0" w:line="229" w:lineRule="auto"/>
        <w:rPr>
          <w:sz w:val="20"/>
          <w:szCs w:val="20"/>
          <w:color w:val="auto"/>
        </w:rPr>
      </w:pPr>
      <w:r>
        <w:rPr>
          <w:rFonts w:ascii="Arial" w:cs="Arial" w:eastAsia="Arial" w:hAnsi="Arial"/>
          <w:sz w:val="16"/>
          <w:szCs w:val="16"/>
          <w:color w:val="auto"/>
        </w:rPr>
        <w:t>or indirect participants of their respective obligations under the</w:t>
      </w:r>
    </w:p>
    <w:p>
      <w:pPr>
        <w:ind w:left="4600"/>
        <w:spacing w:after="0"/>
        <w:rPr>
          <w:sz w:val="20"/>
          <w:szCs w:val="20"/>
          <w:color w:val="auto"/>
        </w:rPr>
      </w:pPr>
      <w:r>
        <w:rPr>
          <w:rFonts w:ascii="Arial" w:cs="Arial" w:eastAsia="Arial" w:hAnsi="Arial"/>
          <w:sz w:val="18"/>
          <w:szCs w:val="18"/>
          <w:color w:val="auto"/>
        </w:rPr>
        <w:t>rules and procedures governing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9160"/>
          </w:cols>
          <w:pgMar w:left="1360" w:top="1440" w:right="1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SUPPLEMENTARY RISK FACTORS</w:t>
      </w:r>
    </w:p>
    <w:p>
      <w:pPr>
        <w:spacing w:after="0" w:line="229" w:lineRule="exact"/>
        <w:rPr>
          <w:sz w:val="20"/>
          <w:szCs w:val="20"/>
          <w:color w:val="auto"/>
        </w:rPr>
      </w:pPr>
    </w:p>
    <w:p>
      <w:pPr>
        <w:jc w:val="both"/>
        <w:spacing w:after="0" w:line="270"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the Notes involves a high degree of risk. Before you invest in the Notes, you should be aware of various significant risks, including those described below. Before you decide whether to make an investment in the Notes, you should carefully consider these risks, together with all of the risks and uncertainties described in the section titled “Risk Factors” in the accompanying prospectus and our most recent </w:t>
      </w:r>
      <w:hyperlink r:id="rId20">
        <w:r>
          <w:rPr>
            <w:rFonts w:ascii="Arial" w:cs="Arial" w:eastAsia="Arial" w:hAnsi="Arial"/>
            <w:sz w:val="17"/>
            <w:szCs w:val="17"/>
            <w:i w:val="1"/>
            <w:iCs w:val="1"/>
            <w:u w:val="single" w:color="auto"/>
            <w:color w:val="0000FF"/>
          </w:rPr>
          <w:t>Annual Report on Form 10-K</w:t>
        </w:r>
      </w:hyperlink>
      <w:r>
        <w:rPr>
          <w:rFonts w:ascii="Arial" w:cs="Arial" w:eastAsia="Arial" w:hAnsi="Arial"/>
          <w:sz w:val="17"/>
          <w:szCs w:val="17"/>
          <w:i w:val="1"/>
          <w:iCs w:val="1"/>
          <w:color w:val="auto"/>
        </w:rPr>
        <w:t>, as well as in subsequent filings with the SEC, which are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set forth below are not the only risks we face. If any of the following risks occur, our business, financial condition and results of our operations could be materially adversely affected. In such case, you could lose all or part of your investment. Please also read carefully the section titled "Special Note Regarding Forward-Looking Statements" in this prospectus supplement.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existing and future secured indebtedness, including indebtedness under our Credit Facility.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will not be secured by any of our assets or any of the assets of any of our subsidiaries. As a result, the Notes will be effectively subordinated to any existing and future secured indebtedness we or our subsidiaries have outstanding as of the date of this prospectus supplement (including our Credit Facility) or that we or our subsidiaries may incur in the future (or any indebtedness that is initially unsecured as to which we subsequently grant a security interest) to the extent of the value of the assets securing such indebtedness. In any liquidation, dissolution, bankruptcy or other similar proceeding, the holders of any of our secured indebtedness or secured indebtedness of our subsidiaries may assert rights against the assets pledged to secure that indebtedness in order to receive full payment of their indebtedness before the assets may be used to pay other creditors, including the holders of the Notes. As of December 21, 2020, we had $215.0 million in outstanding indebtedness under our Credit Facility, which is secured by (1) substantially all of the present and future property and assets of the Company and the guarantors and (2) 100.0% of the equity interests in the Company’s wholly-owned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will be obligations exclusively of Capital Southwest, and not of any of our subsidiaries. None of our subsidiaries will be a guarantor of the Notes, and the Notes will not be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will be structurally subordinated to all indebtedness and other liabilities, including trade payables, of any of our existing or future subsidiaries. These entities may incur substantial indebtedness in the future, all of which would be structurally senior to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will be issued contains limited protection for holders of the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will not place any restrictions on our or our subsidiaries’ ability to:</w:t>
      </w:r>
    </w:p>
    <w:p>
      <w:pPr>
        <w:spacing w:after="0" w:line="214" w:lineRule="exact"/>
        <w:rPr>
          <w:sz w:val="20"/>
          <w:szCs w:val="20"/>
          <w:color w:val="auto"/>
        </w:rPr>
      </w:pPr>
    </w:p>
    <w:p>
      <w:pPr>
        <w:jc w:val="both"/>
        <w:ind w:left="660" w:hanging="328"/>
        <w:spacing w:after="0" w:line="284"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those entities and therefore rank structurally senior to the Notes with respect to the assets of our subsidiaries, in each case other than an incurrence of indebtedness or other obligation that would cause a violation of Section 18(a)(1)</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 as modified by Section 61(a)(2) of the 1940 Act or 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891" w:right="339" w:bottom="1440" w:gutter="0" w:footer="0" w:header="0"/>
        </w:sectPr>
      </w:pPr>
    </w:p>
    <w:bookmarkStart w:id="11" w:name="page12"/>
    <w:bookmarkEnd w:id="11"/>
    <w:p>
      <w:pPr>
        <w:jc w:val="both"/>
        <w:ind w:left="660"/>
        <w:spacing w:after="0" w:line="259" w:lineRule="auto"/>
        <w:rPr>
          <w:sz w:val="20"/>
          <w:szCs w:val="20"/>
          <w:color w:val="auto"/>
        </w:rPr>
      </w:pPr>
      <w:r>
        <w:rPr>
          <w:rFonts w:ascii="Arial" w:cs="Arial" w:eastAsia="Arial" w:hAnsi="Arial"/>
          <w:sz w:val="18"/>
          <w:szCs w:val="18"/>
          <w:color w:val="auto"/>
        </w:rPr>
        <w:t>successor provisions, whether or not we continue to be subject to such provisions of the 1940 Act, but giving effect, in each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spacing w:after="0" w:line="214" w:lineRule="exact"/>
        <w:rPr>
          <w:sz w:val="20"/>
          <w:szCs w:val="20"/>
          <w:color w:val="auto"/>
        </w:rPr>
      </w:pPr>
    </w:p>
    <w:p>
      <w:pPr>
        <w:jc w:val="both"/>
        <w:ind w:left="660" w:hanging="328"/>
        <w:spacing w:after="0" w:line="28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pay dividends on, or purchase or redeem or make any payments in respect of, capital stock or other securities ranking junior in right of payment to the Notes, including subordinated indebtedness, except that we have agreed that, for the period of time during which the Notes are outstanding, we will not violate Section 18(a)(1)(B) as modified by (i) Section 61(a)(2) of the 1940 Act or any successor provisions and after giving effect to any exemptive relief granted to us by the SEC and (ii) the following two exceptions: (A)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w:t>
      </w:r>
    </w:p>
    <w:p>
      <w:pPr>
        <w:spacing w:after="0" w:line="2" w:lineRule="exact"/>
        <w:rPr>
          <w:rFonts w:ascii="Arial" w:cs="Arial" w:eastAsia="Arial" w:hAnsi="Arial"/>
          <w:sz w:val="16"/>
          <w:szCs w:val="16"/>
          <w:color w:val="auto"/>
        </w:rPr>
      </w:pPr>
    </w:p>
    <w:p>
      <w:pPr>
        <w:jc w:val="both"/>
        <w:ind w:left="660" w:right="20"/>
        <w:spacing w:after="0" w:line="292" w:lineRule="auto"/>
        <w:rPr>
          <w:rFonts w:ascii="Arial" w:cs="Arial" w:eastAsia="Arial" w:hAnsi="Arial"/>
          <w:sz w:val="16"/>
          <w:szCs w:val="16"/>
          <w:color w:val="auto"/>
        </w:rPr>
      </w:pPr>
      <w:r>
        <w:rPr>
          <w:rFonts w:ascii="Arial" w:cs="Arial" w:eastAsia="Arial" w:hAnsi="Arial"/>
          <w:sz w:val="16"/>
          <w:szCs w:val="16"/>
          <w:color w:val="auto"/>
        </w:rPr>
        <w:t>(1)(B) as modified by Section 61(a)(2) of the 1940 Act or any successor provisions (after giving effect to any exemptive relief granted to us by the SEC) for more than six consecutive months.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w:t>
      </w:r>
    </w:p>
    <w:p>
      <w:pPr>
        <w:spacing w:after="0" w:line="18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market value of the Notes.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We may not be able to repurchase the Notes upon a Change of Control Repurchase Event because we may not have sufficient funds. Before making any such repurchase of Notes, we would also have to comply with certain requirements under our Credit Facility, to the extent such requirements remain in effect at such time, or otherwise obtain consent from the lenders under our Credit Facility. The terms of our Credit Facility also provide that certain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7"/>
          <w:szCs w:val="17"/>
          <w:color w:val="auto"/>
        </w:rPr>
        <w:t>change of control events will constitute an event of default thereunder entitling the lenders to accelerate any indebtedness outstanding under our Credit Facility at that time and to terminate our Credit Facility. In addition, the occurrence of a Change of Control Repurchase Event enabling the holders of the Notes to require the mandatory purchase of the Notes would likely constitute an event of default under our Credit Facility, entitling the lenders to accelerate any indebtedness outstanding under our Credit Facility at that time and to terminate our Credit Facility. Our and our subsidiaries' future financing facilities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indenture governing the 2024 Notes and under the agreements governing the Credit Facility, which may result in the acceleration of such indebtedness requiring us to repay that indebtedness immediately. If the holders of the Notes or the 2024 Notes exercise their respective right to require us to repurchase Notes or any 2024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a default. If a Change of Control Repurchase Event were to occur, we may not have sufficient funds to repay any such accelerated indebtedness. See "Description of the Notes - Offer to Repurchase Upon a Change of Control Repurchase Event" in this prospectus supplement for more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active trading market for the Notes. If an active trading market does not develop for the Notes, you may not be able to sell them.</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are a new issue of debt securities for which there currently is no trading market. We do not intend to list the Notes on any securities exchange or for quotation of the Notes on any automated dealer quotation system.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including the impact of COVID-19, or other relevant factors.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amount of debt outstanding will increase as a result of this offering, and if we default on our obligations to pay our other indebtedness, we may not be able to make payments on the Notes.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the indenture governing the 2022 Notes, the indenture governing the 2024 Notes, or other indebtedness to which we may be a party that is not waived by the required lenders or holders, and the remedies sought by the lenders or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(including the Credit Facility, the 2022 Notes, and the 2024 Notes),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lenders under the Credit Facility or other debt we may incur in the future could elect to terminate their commitment, cease making further loans and institute foreclosure proceedings against our assets, and we could be forced into bankruptcy or liquidation.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Credit Facility or otherwise, in an amount sufficient to enable us to meet our payment obligations under the Notes, the 2022 Notes, the 2024 Notes, our other debt, and to fund other liquidity needs.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lenders under the Credit Facility, the holders of the 2022 Notes, the holders of the 2024 Notes, or other debt that we may incur in the future to avoid being in default. If we are unable to implement one or more of these alternatives, we may not be able to meet our payment obligations under the Notes and our other debt. If we breach our covenants under the Credit Facility, the 2022 Notes, the 2024 Notes, or any of our other debt and seek a waiver, we may not be able to obtain a waiver from the required lenders or holders thereof. If this occurs, we would be in default under the Credit Facility, the 2022 Notes, the 2024 Notes, or other debt, the lenders or holders could exercise rights as described above, and we could be forced into bankruptcy or liquidation. If we are unable to repay debt, lenders having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989"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secured obligations could proceed against the collateral securing the debt. Because each of the Credit Facility and the indenture governing the 2024 Notes has, the indenture governing the Notes will have, and any future credit facilities will likely have, customary cross-default provisions, if the indebtedness under the Notes, the 2024 Notes, the Credit Facility or under any future credit facility is accelerated, we may be unable to repay or finance the amounts due.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or change in the debt markets could cause the liquidity or market value of the Notes to decline significantly.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the Company, so warrant. The conditions of the financial markets and prevailing interest rates have fluctuated in the past and are likely to fluctuate in the future, which could have an adverse effect on the market prices of the Notes.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11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i w:val="1"/>
          <w:iCs w:val="1"/>
          <w:color w:val="auto"/>
        </w:rPr>
        <w:t>Information included or incorporated by reference in this prospectus supplement, the accompanying prospectus and in any free writing prospectus relating to this offering of the Notes may contain forward-looking statements, which can be identified by the use of forward-looking terminology such as “may,” “predict,” “will,” “continue,” “likely,” “would,” “could,” “should,” “expect,” “anticipate,” “potential,” “estimate,” “indicate,” “seek,” “believe,” “target,” “intend” or “project” or the negative of these words or other variations on these words or comparable terminology. The matters described in the section titled “Risk Factors” in the accompanying prospectus and our most recent Annual Report on Form 10-K which is incorporated by reference in this prospectus supplement and the accompanying prospectus, as well as subsequent filings with the SEC, or in any free writing prospectus relating to this offering and certain other factors noted throughout or incorporated by reference in this prospectus supplement, the accompanying prospectus and in any free writing prospectus relating to this offering constitute cautionary statements identifying important factors with respect to any such forward-looking statements, including certain risks and uncertainties that could cause actual results to differ materially from those in such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implied by the forward-looking statements. The forward-looking statements included or incorporated by reference in this prospectus supplement, the accompanying prospectus, and in any free writing prospectus relating to this offering of the Notes may include statements as to:</w:t>
      </w:r>
    </w:p>
    <w:p>
      <w:pPr>
        <w:spacing w:after="0" w:line="63" w:lineRule="exact"/>
        <w:rPr>
          <w:sz w:val="20"/>
          <w:szCs w:val="20"/>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debt and equity capital and our ability to manage our capital resources effectively;</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17" w:lineRule="exact"/>
        <w:rPr>
          <w:rFonts w:ascii="Arial" w:cs="Arial" w:eastAsia="Arial" w:hAnsi="Arial"/>
          <w:sz w:val="18"/>
          <w:szCs w:val="18"/>
          <w:color w:val="auto"/>
        </w:rPr>
      </w:pPr>
    </w:p>
    <w:p>
      <w:pPr>
        <w:ind w:left="460" w:hanging="209"/>
        <w:spacing w:after="0" w:line="277" w:lineRule="auto"/>
        <w:tabs>
          <w:tab w:leader="none" w:pos="4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as a BDC and a RIC, including the impact of changes in laws or regulations governing our operations or the operations of our portfolio companies;</w:t>
      </w:r>
    </w:p>
    <w:p>
      <w:pPr>
        <w:spacing w:after="0" w:line="62"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invest any capital raised in an offering;</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regulatory structure and tax treatment; and</w:t>
      </w:r>
    </w:p>
    <w:p>
      <w:pPr>
        <w:spacing w:after="0" w:line="117" w:lineRule="exact"/>
        <w:rPr>
          <w:rFonts w:ascii="Arial" w:cs="Arial" w:eastAsia="Arial" w:hAnsi="Arial"/>
          <w:sz w:val="18"/>
          <w:szCs w:val="18"/>
          <w:color w:val="auto"/>
        </w:rPr>
      </w:pPr>
    </w:p>
    <w:p>
      <w:pPr>
        <w:ind w:left="440" w:hanging="189"/>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not place undue reliance on our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and other documents that we may file with the SEC, as well as the sections entitled “Supplementary Risk Factors” in this prospectus supplement and “Cautionary Statement Concerning Forward-Looking Statements” in the accompanying prospectus, before making any investment in the Notes.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89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estimate the net proceeds we will receive from the sale of the $ million aggregate principal amount of the Notes in this offering will be approximately</w:t>
      </w:r>
    </w:p>
    <w:p>
      <w:pPr>
        <w:spacing w:after="0" w:line="4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million, based on a public offering price of % of par, after deducting the underwriting discount and the estimated offering expenses payable by us.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intend to use the net proceeds from this offering to redeem all of the outstanding 2022 Notes and repay a portion of the outstanding indebtedness under our Credit Facility. However, through re-borrowings under our Credit Facility, we intend to make investments in LMM and UMM portfolio companies in accordance with our investment objective and strategies, and for other general corporate purposes, including payment of operating expenses. As of December 21, 2020, we had $215.0 million of indebtedness outstanding under our Credit Facility. Our Credit Facility matures on December 21, 2023, and borrowings under the Credit Facility currently bear interest on a per annum basis equal to LIBOR plus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891" w:right="339" w:bottom="1440" w:gutter="0" w:footer="0" w:header="0"/>
        </w:sectPr>
      </w:pPr>
    </w:p>
    <w:bookmarkStart w:id="16" w:name="page17"/>
    <w:bookmarkEnd w:id="16"/>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 as of September 30, 2020; and</w:t>
      </w:r>
    </w:p>
    <w:p>
      <w:pPr>
        <w:spacing w:after="0" w:line="225"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as adjusted basis for the sale of $ million aggregate principal amount of the Notes offered hereby, less the underwriting discount and the estimated offering expenses payable by us, and the application of the proceeds thereof.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table should be read together with “Use of Proceeds” included in this prospectus supplement, “Management’s Discussion and Analysis of Financial Condition and Results of Operations” in the accompanying prospectus, and our most recent consolidated financial statements and notes thereto included or incorporated by reference in this prospectus supplement and the accompanying prospectus.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jc w:val="right"/>
              <w:ind w:right="895"/>
              <w:spacing w:after="0"/>
              <w:rPr>
                <w:sz w:val="20"/>
                <w:szCs w:val="20"/>
                <w:color w:val="auto"/>
              </w:rPr>
            </w:pPr>
            <w:r>
              <w:rPr>
                <w:rFonts w:ascii="Arial" w:cs="Arial" w:eastAsia="Arial" w:hAnsi="Arial"/>
                <w:sz w:val="14"/>
                <w:szCs w:val="14"/>
                <w:b w:val="1"/>
                <w:bCs w:val="1"/>
                <w:color w:val="auto"/>
                <w:w w:val="93"/>
              </w:rPr>
              <w:t>As of September 30, 2020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6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Adjusted for this Offering</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3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(in thousands, except share and per share numbers)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ind w:right="117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1760" w:type="dxa"/>
            <w:vAlign w:val="bottom"/>
            <w:shd w:val="clear" w:color="auto" w:fill="CCEEFF"/>
          </w:tcPr>
          <w:p>
            <w:pPr>
              <w:jc w:val="right"/>
              <w:ind w:right="15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Credit Facility</w:t>
            </w:r>
            <w:r>
              <w:rPr>
                <w:rFonts w:ascii="Arial" w:cs="Arial" w:eastAsia="Arial" w:hAnsi="Arial"/>
                <w:sz w:val="23"/>
                <w:szCs w:val="23"/>
                <w:color w:val="auto"/>
                <w:vertAlign w:val="superscript"/>
              </w:rPr>
              <w:t>(1)(3)</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line="230" w:lineRule="exact"/>
              <w:rPr>
                <w:sz w:val="20"/>
                <w:szCs w:val="20"/>
                <w:color w:val="auto"/>
              </w:rPr>
            </w:pPr>
            <w:r>
              <w:rPr>
                <w:rFonts w:ascii="Arial" w:cs="Arial" w:eastAsia="Arial" w:hAnsi="Arial"/>
                <w:sz w:val="18"/>
                <w:szCs w:val="18"/>
                <w:color w:val="auto"/>
              </w:rPr>
              <w:t>2022 Notes (net of deferred issuance costs)</w:t>
            </w:r>
            <w:r>
              <w:rPr>
                <w:rFonts w:ascii="Arial" w:cs="Arial" w:eastAsia="Arial" w:hAnsi="Arial"/>
                <w:sz w:val="23"/>
                <w:szCs w:val="23"/>
                <w:color w:val="auto"/>
                <w:vertAlign w:val="superscript"/>
              </w:rPr>
              <w:t>(2)(3)</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56,339</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 Notes (net of deferred issuance costs)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122,623</w:t>
            </w: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Notes offered hereby</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365,962</w:t>
            </w:r>
          </w:p>
        </w:tc>
        <w:tc>
          <w:tcPr>
            <w:tcW w:w="1760" w:type="dxa"/>
            <w:vAlign w:val="bottom"/>
            <w:tcBorders>
              <w:bottom w:val="single" w:sz="8" w:color="auto"/>
            </w:tcBorders>
            <w:shd w:val="clear" w:color="auto" w:fill="CCEEFF"/>
          </w:tcPr>
          <w:p>
            <w:pPr>
              <w:jc w:val="right"/>
              <w:ind w:right="155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line="176" w:lineRule="exact"/>
              <w:rPr>
                <w:sz w:val="20"/>
                <w:szCs w:val="20"/>
                <w:color w:val="auto"/>
              </w:rPr>
            </w:pPr>
            <w:r>
              <w:rPr>
                <w:rFonts w:ascii="Arial" w:cs="Arial" w:eastAsia="Arial" w:hAnsi="Arial"/>
                <w:sz w:val="18"/>
                <w:szCs w:val="18"/>
                <w:color w:val="auto"/>
                <w:w w:val="96"/>
              </w:rPr>
              <w:t>Common stock, par value $0.25 per share, 40,000,000 common shares authorized, and</w:t>
            </w:r>
          </w:p>
        </w:tc>
        <w:tc>
          <w:tcPr>
            <w:tcW w:w="1360" w:type="dxa"/>
            <w:vAlign w:val="bottom"/>
            <w:vMerge w:val="restart"/>
          </w:tcPr>
          <w:p>
            <w:pPr>
              <w:jc w:val="right"/>
              <w:ind w:right="1175"/>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5,241</w:t>
            </w:r>
          </w:p>
        </w:tc>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20,962,764 common shares issued and 18,623,252 common shares outstanding</w:t>
            </w:r>
          </w:p>
        </w:tc>
        <w:tc>
          <w:tcPr>
            <w:tcW w:w="13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318,307</w:t>
            </w: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Total distributable earnings (loss)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(13,482)</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 at cost, 2,339,512 shares</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w:t>
            </w:r>
          </w:p>
        </w:tc>
        <w:tc>
          <w:tcPr>
            <w:tcW w:w="1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assets</w:t>
            </w:r>
          </w:p>
        </w:tc>
        <w:tc>
          <w:tcPr>
            <w:tcW w:w="1360" w:type="dxa"/>
            <w:vAlign w:val="bottom"/>
            <w:tcBorders>
              <w:bottom w:val="single" w:sz="8" w:color="auto"/>
            </w:tcBorders>
          </w:tcPr>
          <w:p>
            <w:pPr>
              <w:jc w:val="right"/>
              <w:ind w:right="117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286,129</w:t>
            </w:r>
          </w:p>
        </w:tc>
        <w:tc>
          <w:tcPr>
            <w:tcW w:w="1760" w:type="dxa"/>
            <w:vAlign w:val="bottom"/>
            <w:tcBorders>
              <w:bottom w:val="single" w:sz="8" w:color="auto"/>
            </w:tcBorders>
          </w:tcPr>
          <w:p>
            <w:pPr>
              <w:jc w:val="right"/>
              <w:ind w:right="155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664,265</w:t>
            </w:r>
          </w:p>
        </w:tc>
        <w:tc>
          <w:tcPr>
            <w:tcW w:w="1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60" w:hanging="328"/>
        <w:spacing w:after="0" w:line="280" w:lineRule="auto"/>
        <w:tabs>
          <w:tab w:leader="none" w:pos="64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above table reflects the carrying value of indebtedness outstanding as of September 30, 2020. After September 30, 2020, we borrowed a total of $28.0 million under the Credit Facility, which brought the total amount of indebtedness outstanding under the Credit Facility to $215.0 million as of December 21, 2020.</w:t>
      </w:r>
    </w:p>
    <w:p>
      <w:pPr>
        <w:spacing w:after="0" w:line="43" w:lineRule="exact"/>
        <w:rPr>
          <w:rFonts w:ascii="Arial" w:cs="Arial" w:eastAsia="Arial" w:hAnsi="Arial"/>
          <w:sz w:val="18"/>
          <w:szCs w:val="18"/>
          <w:color w:val="auto"/>
          <w:vertAlign w:val="superscript"/>
        </w:rPr>
      </w:pPr>
    </w:p>
    <w:p>
      <w:pPr>
        <w:ind w:left="660" w:right="160" w:hanging="328"/>
        <w:spacing w:after="0" w:line="310" w:lineRule="auto"/>
        <w:tabs>
          <w:tab w:leader="none" w:pos="647" w:val="left"/>
        </w:tabs>
        <w:numPr>
          <w:ilvl w:val="0"/>
          <w:numId w:val="7"/>
        </w:numPr>
        <w:rPr>
          <w:rFonts w:ascii="Arial" w:cs="Arial" w:eastAsia="Arial" w:hAnsi="Arial"/>
          <w:sz w:val="9"/>
          <w:szCs w:val="9"/>
          <w:color w:val="auto"/>
        </w:rPr>
      </w:pPr>
      <w:r>
        <w:rPr>
          <w:rFonts w:ascii="Arial" w:cs="Arial" w:eastAsia="Arial" w:hAnsi="Arial"/>
          <w:sz w:val="15"/>
          <w:szCs w:val="15"/>
          <w:color w:val="auto"/>
        </w:rPr>
        <w:t>The above table reflects the aggregate principal amount outstanding of the 2022 Notes as of September 30, 2020, net of deferred issuance costs. After September 30, 2020, we redeemed $20.0 million in aggregate principal amount of the issued and outstanding 2022 Notes on December 10, 2020.</w:t>
      </w:r>
    </w:p>
    <w:p>
      <w:pPr>
        <w:spacing w:after="0" w:line="13" w:lineRule="exact"/>
        <w:rPr>
          <w:rFonts w:ascii="Arial" w:cs="Arial" w:eastAsia="Arial" w:hAnsi="Arial"/>
          <w:sz w:val="9"/>
          <w:szCs w:val="9"/>
          <w:color w:val="auto"/>
        </w:rPr>
      </w:pPr>
    </w:p>
    <w:p>
      <w:pPr>
        <w:ind w:left="660" w:right="20" w:hanging="328"/>
        <w:spacing w:after="0" w:line="261" w:lineRule="auto"/>
        <w:tabs>
          <w:tab w:leader="none" w:pos="647" w:val="left"/>
        </w:tabs>
        <w:numPr>
          <w:ilvl w:val="0"/>
          <w:numId w:val="7"/>
        </w:numPr>
        <w:rPr>
          <w:rFonts w:ascii="Arial" w:cs="Arial" w:eastAsia="Arial" w:hAnsi="Arial"/>
          <w:sz w:val="9"/>
          <w:szCs w:val="9"/>
          <w:color w:val="auto"/>
        </w:rPr>
      </w:pPr>
      <w:r>
        <w:rPr>
          <w:rFonts w:ascii="Arial" w:cs="Arial" w:eastAsia="Arial" w:hAnsi="Arial"/>
          <w:sz w:val="16"/>
          <w:szCs w:val="16"/>
          <w:color w:val="auto"/>
        </w:rPr>
        <w:t>We intend to use the net proceeds from this offering to redeem all of the outstanding 2022 Notes and repay a portion of the outstanding indebtedness under the Credit Facility. After giving effect to this offering and such repayment under the Credit Facility, we expect to have $ million of indebtedness outstanding under our Credit Facility. See “Use of Proceeds”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89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Notes will be issued under a base indenture, dated October 23, 2017, and a third supplemental indenture thereto, to be entered into between us and U.S. Bank National Association, as trustee. We refer to the indenture and the third supplemental indenture collectively as the “indenture” and to U.S. Bank National Association as the “trustee.” The Notes are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below. Second, the trustee performs certain administrative duties for us with respect to the Notes.</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This section includes a summary description of the material terms of the Notes and the indenture. Because this section is a summary, however, it does not describe every aspect of the Notes and the indenture. We urge you to read the indenture because it, and not this description, defines your rights as a holder of the Notes. The base indenture has been attached as an exhibit to the registration statement of which this prospectus supplement is a part and the third supplemental indenture will be attached as an exhibit to a Current Report on Form 8-K, which will be incorporated by reference into this prospectus supplement, in each case, as filed or as will be filed with the SEC. See “Available Information” in this prospectus supplement for information on how to obtain a copy of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Notes will mature on , 2026. The principal payable at maturity will be 100% of the aggregate principal amount. The interest rate of the Notes is % per year and will be paid semi-annually in arrears on and of each year, beginning , 2021, and the regular record dates for interest payments will be every and , commencing ,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interest payment date falls on a non-business day, the applicable interest payment will be made on the next business day and no additional interest will accrue as a result of such delayed payment. The initial interest period will be the period from and including December , 2020, to, but excluding, the initial interest payment date, and the subsequent interest periods will be the periods from and including an interest payment date to, but excluding, the next interest payment date or the stated maturity date, as the case may be.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“business day” means, with respect to any Note, each Monday, Tuesday, Wednesday, Thursday, and Friday that is not a day on which banking institutions in The City of New York are authorized or obligated by law or executive order to close.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issue the Notes in denominations of $2,000 and integral multiples of $1,000 in excess thereof. The Notes will not be subject to any sinking fund.</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 Other Covenants” and “- Events of Default.” Other than the foregoing and as described under “- Other Covenants” and “- Events of Default” below, the indenture does not contain any financial covenants and does not restrict us from paying dividends or issuing or repurchasing our other securities. Other than restrictions described under “- Offer to Repurchase Upon a Change of Control Repurchase Event” and “- Merger, Consolidation or Asset Sale” below, the indenture does not contain any covenants or other provisions designed to afford holders of the Notes protection in the event of a highly leveraged transaction involving us or if our credit rating declines as the result of a takeover, recapitalization, highly leveraged transaction or similar restructuring involving us that could adversely affect your investment in the Notes.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without the consent of the holders of the Notes,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be treated as part of the same issue as the Notes offered hereby for U.S. federal income tax purposes. In addition, we have the ability to issue indenture securities with terms different from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Notes on any securities exchange or automated dealer quotation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Notes may be redeemed in whole or in part at any time or from time to time at our option, upon not less than 30 days nor more than 60 days written notice by mail prior to the date fixed for redemption thereof, at a redemption price (as determined by us) equal to the greater of the following amounts, plus, in each case, accrued and unpaid interest to, but excluding, the redemption date: (1) 100% of the principal amount of the Notes to be redeemed or</w:t>
      </w:r>
    </w:p>
    <w:p>
      <w:pPr>
        <w:spacing w:after="0" w:line="2" w:lineRule="exact"/>
        <w:rPr>
          <w:sz w:val="20"/>
          <w:szCs w:val="20"/>
          <w:color w:val="auto"/>
        </w:rPr>
      </w:pPr>
    </w:p>
    <w:p>
      <w:pPr>
        <w:jc w:val="both"/>
        <w:ind w:firstLine="8"/>
        <w:spacing w:after="0" w:line="252"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Notes on or after , 20 (the date falling three months prior to the maturity date of the Notes), the redemption price for the Notes will be equal to 100% of the principal amount of the Notes to be redeemed, plus accrued and unpaid interest, if any, to, but excluding, the date of redemption; provided, further, that no such partial redemption shall reduce the portion of the principal amount of a Note not redeemed to less than $2,000.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indenture, the terms of our Credit Facility and the 1940 Act, to the extent applicable.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redeem only some of the Notes, the trustee or, with respect to global securities, DTC will determine the method for selection of the particular Notes to be redeemed, in accordance with the indenture and the 1940 Act, to the extent applicable,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"Comparable Treasury Price" means (1) the average of the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Treasury Dealer" means each of any four primary U.S. government securities dealers selected by us.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 All determinations made by any Reference Treasury Dealer, including the Quotation Agent, with respect to determining the redemption price will be final and binding absent manifest error.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of that holder's Notes at a repurchase price in cash equal to 100% of the aggregate principal amount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88" w:lineRule="auto"/>
        <w:rPr>
          <w:sz w:val="20"/>
          <w:szCs w:val="20"/>
          <w:color w:val="auto"/>
        </w:rPr>
      </w:pPr>
      <w:r>
        <w:rPr>
          <w:rFonts w:ascii="Arial" w:cs="Arial" w:eastAsia="Arial" w:hAnsi="Arial"/>
          <w:sz w:val="16"/>
          <w:szCs w:val="16"/>
          <w:color w:val="auto"/>
        </w:rPr>
        <w:t>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mail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238" w:lineRule="exact"/>
        <w:rPr>
          <w:sz w:val="20"/>
          <w:szCs w:val="20"/>
          <w:color w:val="auto"/>
        </w:rPr>
      </w:pPr>
    </w:p>
    <w:p>
      <w:pPr>
        <w:ind w:left="920" w:hanging="26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306" w:lineRule="exact"/>
        <w:rPr>
          <w:rFonts w:ascii="Arial" w:cs="Arial" w:eastAsia="Arial" w:hAnsi="Arial"/>
          <w:sz w:val="18"/>
          <w:szCs w:val="18"/>
          <w:color w:val="auto"/>
        </w:rPr>
      </w:pPr>
    </w:p>
    <w:p>
      <w:pPr>
        <w:ind w:left="920" w:hanging="264"/>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aggregate purchase price in respect of all Notes or portions of Notes properly tendered;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91" w:lineRule="exact"/>
        <w:rPr>
          <w:rFonts w:ascii="Arial" w:cs="Arial" w:eastAsia="Arial" w:hAnsi="Arial"/>
          <w:sz w:val="16"/>
          <w:szCs w:val="16"/>
          <w:color w:val="auto"/>
        </w:rPr>
      </w:pPr>
    </w:p>
    <w:p>
      <w:pPr>
        <w:ind w:left="660" w:hanging="4"/>
        <w:spacing w:after="0" w:line="293" w:lineRule="auto"/>
        <w:tabs>
          <w:tab w:leader="none" w:pos="92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Before making any such repurchase of Notes, we would also have to comply with certain requirements under our Credit Facility, to the extent such requirements remain in effect at such time, or otherwise obtain consent from the lenders under the Credit Facility. The terms of our Credit Facility also provide that certain change of control events will constitute an event of default thereunder entitling the lenders to accelerate any indebtedness outstanding under our Credit Facility at that time and to terminate the Credit Facility. In addition, the occurrence of a Change of Control Repurchase Event enabling the holders of the Notes to require the mandatory purchase of the Notes would likely constitute an event of default under our Credit Facility, entitling the lenders to accelerate any indebtedness outstanding under our Credit Facility at that time and to terminate the Credit Facility. Our and our subsidiaries' future financing facilities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If the holders of the Notes exercise their right to require us to repurchase Notes upon a Change of Control Repurchase Event, the financial effect of this repurchase could cause a default under our current and future debt instruments, even if the Change of Control Repurchase Event itself would not cause a default. It is possible that we will not have sufficient funds at the time of the Change of Control Repurchase Event to make the required repurchase of the Notes and/or our other debt.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1057"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transfer, conveyance or other disposition of less than all of our assets and the assets of our subsidiaries taken as a whole to another person or group may be uncertain.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Notes: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does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293" w:lineRule="exact"/>
        <w:rPr>
          <w:sz w:val="20"/>
          <w:szCs w:val="20"/>
          <w:color w:val="auto"/>
        </w:rPr>
      </w:pPr>
    </w:p>
    <w:p>
      <w:pPr>
        <w:jc w:val="both"/>
        <w:ind w:left="660" w:hanging="4"/>
        <w:spacing w:after="0" w:line="261" w:lineRule="auto"/>
        <w:tabs>
          <w:tab w:leader="none" w:pos="9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Capital Southwest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Capital Southwest or its Controlled Subsidiaries shall not be deemed to be any such sale, lease, transfer, conveyance or disposition;</w:t>
      </w:r>
    </w:p>
    <w:p>
      <w:pPr>
        <w:spacing w:after="0" w:line="8" w:lineRule="exact"/>
        <w:rPr>
          <w:rFonts w:ascii="Arial" w:cs="Arial" w:eastAsia="Arial" w:hAnsi="Arial"/>
          <w:sz w:val="18"/>
          <w:szCs w:val="18"/>
          <w:color w:val="auto"/>
        </w:rPr>
      </w:pPr>
    </w:p>
    <w:p>
      <w:pPr>
        <w:jc w:val="both"/>
        <w:ind w:left="660" w:hanging="4"/>
        <w:spacing w:after="0" w:line="264" w:lineRule="auto"/>
        <w:tabs>
          <w:tab w:leader="none" w:pos="9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Capital Southwest, measured by voting power rather than number of shares; or</w:t>
      </w:r>
    </w:p>
    <w:p>
      <w:pPr>
        <w:spacing w:after="0" w:line="7"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approval by Capital Southwest's stockholders of any plan or proposal relating to the liquidation or dissolution of Capital Southwest.</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"Controlled Subsidiary" means any subsidiary of Capital Southwest, 50% or more of the outstanding equity interests of which are owned by Capital Southwest and its direct or indirect subsidiaries and of which Capital Southwest possesses, directly or indirectly, the power to direct or cause the direction of the management or policies, whether through the ownership of voting equity interests, by agreement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"Egan-Jones" means Egan-Jones Ratings Company or any successor thereto.</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 from any Rating Agency selected by us as a replacement Rating Agency).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Holders" means (i) us and (ii) one or more of our Controlled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"Rating Agency" means:</w:t>
      </w:r>
    </w:p>
    <w:p>
      <w:pPr>
        <w:spacing w:after="0" w:line="50"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63" w:lineRule="exact"/>
        <w:rPr>
          <w:rFonts w:ascii="Arial" w:cs="Arial" w:eastAsia="Arial" w:hAnsi="Arial"/>
          <w:sz w:val="18"/>
          <w:szCs w:val="18"/>
          <w:color w:val="auto"/>
        </w:rPr>
      </w:pPr>
    </w:p>
    <w:p>
      <w:pPr>
        <w:jc w:val="both"/>
        <w:ind w:left="660" w:hanging="4"/>
        <w:spacing w:after="0" w:line="271" w:lineRule="auto"/>
        <w:tabs>
          <w:tab w:leader="none" w:pos="9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(or the equivalent) of such person, other than shares, interests, participations or other equivalents having such power only by reason of the occurrence of a contingency.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Note will be issued in book-entry form and represented by a global security that we deposit with and register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Book-Entry Procedures”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Security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Alternatively, at our option, we may pay any cash interest that becomes due on the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895" w:right="339" w:bottom="1440" w:gutter="0" w:footer="0" w:header="0"/>
        </w:sectPr>
      </w:pPr>
    </w:p>
    <w:bookmarkStart w:id="22" w:name="page23"/>
    <w:bookmarkEnd w:id="22"/>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You will have rights if an Event of Default occurs in respect of the Notes and the Event of Default is not cured, as described later in this subsection.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any Note when due and payable at maturity;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pay interest on any Note when due and payable, and such default is not cured within 30 days of its due date;</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60 days;</w:t>
      </w:r>
    </w:p>
    <w:p>
      <w:pPr>
        <w:spacing w:after="0" w:line="197"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the Notes have an asset coverage of less than 100%, giving effect to any exemptive relief granted to us by the SEC; or</w:t>
      </w:r>
    </w:p>
    <w:p>
      <w:pPr>
        <w:spacing w:after="0" w:line="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Capital Southwest for purposes of GAAP), with respect to any mortgage, agreement or other instrument under which there may be outstanding, or by which there may be secured or evidenced, any indebtedness for money borrowed in excess of $50 million in the aggregate of us and/ 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Event of Default for the Notes may, but does not necessarily, constitute an Event of Default for any other series of debt securities issued under the same or any other indenture. Within 90 days after the occurrence of any default under the indenture with respect to the Notes, the trustee shall transmit notice to the holders of such default known to the trustee, unless such default shall have been cured or waived; provided, however, that, except in the case of a default in the payment of the principal of (or premium, if any, on) or interest, if any, on any Note, the trustee shall be protected in withholding such notice if and so long as the board of directors, the executive committee or a trust committee of directors of the trustee in good faith determines that withholding of such notice is in the interest of the holders of the Notes; and provided further that in the case of any default or breach specified in the third bullet point above with respect to the Notes, no such notice shall be given until at least 60 days after the occurrence thereof.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If an Event of Default referred to in the third to last bullet point above with respect to us has occurred, the entire principal amount of all of the Notes will automatically become due and immediately payable.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7"/>
          <w:szCs w:val="17"/>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the trustee and bring your own lawsuit or other formal legal action or take other steps to enforce your rights or protect your interests relating to the Notes, the following must occur:</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the Notes must make a written request that the trustee take action because of the default and must offer reasonable indemnity to the trustee against the cost and other liabilities of taking that 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a majority in principal amount of the Notes may waive any past defaults other than a default: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payment of principal (or premium, if any) or interest;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 of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Asset Sale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where:</w:t>
      </w:r>
    </w:p>
    <w:p>
      <w:pPr>
        <w:spacing w:after="0" w:line="173"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merge out of existence or convey or transfer all or substantially all of our assets, the resulting entity must agree to be legally responsible for our obligations under the Notes;</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19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any of the foregoing and subject to the 1940 Act,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or (3) any combination of (1) and (2) above.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S-20</w:t>
      </w:r>
    </w:p>
    <w:p>
      <w:pPr>
        <w:sectPr>
          <w:pgSz w:w="11900" w:h="16838" w:orient="portrait"/>
          <w:cols w:equalWidth="0" w:num="1">
            <w:col w:w="11240"/>
          </w:cols>
          <w:pgMar w:left="320" w:top="1111" w:right="339" w:bottom="1440" w:gutter="0" w:footer="0" w:header="0"/>
          <w:type w:val="continuous"/>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there are changes that we cannot make to your Notes without your specific approval. The following is a list of those types of changes: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premium, if any, on) or any installment of principal of or interest on the Notes;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any amounts due on the Notes or reduce the rate of interest on the Notes;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Note following a default;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 and</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change affects only the Notes, it must be approved by the holders of a majority in principal amount of the Notes;and</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113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 waiver of a payment default or of any of the matters covered by the bullet points included above under “- Changes Requiring Your Approval.”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 Defeasance - Full Defeasance” below.</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Notes or request a waiver.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with respect to the Notes when:</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52" w:lineRule="exact"/>
        <w:rPr>
          <w:rFonts w:ascii="Arial" w:cs="Arial" w:eastAsia="Arial" w:hAnsi="Arial"/>
          <w:sz w:val="18"/>
          <w:szCs w:val="18"/>
          <w:color w:val="auto"/>
        </w:rPr>
      </w:pPr>
    </w:p>
    <w:p>
      <w:pPr>
        <w:ind w:left="1020" w:hanging="324"/>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the Notes that have been authenticated have been delivered to the trustee for cancellation; or</w:t>
      </w:r>
    </w:p>
    <w:p>
      <w:pPr>
        <w:spacing w:after="0" w:line="252" w:lineRule="exact"/>
        <w:rPr>
          <w:rFonts w:ascii="Arial" w:cs="Arial" w:eastAsia="Arial" w:hAnsi="Arial"/>
          <w:sz w:val="18"/>
          <w:szCs w:val="18"/>
          <w:color w:val="auto"/>
        </w:rPr>
      </w:pPr>
    </w:p>
    <w:p>
      <w:pPr>
        <w:ind w:left="1020" w:hanging="324"/>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the Notes that have not been delivered to the trustee for cancellation: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are to be called for redemption,</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and we, in the case of the first, second and third sub-bullets above, have irrevocably deposited or caused to be deposited with the trustee as trust funds in trust solely for the benefit of the holders of the Notes, in amounts in the currency payable for the Notes as will be sufficient,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Notes;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legal opinion, each stating that all conditions precedent provided for in the indenture relating to the satisfaction and discharge of the indenture and the Notes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11240"/>
          </w:cols>
          <w:pgMar w:left="320" w:top="1111" w:right="3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w:t>
      </w:r>
    </w:p>
    <w:p>
      <w:pPr>
        <w:spacing w:after="0" w:line="214"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the indenture or any of our other material agreements or instruments;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there is a change in U.S. federal income tax law, as described below, we can legally release ourselves from all payment and other obligations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(called “full defeasance”) if we put in place the following other arrangements for you to be repaid:</w:t>
      </w:r>
    </w:p>
    <w:p>
      <w:pPr>
        <w:spacing w:after="0" w:line="238" w:lineRule="exact"/>
        <w:rPr>
          <w:sz w:val="20"/>
          <w:szCs w:val="20"/>
          <w:color w:val="auto"/>
        </w:rPr>
      </w:pPr>
    </w:p>
    <w:p>
      <w:pPr>
        <w:jc w:val="both"/>
        <w:ind w:left="660" w:right="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w:t>
      </w:r>
    </w:p>
    <w:p>
      <w:pPr>
        <w:spacing w:after="0" w:line="210"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the indenture or any of our other material agreements or instruments;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any other covenants described in this prospectus supplement and the accompanying prospectus, as well as standard covenants relating to payment of principal and interest, maintaining an office where payments may be made or</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240"/>
          </w:cols>
          <w:pgMar w:left="320" w:top="11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color w:val="auto"/>
        </w:rPr>
        <w:t>securities can be surrendered for payment, payment of taxes by the Company and related matters, the following covenants will apply to the Notes:</w:t>
      </w:r>
    </w:p>
    <w:p>
      <w:pPr>
        <w:spacing w:after="0" w:line="26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Section 18(a)(1)(A) as modified by Section 61(a)</w:t>
      </w:r>
    </w:p>
    <w:p>
      <w:pPr>
        <w:spacing w:after="0" w:line="46"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spacing w:after="0" w:line="2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We agree that, for the period of time during which the Notes are outstanding, we will not violate Section 18(a)(1)(B) as modified by</w:t>
      </w:r>
    </w:p>
    <w:p>
      <w:pPr>
        <w:spacing w:after="0" w:line="23"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61(a)(2) of the 1940 Act or any successor provisions and after giving effect to any exemptive relief granted to us by the SEC and</w:t>
      </w:r>
    </w:p>
    <w:p>
      <w:pPr>
        <w:spacing w:after="0" w:line="20" w:lineRule="exact"/>
        <w:rPr>
          <w:rFonts w:ascii="Arial" w:cs="Arial" w:eastAsia="Arial" w:hAnsi="Arial"/>
          <w:sz w:val="17"/>
          <w:szCs w:val="17"/>
          <w:color w:val="auto"/>
        </w:rPr>
      </w:pPr>
    </w:p>
    <w:p>
      <w:pPr>
        <w:jc w:val="both"/>
        <w:ind w:left="660" w:hanging="4"/>
        <w:spacing w:after="0" w:line="281" w:lineRule="auto"/>
        <w:tabs>
          <w:tab w:leader="none" w:pos="9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w:t>
      </w:r>
    </w:p>
    <w:p>
      <w:pPr>
        <w:spacing w:after="0" w:line="3" w:lineRule="exact"/>
        <w:rPr>
          <w:rFonts w:ascii="Arial" w:cs="Arial" w:eastAsia="Arial" w:hAnsi="Arial"/>
          <w:sz w:val="16"/>
          <w:szCs w:val="16"/>
          <w:color w:val="auto"/>
        </w:rPr>
      </w:pPr>
    </w:p>
    <w:p>
      <w:pPr>
        <w:jc w:val="both"/>
        <w:ind w:left="660"/>
        <w:spacing w:after="0" w:line="295" w:lineRule="auto"/>
        <w:rPr>
          <w:rFonts w:ascii="Arial" w:cs="Arial" w:eastAsia="Arial" w:hAnsi="Arial"/>
          <w:sz w:val="16"/>
          <w:szCs w:val="16"/>
          <w:color w:val="auto"/>
        </w:rPr>
      </w:pPr>
      <w:r>
        <w:rPr>
          <w:rFonts w:ascii="Arial" w:cs="Arial" w:eastAsia="Arial" w:hAnsi="Arial"/>
          <w:sz w:val="16"/>
          <w:szCs w:val="16"/>
          <w:color w:val="auto"/>
        </w:rPr>
        <w:t>(B)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p>
      <w:pPr>
        <w:spacing w:after="0" w:line="188" w:lineRule="exact"/>
        <w:rPr>
          <w:sz w:val="20"/>
          <w:szCs w:val="20"/>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registered Notes cease to be issued in book-entry form, they will be issued:</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we indicate otherwise, in denominations of $2,000 and amounts that are multiples of $1,000.</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$2,000.</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appoint additional transfer agents or cancel the appointment of any particular transfer agent. We may also approve a change in the office through which any transfer agent acts.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1111" w:right="339" w:bottom="1440" w:gutter="0" w:footer="0" w:header="0"/>
        </w:sectPr>
      </w:pPr>
    </w:p>
    <w:bookmarkStart w:id="28" w:name="page29"/>
    <w:bookmarkEnd w:id="28"/>
    <w:p>
      <w:pPr>
        <w:jc w:val="both"/>
        <w:spacing w:after="0" w:line="301"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Notes, we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registered Notes are issued in book-entry form, only the depositary will be entitled to transfer and exchange the Notes as described in this subsection, since it will be the sole holder of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Ranking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our direct unsecured obligations and will rank:</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existing and future unsubordinated unsecured indebtedness;</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 and</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secured indebtedness (including indebtedness that is initially unsecured to which we subsequently grant security), to the extent of the value of the assets securing such indebtedness, including, without limitation, borrowings under our Credit Facility;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 subsidiaries. Access to the DTC system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1111"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 xml:space="preserve">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 of AA+. The DTC Rules applicable to its participants are on file with the SEC. More information about DTC can be found at </w:t>
      </w:r>
      <w:r>
        <w:rPr>
          <w:rFonts w:ascii="Arial" w:cs="Arial" w:eastAsia="Arial" w:hAnsi="Arial"/>
          <w:sz w:val="16"/>
          <w:szCs w:val="16"/>
          <w:i w:val="1"/>
          <w:iCs w:val="1"/>
          <w:color w:val="auto"/>
        </w:rPr>
        <w:t>www.dtcc.com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www.dtc.org.</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Redemption notices shall be sent to DTC. If less than all of the Notes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neither we nor any of the underwriters take any responsibility for the accuracy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320" w:top="111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describes certain U.S. federal income tax consequences applicable to an investment in the Notes. This summary does not purport to be a complete description of the income tax considerations applicable to such an investment. The summary is based upon the Code, U.S. Treasury regulations, and administrative and judicial interpretations, each as of the date of this prospectus supplement and all of which are subject to change, potentially with retroactive effect, or to different interpretations. We cannot assure you that the IRS will not challenge one or more of the tax consequences described in this summary, and we have not obtained, nor do we intend to obtain, any ruling from the IRS or opinion of counsel with respect to the tax consequences of an investment in the Notes. Investors should consult their own tax advisors with respect to tax considerations that pertain to their investment in the Notes.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summary discusses only Notes held as capital assets within the meaning of the Code (generally, property held for investment purposes) and does not purport to address persons in special tax situations, such as banks and other financial institutions, insurance companies, controlled foreign corporations, passive foreign investment companies, real estate investment trusts and regulated investment companies (and shareholders of such corporations), dealers in securities or currencies, traders in securities, former citizens of the United States, persons holding the Notes as a position in a “straddle,” “hedge,” “constructive sale transaction,” “conversion transaction,” “wash sale” or other integrated transaction for U.S. federal income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U.S. holders (as defined below) whose functional currency (as defined in the Code) is not the U.S. dollar. It also does not address beneficial owners of the Notes other than original purchasers of the Notes who acquire the Notes in this offering for cash at a price equal to their issue price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the first price at which a substantial amount of the Notes is sold for money to investors (other than to bond houses, brokers, or similar persons or organizations acting in the capacity of underwriters, placements agents or wholesalers)). This discussion also does not address the U.S. federal income tax consequences to beneficial owners of the Notes subject to the special tax accounting rules under Section 451(b) of the Code. In addition, this summary only addresses U.S. federal income tax consequences, and does not address other U.S. federal tax consequences, including, for example, estate or gift tax consequences. This summary also does not address any U.S. state or local or non-U.S. tax consequences. Investors considering purchasing the Notes should consult their own tax advisors concerning the application of the U.S. federal income tax laws to their individual circumstances, as well as any consequences to such investors relating to purchasing, owning and disposing of the Notes under the laws of any state, local, foreign or other taxing jurisdiction.</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the term “U.S. holder” means a beneficial owner of a Note that is, for U.S. federal income tax purposes:</w:t>
      </w:r>
    </w:p>
    <w:p>
      <w:pPr>
        <w:spacing w:after="0" w:line="13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ind w:left="660" w:right="120" w:hanging="328"/>
        <w:spacing w:after="0" w:line="265"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trust (i) the administration of which is subject to the primary supervision of a U.S. court and that has one or more “United States persons” (within the meaning of the Code) that have the authority to control all substantial decisions of the trust or (ii) that has made a valid election under applicable U.S. Treasury regulations to be treated as a “United States person” (within the meaning of the Code); or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w:t>
      </w:r>
    </w:p>
    <w:p>
      <w:pPr>
        <w:spacing w:after="0" w:line="20"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 xml:space="preserve">The following discussion assumes that the Notes will be issued with no original issue discount or </w:t>
      </w:r>
      <w:r>
        <w:rPr>
          <w:rFonts w:ascii="Arial" w:cs="Arial" w:eastAsia="Arial" w:hAnsi="Arial"/>
          <w:sz w:val="20"/>
          <w:szCs w:val="20"/>
          <w:color w:val="auto"/>
        </w:rPr>
        <w:t>a</w:t>
      </w:r>
      <w:r>
        <w:rPr>
          <w:rFonts w:ascii="Arial" w:cs="Arial" w:eastAsia="Arial" w:hAnsi="Arial"/>
          <w:sz w:val="17"/>
          <w:szCs w:val="17"/>
          <w:color w:val="auto"/>
        </w:rPr>
        <w:t xml:space="preserve"> </w:t>
      </w:r>
      <w:r>
        <w:rPr>
          <w:rFonts w:ascii="Arial" w:cs="Arial" w:eastAsia="Arial" w:hAnsi="Arial"/>
          <w:sz w:val="20"/>
          <w:szCs w:val="20"/>
          <w:i w:val="1"/>
          <w:iCs w:val="1"/>
          <w:color w:val="auto"/>
        </w:rPr>
        <w:t>de minimis</w:t>
      </w:r>
      <w:r>
        <w:rPr>
          <w:rFonts w:ascii="Arial" w:cs="Arial" w:eastAsia="Arial" w:hAnsi="Arial"/>
          <w:sz w:val="17"/>
          <w:szCs w:val="17"/>
          <w:color w:val="auto"/>
        </w:rPr>
        <w:t xml:space="preserve"> amount of original issue discount for U.S. federal income tax purposes. Payments or accruals of interest on a Note generally will be taxable to a U.S. holder as ordinary interest income at the time they are received (actually or constructively) or accrued, in accordance with the U.S. holder’s regular method of tax accounting.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Sale, Exchange, Redemption, Retirement or Other Taxable Disposition of a Note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amounts representing accrued and unpaid interest, which are treated as ordinary interest income to the extent not previously included in income) and the U.S. holder’s adjusted tax basis in the Note. A U.S. holder’s adjusted tax basis in a Note generally will equal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The deductibility of capital losses is subject to limitations under the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additional tax of 3.8% is imposed on certain “net investment income” (or “undistributed net investment income,” in the case of certain U.S. holders that are estates and trusts) received by certain U.S. holders with adjusted gross income above certain threshold amounts. “Net investment income” generally includes interest payments on, and gain recognized from the sale, exchange, redemption, retirement or other taxable disposition of, the Notes, less certain deductions. U.S. holders should consult their own tax advisors regarding the effect, if any, of this tax on their ownership and disposition of the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U.S. holder may be subject to information reporting and backup withholding when such U.S. holder receives interest payments on the Notes held or upon the proceeds received upon the sale or other disposition of such Notes (including a redemption or retirement of the Notes). Certain U.S. holders generally are not subject to information reporting or backup withholding. A U.S. holder will be subject to backup withholding if such U.S. holder is not otherwise exempt and such U.S. holder:</w:t>
      </w:r>
    </w:p>
    <w:p>
      <w:pPr>
        <w:spacing w:after="0" w:line="21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fails to furnish the U.S. holder’s taxpayer identification number (“TIN”), which, for an individual, ordinarily is his or her social security number;</w:t>
      </w:r>
    </w:p>
    <w:p>
      <w:pPr>
        <w:spacing w:after="0" w:line="34" w:lineRule="exact"/>
        <w:rPr>
          <w:rFonts w:ascii="Arial" w:cs="Arial" w:eastAsia="Arial" w:hAnsi="Arial"/>
          <w:sz w:val="17"/>
          <w:szCs w:val="17"/>
          <w:color w:val="auto"/>
        </w:rPr>
      </w:pPr>
    </w:p>
    <w:p>
      <w:pPr>
        <w:ind w:left="660" w:hanging="328"/>
        <w:spacing w:after="0" w:line="230"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furnishes an incorrect TIN;</w:t>
      </w:r>
    </w:p>
    <w:p>
      <w:pPr>
        <w:spacing w:after="0" w:line="2" w:lineRule="exact"/>
        <w:rPr>
          <w:rFonts w:ascii="Arial" w:cs="Arial" w:eastAsia="Arial" w:hAnsi="Arial"/>
          <w:sz w:val="22"/>
          <w:szCs w:val="22"/>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notified by the IRS that the U.S. holder has failed properly to report payments of interest or dividends; or</w:t>
      </w:r>
    </w:p>
    <w:p>
      <w:pPr>
        <w:jc w:val="both"/>
        <w:ind w:left="660" w:hanging="328"/>
        <w:spacing w:after="0" w:line="23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fails to certify, under penalties of perjury, on an IRS Form W-9 (Request for Taxpayer Identification Number and Certification) or a suitable substitute form (or other applicable certificate), that the U.S. holder has furnished a correct TIN and that the IRS has not notified the U.S. holder that the U.S. holder is subject to backup withholding.</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following is a summary of certain U.S. federal income tax consequences that will apply to you if you are a “Non-U.S. holder” of a Note. A “Non-U.S. holder” is a beneficial owner of a Note who is not a U.S. holder or a partnership for U.S. federal income tax purposes. Special rules may apply to Non-U.S. holders that are subject to special treatment under the Code, including controlled foreign corporations, passive foreign investment companies, U.S. expatriates,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on the Notes</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Generally, stated interest paid or accrued to a Non-U.S. holder that is not effectively connected with the Non-U.S. holder’s conduct of a U.S. trade or business is subject to withholding tax at a rate of 30% (or, if applicable, a lower treaty rate). Nevertheless and subject to the discussion below concerning backup withholding and FATCA, interest paid or accrued on a Note to a Non-U.S. holder that is not effectively connected with the Non-U.S. holder’s conduct of a U.S. trade or business generally will not be subject to U.S. federal withholding tax provided that:</w:t>
      </w:r>
    </w:p>
    <w:p>
      <w:pPr>
        <w:spacing w:after="0" w:line="199" w:lineRule="exact"/>
        <w:rPr>
          <w:sz w:val="20"/>
          <w:szCs w:val="20"/>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Non-U.S. holder does not directly, indirectly or constructively own 10% or more of the total combined voting power of all classes of our voting 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40"/>
          </w:cols>
          <w:pgMar w:left="320" w:top="1111" w:right="339" w:bottom="1440" w:gutter="0" w:footer="0" w:header="0"/>
        </w:sectPr>
      </w:pPr>
    </w:p>
    <w:bookmarkStart w:id="32" w:name="page33"/>
    <w:bookmarkEnd w:id="32"/>
    <w:p>
      <w:pPr>
        <w:jc w:val="both"/>
        <w:ind w:left="660" w:hanging="328"/>
        <w:spacing w:after="0"/>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Non-U.S. holder is not a controlled foreign corporation that is related to us through direct, indirect or constructive stock ownership and is not a bank that received such Note on an extension of credit made pursuant to a loan agreement entered into in the ordinary course of its trade or business; and</w:t>
      </w:r>
    </w:p>
    <w:p>
      <w:pPr>
        <w:spacing w:after="0" w:line="2"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 of the following applies: (1) the Non-U.S. holder certifies in a statement (generally, a properly executed IRS FormW-8BEN or IRS FormW-8BEN-E, as applicable, or a suitable substitute) form provided to us or the paying agent, under penalties of perjury, prior to payment, that it is the beneficial owner of the Notes and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Non-U.S. holder certifies to us or the paying agent under penalties of perjury that it, or the financial institution between it and the Non-U.S. holder, has received from the Non-U.S. holder a statement, under penalties of perjury, that such Non-U.S. holder is the beneficial owner of the Notes and is not a United States person and provides us or the paying agent with a copy of such statement or (3) the Non-U.S. holder holds its Note directly through a “qualified intermediary” and certain conditions are satisfied.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the above conditions are not met, a Non-U.S. holder generally will be entitled to a reduction in or an exemption from withholding tax on interest if the Non-U.S. holder provides us or our paying agent, prior to payment, with a properly executed IRS FormW-8BEN or IRS FormW-8BEN-E, as applicable, or a suitable substitute form (or other applicable certificate) claiming an exemption from or reduction of the withholding tax under the benefit of an income tax treaty between the United States and the Non-U.S. holder’s country of residence. A Non-U.S. holder is required to inform the recipient of any change in the information on such statement within 30 days of such change. Special certification rules apply to Non-U.S. holders that are pass-through entities rather than corporations or individuals.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 non-U.S. holder generally will also be exempt from withholding tax on interest if such amount is effectively connected with such non-U.S. holder’s conduct of a United States trade or business and the non-U.S. holder provides us with appropriate certification (as discussed below under the caption “— </w:t>
      </w:r>
      <w:r>
        <w:rPr>
          <w:rFonts w:ascii="Arial" w:cs="Arial" w:eastAsia="Arial" w:hAnsi="Arial"/>
          <w:sz w:val="18"/>
          <w:szCs w:val="18"/>
          <w:i w:val="1"/>
          <w:iCs w:val="1"/>
          <w:color w:val="auto"/>
        </w:rPr>
        <w:t>Income or Gain Effectively Connected with a U.S. Trade or Business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the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discussions of backup withholding and FATCA withholding below, a non-U.S. holder generally will not be subject to U.S. federal income tax on any gain realized on the sale, redemption, exchange, retirement, or other taxable disposition of a Note unless:</w:t>
      </w:r>
    </w:p>
    <w:p>
      <w:pPr>
        <w:spacing w:after="0" w:line="170" w:lineRule="exact"/>
        <w:rPr>
          <w:sz w:val="20"/>
          <w:szCs w:val="20"/>
          <w:color w:val="auto"/>
        </w:rPr>
      </w:pPr>
    </w:p>
    <w:p>
      <w:pPr>
        <w:ind w:left="660" w:hanging="328"/>
        <w:spacing w:after="0" w:line="274"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such non-U.S. holder of a U.S. trade or business (and, if required by an applicable income tax treaty, such non-U.S. holder maintains a permanent establishment in the United States to which such gain is attributable);</w:t>
      </w:r>
    </w:p>
    <w:p>
      <w:pPr>
        <w:ind w:left="660" w:right="500" w:hanging="328"/>
        <w:spacing w:after="0" w:line="26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non-U.S. holder is a non-resident alien individual who has been present in the United States for 183 days or more in the taxable year of disposition and certain other requirements are met and the Non-US holder is not eligible for relief under an applicable income tax treaty; or</w:t>
      </w:r>
    </w:p>
    <w:p>
      <w:pPr>
        <w:ind w:left="660" w:right="160" w:hanging="328"/>
        <w:spacing w:after="0" w:line="24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gain is attributable to accrued but unpaid interest, in which case such amounts would be subject to tax as described above in “- Interest on the Notes.”</w:t>
      </w: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non-U.S. holder’s gain is described in the first bullet point above, such non-U.S. holder generally will be subject to U.S. federal income tax in the manner described under “- Income or Gain Effectively Connected with a U.S. Trade or Business” below. A non-U.S. holder described in the second bullet point above will be subject to tax at 30% rate (or lower applicable income tax treaty rate) U.S. federal income tax on the gain derived from the sale or other disposition, which may be offset by certain U.S. source capital losses.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other exceptions may be applicable, and Non-U.S. holders should consult their own tax advisors with regard to whether taxes will be imposed on capital gain in their individual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or Gain Effectively Connected with a U.S. Trade or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interest on the Notes or gain from the sale, redemption, exchange, retirement, or other taxable disposition of the Notes is effectively connected with a non-U.S. holder’s conduct of a U.S. trade or business (and, if required by an applicable income tax treaty, such non-U.S. holder maintains a permanent establishment in the United States to which such interest or gain is attributable), then the interest income or gain will be subject to U.S. federal income tax at regular graduated income tax rates generally in the same manner as if such non-U.S. holder were a U.S. holder (but without regard to the additional tax on net investment income described above). Effectively connected interest income will not be subject to U.S. federal withholding tax if a non-U.S. holder satisfies certain certification requirements by providing to the applicable withholding agent a properly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executed IRS Form W-8ECI (or successor form). In addition, if a non-U.S. holder is a corporation, that portion of such non-U.S. holder’s earnings and profits that are effectively connected with such non-U.S. holder’s conduct of a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such non-U.S. holder of a U.S. trade or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amount of interest that we pay to any Non-U.S. holder on the Notes will be reported to the Non-U.S. holder and to the IRS annually on an IRS Form 1042-S, regardless of whether any tax was actually withheld. Copies of these information returns may also be made available under the provisions of a specific income tax treaty or agreement to the tax authorities of the country in which the Non-U.S. holder resides. However, a Non-U.S. holder generally will not be subject to backup withholding and certain other information reporting with respect to payments that we make to the Non-U.S. holder, provided that we do not have actual knowledge or reason to know that such Non-U.S. holder is a “United States person,” within the meaning of the Code, and the Non-U.S. holder has given us the statement described above under “- Interest on the Notes.”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 Non-U.S. holder sells or exchanges a Note through a United States broker or the United States office of a foreign broker, the proceeds from such sale or exchange will be subject to information reporting and backup withholding unless the Non-U.S. holder provides a withholding certificate or other appropriate documentary evidence establishing that such holder is not a U.S. holder to the broker and such broker does not have actual knowledge or reason to know that such holder is a U.S. holder, or the Non-U.S. holder is an exempt recipient eligible for an exemption from information reporting and backup withholding. If a Non-U.S. holder sells or exchanges a Note through the foreign office of a broker who is a United States person or has certain enumerated connections with the United States, the proceeds from such sale or exchange will be subject to information reporting unless the Non-U.S. holder provides to such broker a withholding certificate or other documentary evidence establishing that such holder is not a U.S. holder and such broker does not have actual knowledge or reason to know that such evidence is false, or the Non-U.S. holder is an exempt recipient eligible for an exemption from information reporting. In circumstances where information reporting by the foreign office of such a broker is required, backup withholding will be required only if the broker has actual knowledge that the holder is a U.S. holder.</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Non-U.S. holder generally will be entitled to credit any amounts withheld under the backup withholding rules against the Non-U.S. holder’s U.S. federal income tax liability or may claim a refund provided that the required information is furnished to the IRS in a timely manner.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Non-U.S. holders are urged to consult their tax advisors regarding the application of information reporting and backup withholding in their particular situations, the availability of an exemption therefrom, and the procedures for obtaining such an exemption, if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(including interest on a Note) and dividends.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beneficial owner and the status of the intermediary through which it holds the Notes, a beneficial owner could be subject to this 30% withholding tax with respect to interest paid on the Notes and potentially proceeds from the sale of the Notes. Under certain circumstances, a beneficial owner might be eligible for a refund or credit of such taxes. We will not pay any additional amounts to holders of the Notes in respect of any amounts withheld.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40"/>
          </w:cols>
          <w:pgMar w:left="320" w:top="1111" w:right="33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8"/>
          <w:szCs w:val="18"/>
          <w:color w:val="auto"/>
        </w:rPr>
        <w:t>Holders and beneficial owners should consult their own tax advisors regarding FATCA and whether it may be relevant to their acquisition, ownership and disposition of the Notes.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40"/>
          </w:cols>
          <w:pgMar w:left="320" w:top="89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Raymond James &amp; Associates, Inc. is acting as the representative of the underwriters for this offering. Subject to the terms and conditions set forth in an underwriting agreement dated December , 2020 between us and the underwriters, we have agreed to sell to the underwriters, and the underwriters have severally agreed to purchase from us, the aggregate principal amount of Notes indicated in the table below:</w:t>
      </w:r>
    </w:p>
    <w:p>
      <w:pPr>
        <w:spacing w:after="0" w:line="94"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Underwriters</w:t>
            </w:r>
          </w:p>
        </w:tc>
        <w:tc>
          <w:tcPr>
            <w:tcW w:w="182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Principal Amount of Notes</w:t>
            </w:r>
          </w:p>
        </w:tc>
      </w:tr>
      <w:tr>
        <w:trPr>
          <w:trHeight w:val="229"/>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Raymond James &amp; Associates, Inc.</w:t>
            </w:r>
          </w:p>
        </w:tc>
        <w:tc>
          <w:tcPr>
            <w:tcW w:w="24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639"/>
              <w:spacing w:after="0"/>
              <w:rPr>
                <w:sz w:val="20"/>
                <w:szCs w:val="20"/>
                <w:color w:val="auto"/>
              </w:rPr>
            </w:pPr>
            <w:r>
              <w:rPr>
                <w:rFonts w:ascii="Arial" w:cs="Arial" w:eastAsia="Arial" w:hAnsi="Arial"/>
                <w:sz w:val="18"/>
                <w:szCs w:val="18"/>
                <w:color w:val="auto"/>
                <w:w w:val="79"/>
              </w:rPr>
              <w:t>$</w:t>
            </w:r>
          </w:p>
        </w:tc>
      </w:tr>
      <w:tr>
        <w:trPr>
          <w:trHeight w:val="270"/>
        </w:trPr>
        <w:tc>
          <w:tcPr>
            <w:tcW w:w="8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8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70"/>
        </w:trPr>
        <w:tc>
          <w:tcPr>
            <w:tcW w:w="8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8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70"/>
        </w:trPr>
        <w:tc>
          <w:tcPr>
            <w:tcW w:w="8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-8255</wp:posOffset>
            </wp:positionV>
            <wp:extent cx="64465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14605</wp:posOffset>
            </wp:positionV>
            <wp:extent cx="1157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to pay for and accept delivery of the Notes are subject to certain conditions precedent such as the receipt by the underwriters of officers’ certificates and legal opinions. The underwriting agreement provides that the underwriters will purchase all of the Notes if any of these Notes are purchased. If an underwriter defaults, the underwriting agreement provides that, under the circumstances, the purchase commitments of the non-defaulting underwriters may be increased or the underwriting agreement may be terminated. 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underwriters reserve the right to withdraw, cancel or modify offers to the public and to reject orders in whole or in part.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underwriters have agreed to purchase the Notes from us at % of the aggregate principal amount of the Notes, which will result in aggregate proceeds to us of approximately $ , after deducting the underwriting discount and the estimated offering expenses payable by us.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Commissions and Discounts</w:t>
      </w:r>
    </w:p>
    <w:p>
      <w:pPr>
        <w:sectPr>
          <w:pgSz w:w="11900" w:h="16838" w:orient="portrait"/>
          <w:cols w:equalWidth="0" w:num="1">
            <w:col w:w="11240"/>
          </w:cols>
          <w:pgMar w:left="320" w:top="891" w:right="3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An underwriting discount of</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 per Note will be paid by us.</w:t>
      </w:r>
    </w:p>
    <w:p>
      <w:pPr>
        <w:spacing w:after="0" w:line="113" w:lineRule="exact"/>
        <w:rPr>
          <w:sz w:val="20"/>
          <w:szCs w:val="20"/>
          <w:color w:val="auto"/>
        </w:rPr>
      </w:pPr>
    </w:p>
    <w:p>
      <w:pPr>
        <w:sectPr>
          <w:pgSz w:w="11900" w:h="16838" w:orient="portrait"/>
          <w:cols w:equalWidth="0" w:num="2">
            <w:col w:w="2060" w:space="540"/>
            <w:col w:w="8640"/>
          </w:cols>
          <w:pgMar w:left="320" w:top="891"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The following table shows the total underwriting discounts and commissions that we are to pay to the underwriters in connection with this offering.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300" w:type="dxa"/>
            <w:vAlign w:val="bottom"/>
          </w:tcPr>
          <w:p>
            <w:pPr>
              <w:ind w:left="1140"/>
              <w:spacing w:after="0"/>
              <w:rPr>
                <w:sz w:val="20"/>
                <w:szCs w:val="20"/>
                <w:color w:val="auto"/>
              </w:rPr>
            </w:pPr>
            <w:r>
              <w:rPr>
                <w:rFonts w:ascii="Arial" w:cs="Arial" w:eastAsia="Arial" w:hAnsi="Arial"/>
                <w:sz w:val="18"/>
                <w:szCs w:val="18"/>
                <w:b w:val="1"/>
                <w:bCs w:val="1"/>
                <w:color w:val="auto"/>
              </w:rPr>
              <w:t>Per Note</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24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9"/>
                <w:szCs w:val="19"/>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40" w:type="dxa"/>
            <w:vAlign w:val="bottom"/>
          </w:tcPr>
          <w:p>
            <w:pPr>
              <w:jc w:val="right"/>
              <w:ind w:right="245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r>
      <w:tr>
        <w:trPr>
          <w:trHeight w:val="23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underwriters propose to offer some of the Notes to the public at the public offering price set forth on the cover page of this prospectus supplement and some of the Notes to certain other broker-dealers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estimate expenses payable by us in connection with this offering, not including the underwriting discount, will be approximately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40"/>
          </w:cols>
          <w:pgMar w:left="320" w:top="891" w:right="339" w:bottom="1440" w:gutter="0" w:footer="0" w:header="0"/>
          <w:type w:val="continuous"/>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Subject to certain exceptions, we have agreed for a period of 30 days after the date of this prospectus supplement to not sell, offer to sell, contract or agree to sell, hypothecate, pledge, grant any option to purchase or otherwise dispose of or agree to dispose of, directly or indirectly, any debt securities issued or guaranteed by us that are substantially similar to the Notes or any securities convertible into or exchangeable or exercisable for debt securities issued or guaranteed by us that are substantially similar to the Notes, or file any registration statement under the Securities Act with respect to any of the foregoing without first obtaining the written consent of Raymond James &amp; Associates, Inc. This consent may be given at any time without public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offering, the underwriters may purchase and sell Notes in the open market. These transactions may include short sales, purchases to cover positions created by short sales and stabilizing transactions. Short sales involve the sale by the underwriters of a greater number of Notes than required to be purchased in this offering.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discontinued at any time without any notice relating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and/or selling group members participating in this offering, or by their respective affiliates. In those cases, prospective investors may view offering terms online and, depending upon the particular underwriter or selling group member, prospective investors may be allowed to place orders online. The underwriters may agree with us to allocate a limited principal amount of the Notes for sale to online brokerage account holders. Any such allocation for online distributions will be made by the underwriters on the same basis as other allocations. Other than the prospectus in electronic format, information on the underwriters’ web sites and any information contained in any other web site maintained by any of the underwriters or selling group members is not part of this prospectus supplement or the registration statement of which this prospectus supplement is a part, has not been approved and/or endorsed by us or the underwriters and should not be relied 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Settlement Cycle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that delivery of the Notes will be made against payment therefor on or about , 2020, which will be the fourth business day following the date of pricing of the Notes (such settlement cycle being herein referred to as “T+4”). Under Rule 15c6-1 under the Exchange Act, trades in the secondary market generally are required to settle in two business days, unless the parties to any such trade expressly agree otherwise. Accordingly, purchasers who wish to trade the Notes on any date prior to the second business day before delivery thereof will be required, by virtue of the fact that the Notes initially will settle T+4, to specify an alternate settlement cycle at the time of any such trade to prevent a failed settlement. Purchasers of the Notes who wish to trade the Notes prior to their date of delivery hereunder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40"/>
          </w:cols>
          <w:pgMar w:left="320" w:top="895" w:right="339"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b w:val="1"/>
          <w:bCs w:val="1"/>
          <w:color w:val="auto"/>
        </w:rPr>
        <w:t>Conflicts of Interest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and/or their respective affiliates from time to time provide and may in the future provide investment banking, commercial banking and financial advisory services to us, for which they have received and may receive customary compensation.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underwriters and/or their respective affiliates may from time to time refer investment banking clients to us as potential portfolio investments. If we invest in those clients, we may indirectly utilize net proceeds from this offering to fund such investments, and the referring underwriter or its affiliate may receive placement fees from its client in connection with such financing, which placement fees may be paid out of the amount funded by us.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or their respective affiliates may also trade in our securities, securities of our portfolio companies or other financial instruments related thereto for their own respective accounts or for the account of others and may extend loans or financing directly or through derivative transactions to us, any of our portfolio companies or our affiliates.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the date of this prospectus supplement, the underwriters and their respective affiliates may from time to time obtain information regarding specific portfolio companies or us that may not be available to the general public. Any such information is obtained by the underwriters and their respective affiliates in the ordinary course of their respective business and not in connection with the offering of the Notes. In addition, after the offering period for the sale of the Notes, the underwriters or their respective affiliates may develop analyses or opinions related to us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us to our noteholders or any other persons.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affiliate of Raymond James &amp; Associates, Inc., one of the underwriters, is a lender to I-45 SLF LLC under I-45 SLF LLC’s senior secured credit facility, which matures in July 2022. I-45 SLF LLC is a joint venture between the Company and Main Street Capital Corporation. We own 80.0% of I-45 SLF LLC and have a profits interest of 75.6%, while Main Street Capital Corporation owns 20.0% and has a profits interest of 24.4%.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principal business addresses of the underwriters are: Raymond James &amp; Associates, Inc., 880 Carillon Parkway, St. Petersburg, Florida 33716.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Notes offered by this prospectus supplement and the accompanying prospectus in any jurisdiction where action for that purpose is required. The Notes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 relating to the offering and the distribution of this prospectus supplement and the accompanying prospectus.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40"/>
          </w:cols>
          <w:pgMar w:left="320" w:top="891"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legal matters regarding the Notes offered hereby will be passed upon for us by Eversheds Sutherland (US) LLP, Washington, D.C., and certain legal matters in connection with this offering will be passed upon for the underwriters by Dechert LLP, Washington, D.C.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40"/>
          </w:cols>
          <w:pgMar w:left="320" w:top="89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supplement and the accompanying prospectus constitute part of a registration statement on Form N-2 that we have filed with the SEC, together with any and all amendments and related exhibits under the Securities Act. This prospectus supplement and the accompanying prospectus do not contain all of the information set forth in the registration statement, some of which is contained in exhibits to the registration statement as permitted by the rules and regulations of the SEC. For further information with respect to us and the Notes we are offering under this prospectus supplement and the accompanying prospectus, we refer you to the registration statement, including the exhibits filed as a part of the registration statement. Statements contained in this prospectus supplement and the accompanying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supplement and the accompanying prospectus relating to a contract or document filed as an exhibit is qualified in all respects by the filed exhibit.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file with or submit to the SEC annual, quarterly and current reports, proxy statements and other information meeting the informational requirements of the Exchange Act. This information is available free of charge by calling us at (214) 238-5700 or on our website at www.capitalsouthwest.com. Information contained on our website is not incorporated into this prospectus supplement or the accompanying prospectus and you should not consider such information to be part of this prospectus supplement or the accompanying prospectus. The SEC maintains an Internet site that contains reports, proxy and information statements and other information filed electronically by us with the SEC, which are available on the SEC’s website free of charge at www.sec.gov. You can request a copy of any of our SEC filings, including those incorporated by reference herein or in the accompanying prospectus, at no cost, by writing or telephoning us at the address or telephone number above.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40"/>
          </w:cols>
          <w:pgMar w:left="320" w:top="89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incorporate by reference in this prospectus supplement the documents listed below and any reports and other documents we file with the SEC pursuant to Sections 13(a), 13(c), 14 or 15(d) of the Exchange Act prior to the termination of this offering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p>
      <w:pPr>
        <w:spacing w:after="0" w:line="18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3">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2020, filed with the SEC on June 2,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4">
        <w:r>
          <w:rPr>
            <w:rFonts w:ascii="Arial" w:cs="Arial" w:eastAsia="Arial" w:hAnsi="Arial"/>
            <w:sz w:val="18"/>
            <w:szCs w:val="18"/>
            <w:u w:val="single" w:color="auto"/>
            <w:color w:val="0000FF"/>
          </w:rPr>
          <w:t>Quarterly Report on Form 10-Q for the quarter ended June 30, 2020</w:t>
        </w:r>
      </w:hyperlink>
      <w:r>
        <w:rPr>
          <w:rFonts w:ascii="Arial" w:cs="Arial" w:eastAsia="Arial" w:hAnsi="Arial"/>
          <w:sz w:val="18"/>
          <w:szCs w:val="18"/>
          <w:color w:val="auto"/>
        </w:rPr>
        <w:t>, filed with the SEC on August 4,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5">
        <w:r>
          <w:rPr>
            <w:rFonts w:ascii="Arial" w:cs="Arial" w:eastAsia="Arial" w:hAnsi="Arial"/>
            <w:sz w:val="18"/>
            <w:szCs w:val="18"/>
            <w:u w:val="single" w:color="auto"/>
            <w:color w:val="0000FF"/>
          </w:rPr>
          <w:t>Quarterly Report on Form 10-Q for the quarter ended September 30, 2020</w:t>
        </w:r>
      </w:hyperlink>
      <w:r>
        <w:rPr>
          <w:rFonts w:ascii="Arial" w:cs="Arial" w:eastAsia="Arial" w:hAnsi="Arial"/>
          <w:sz w:val="18"/>
          <w:szCs w:val="18"/>
          <w:color w:val="auto"/>
        </w:rPr>
        <w:t>, filed with the SEC on November 2, 2020;</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55" w:val="left"/>
        </w:tabs>
        <w:numPr>
          <w:ilvl w:val="0"/>
          <w:numId w:val="32"/>
        </w:numPr>
        <w:rPr>
          <w:rFonts w:ascii="Arial" w:cs="Arial" w:eastAsia="Arial" w:hAnsi="Arial"/>
          <w:sz w:val="18"/>
          <w:szCs w:val="18"/>
          <w:color w:val="0000FF"/>
        </w:rPr>
      </w:pPr>
      <w:r>
        <w:rPr>
          <w:rFonts w:ascii="Arial" w:cs="Arial" w:eastAsia="Arial" w:hAnsi="Arial"/>
          <w:sz w:val="18"/>
          <w:szCs w:val="18"/>
          <w:color w:val="auto"/>
        </w:rPr>
        <w:t xml:space="preserve">our Current Reports on Form 8-K filed with the SEC on </w:t>
      </w:r>
      <w:hyperlink r:id="rId26">
        <w:r>
          <w:rPr>
            <w:rFonts w:ascii="Arial" w:cs="Arial" w:eastAsia="Arial" w:hAnsi="Arial"/>
            <w:sz w:val="18"/>
            <w:szCs w:val="18"/>
            <w:u w:val="single" w:color="auto"/>
            <w:color w:val="0000FF"/>
          </w:rPr>
          <w:t>April 22, 2020</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July 29, 2020</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July 31, 2020</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FF"/>
          </w:rPr>
          <w:t>August 13, 2020</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August 25, 2020</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November</w:t>
        </w:r>
        <w:r>
          <w:rPr>
            <w:rFonts w:ascii="Arial" w:cs="Arial" w:eastAsia="Arial" w:hAnsi="Arial"/>
            <w:sz w:val="18"/>
            <w:szCs w:val="18"/>
            <w:color w:val="0000FF"/>
          </w:rPr>
          <w:t xml:space="preserve"> 5, </w:t>
        </w:r>
        <w:r>
          <w:rPr>
            <w:rFonts w:ascii="Arial" w:cs="Arial" w:eastAsia="Arial" w:hAnsi="Arial"/>
            <w:sz w:val="18"/>
            <w:szCs w:val="18"/>
            <w:u w:val="single" w:color="auto"/>
            <w:color w:val="0000FF"/>
          </w:rPr>
          <w:t>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r:id="rId32">
        <w:r>
          <w:rPr>
            <w:rFonts w:ascii="Arial" w:cs="Arial" w:eastAsia="Arial" w:hAnsi="Arial"/>
            <w:sz w:val="18"/>
            <w:szCs w:val="18"/>
            <w:u w:val="single" w:color="auto"/>
            <w:color w:val="0000FF"/>
          </w:rPr>
          <w:t>December 10,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33">
        <w:r>
          <w:rPr>
            <w:rFonts w:ascii="Arial" w:cs="Arial" w:eastAsia="Arial" w:hAnsi="Arial"/>
            <w:sz w:val="18"/>
            <w:szCs w:val="18"/>
            <w:u w:val="single" w:color="auto"/>
            <w:color w:val="0000FF"/>
          </w:rPr>
          <w:t>Definitive Proxy Statement on Schedule 14A</w:t>
        </w:r>
      </w:hyperlink>
      <w:r>
        <w:rPr>
          <w:rFonts w:ascii="Arial" w:cs="Arial" w:eastAsia="Arial" w:hAnsi="Arial"/>
          <w:sz w:val="18"/>
          <w:szCs w:val="18"/>
          <w:color w:val="auto"/>
        </w:rPr>
        <w:t>, filed with the SEC on June 2, 2020.</w:t>
      </w:r>
    </w:p>
    <w:p>
      <w:pPr>
        <w:spacing w:after="0" w:line="238" w:lineRule="exact"/>
        <w:rPr>
          <w:rFonts w:ascii="Arial" w:cs="Arial" w:eastAsia="Arial" w:hAnsi="Arial"/>
          <w:sz w:val="18"/>
          <w:szCs w:val="18"/>
          <w:color w:val="0000FF"/>
        </w:rPr>
      </w:pPr>
    </w:p>
    <w:p>
      <w:pPr>
        <w:jc w:val="both"/>
        <w:spacing w:after="0" w:line="286" w:lineRule="auto"/>
        <w:rPr>
          <w:sz w:val="20"/>
          <w:szCs w:val="20"/>
          <w:color w:val="auto"/>
        </w:rPr>
      </w:pPr>
      <w:r>
        <w:rPr>
          <w:rFonts w:ascii="Arial" w:cs="Arial" w:eastAsia="Arial" w:hAnsi="Arial"/>
          <w:sz w:val="17"/>
          <w:szCs w:val="17"/>
          <w:color w:val="auto"/>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spacing w:after="0" w:line="192"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To obtain copies of these filings, see “Available Information” in this prospectus supplement.</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6"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40"/>
          </w:cols>
          <w:pgMar w:left="320" w:top="99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154305</wp:posOffset>
            </wp:positionV>
            <wp:extent cx="1619885"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6198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Debt Securities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may offer, from time to time, in one or more offerings, up to $500,000,000 of our common stock or debt securities, which we refer to, collectively, as the “securities.” Our securities may be offered at prices and on terms to be disclosed in one or more supplements to this prospectus. The offering price per share of our common stock, less any underwriting commissions or discounts, will not be less than the net asset value, or NAV, per share of our common stock at the time of the offering, except (1) with the approval of our common stockholders or (2) under such other circumstances as the Securities and Exchange Commission may permit. We did not seek stockholder approval to issue common stock at a price below NAV per share at our 2019 annual meeting of stockholders. Sales of common stock at prices below NAV per share would dilute the interests of existing stockholders, reducing our NAV per share and may lower the market price of our common stock. Moreover, sales of common stock below NAV may have a negative impact on total returns and could have a negative impact on the market price of shares of our common stock. See “Sales of Common Stock Below Net Asset Value.”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Shares of closed-end investment companies frequently trade at a discount to NAV. This risk is separate and distinct from the risk that our NAV per share may decline. We cannot predict whether our common stock will trade above, at or below NAV. You should read this prospectus, the applicable prospectus supplement, and any free writing prospectuses carefully before you invest in our common stock.</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securities may be offered directly to one or more purchasers through agents designated from time to time, or to or through underwriters or dealers. The prospectus supplement relating to the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an internally managed investment company that specializes in providing customized debt and equity financing to lower middle market, or LMM, companies and debt capital to upper middle market, or UMM, companies. Our target LMM companies typically have annual earnings before interest, taxes, depreciation and amortization, or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business strategy is to achieve our investment objective of producing attractive risk-adjusted returns by generating current income from our debt investments and capital appreciation from our equity and equity related investments.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an internally managed, closed-end, non-diversified management investment company that has elected to be treated as a business development company under the Investment Company Act of 1940, as amended.</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common stock is listed on The Nasdaq Global Select Market, or Nasdaq, under the symbol “CSWC.” On August 9, 2019, the last reported sale price of our common stock on the Nasdaq was $22.25 per share, and the NAV per share of our common stock on June 30, 2019 (the last date prior to the date of this prospectus on which we determined our NAV per share) was $18.58.</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Investing in our securities involves a high degree of risk, and should be considered highly speculative. You should review carefully the risks and uncertainties, including the risk of leverage and dilution, described in the section titled “Risk Factors”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 before investing in our securities.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Securities and Exchange Commission. This information is available free of charge by contacting us at 5400 Lyndon B. Johnson Freeway, Suite 1300, Dallas, Texas 75240 or by telephone at (214) 238-5700 or on our website at www.capitalsouthwest.com. Information contained on our website is not incorporated by</w:t>
      </w:r>
    </w:p>
    <w:p>
      <w:pPr>
        <w:sectPr>
          <w:pgSz w:w="11900" w:h="16838" w:orient="portrait"/>
          <w:cols w:equalWidth="0" w:num="1">
            <w:col w:w="11240"/>
          </w:cols>
          <w:pgMar w:left="320" w:top="1107" w:right="339" w:bottom="1440" w:gutter="0" w:footer="0" w:header="0"/>
        </w:sectPr>
      </w:pPr>
    </w:p>
    <w:bookmarkStart w:id="42" w:name="page43"/>
    <w:bookmarkEnd w:id="42"/>
    <w:p>
      <w:pPr>
        <w:spacing w:after="0" w:line="275" w:lineRule="auto"/>
        <w:rPr>
          <w:sz w:val="20"/>
          <w:szCs w:val="20"/>
          <w:color w:val="auto"/>
        </w:rPr>
      </w:pPr>
      <w:r>
        <w:rPr>
          <w:rFonts w:ascii="Arial" w:cs="Arial" w:eastAsia="Arial" w:hAnsi="Arial"/>
          <w:sz w:val="16"/>
          <w:szCs w:val="16"/>
          <w:color w:val="auto"/>
        </w:rPr>
        <w:t>reference into this prospectus or any supplement to this prospectus, and you should not consider that information to be part of this prospectus or any supplement to this prospectus. The Securities and Exchange Commission also maintains a website at www.sec.gov that contains such information.</w:t>
      </w:r>
    </w:p>
    <w:p>
      <w:pPr>
        <w:spacing w:after="0" w:line="168"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August 15, 2019</w:t>
      </w:r>
    </w:p>
    <w:p>
      <w:pPr>
        <w:sectPr>
          <w:pgSz w:w="11900" w:h="16838" w:orient="portrait"/>
          <w:cols w:equalWidth="0" w:num="1">
            <w:col w:w="11240"/>
          </w:cols>
          <w:pgMar w:left="320" w:top="111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summary highlights the information included elsewhere in this prospectus or incorporated by reference. It is not complete and may not contain all of the information that you should consider before making your investment decision. You carefully should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Before making your investment decision, you should also carefully read the information incorporated by reference into this prospectus, including our financial statements and related notes, and the exhibits to the registration statement of which this prospectus is a part. Any yield information contained or incorporated by reference in this prospectus related to debt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Southwest Corporation, which we refer to as CSWC or the Company, is an internally managed closed-end, non-diversified investment company that has elected to be regulated as a business development company, or BDC, under the Investment Company Act of 1940, as amended, or the 1940 Act. We specialize in providing customized financing to middle market companies in a broad range of industry segments located primarily in the United States. Our common stock currently trades on The Nasdaq Global Select Market under the ticker symbol “CSWC.”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CSWC was organized as a Texas corporation on April 19, 1961. Prior to March 30, 1988, CSWC was registered as a closed-end, non-diversified investment company under the 1940 Act. On that date, we elected to be treated as a BDC under the 1940 Act.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and intend to qualify annually, to be treated for U.S. federal income tax purposes as a regulated investment company, or RIC, under Subchapter M of the U.S. Internal Revenue Code of 1986, or the Code. As such, we generally will not have to pay corporate-level U.S. federal income tax on any ordinary income or capital gains that we distribute to our shareholders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Depending on the level of taxable income earned in a tax year, we may choose to carry forward taxable income in excess of current year distributions into the next year and pay a 4% U.S. federal excise tax on such income. Any such carryover taxable income must be distributed through a dividend declared prior to filing the final tax return related to the year that generated such taxable income.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2015, we completed the spin-off, which we refer to as the Share Distribution, of CSW Industrials, Inc., or CSWI. CSWI is now an independent publicly traded company. The Share Distribution was effected through a tax-free, pro-rata distribution of 100% of CSWI’s common stock to our shareholders. Each of our shareholder received one share of CSWI common stock for every one share of our common stock on the record date, September 18, 2015. Cash was paid in lieu of any fractional shares of CSWI common stock.</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Following the Share Distribution, we have maintained operations as an internally managed BDC and pursued a credit-focused investing strategy akin to similarly structured organizations. We continue to provide capital to middle-market companies. We intend to invest primarily in debt securities, including senior debt, second lien and subordinated debt, and also invest in preferred stock and common stock alongside our debt investments or through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depicts CSWC’s current summary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577850</wp:posOffset>
            </wp:positionV>
            <wp:extent cx="2271395" cy="1611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713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Southwest Management Corporation, or CSMC, a wholly-owned subsidiary of CSWC, is the management company for CSWC. CSMC generally incurs all normal operating and administrative expenses, including, but not limited to, salaries and related benefits, rent, equipment and other administrative costs required for day-to-day operations.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CSWC also has a direct wholly owned subsidiary that has been elected to be a taxable entity, or the Taxable Subsidiary. The primary purpose of the Taxable Subsidiary is to permit CSWC to hold certain interests in portfolio companies that are organized as limited liability companies, or LLCs (or other forms of pass-through entities) and still allow us to satisfy the RIC tax requirement that at least 90% of our gross income for U.S. federal income tax purposes must consist of qualifying investment income. The Taxable Subsidiary is taxed at normal corporate tax rates based on its taxable income.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CSWC is an internally managed closed-end, non-diversified investment company that has elected to be regulated as a BDC under the 1940 Act. We specialize in providing customized debt and equity financing to lower middle market, or LMM, companies and debt capital to upper middle market, or UMM,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and in secured and unsecured subordinated debt securities. We also invest in equity interests in our portfolio companies alongside our debt securities.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focus on investing in companies with histories of generating revenues and positive cash flow, established market positions and proven management teams with strong operating discipline. We target senior debt, subordinated debt, and equity investments in LMM companies, as well as first and second lien syndicated loans in UMM companies. Our target LMM companies typically have annual earnings before interest, taxes, depreciation and amortization, or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as well as subordinated debt, which may either be secured or unsecured subordinated loans. Our LMM debt investments typically have a term of between five and seven years from the original investment date. We also often seek to invest in the equity securities of our LMM portfolio companies.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offices are located at 5400 Lyndon B. Johnson Freeway, Suite 1300, Dallas, Texas 75240. We maintain a website at http://www.capitalsouthwest.com. Information contained on our website is not incorporated by reference into this registration statement or any accompanying post-effective amendment or prospectus, and you should not consider that information to be part of this registration statement or any accompanying post-effective amendment or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As of the date hereof, we are not a party to, and none of our assets are subject to, any material pending legal proceedings and are not aware of any claims that could have a materially adverse effect on our financial position, results of operations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as well as in any of our subsequent SEC filings.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this prospectus contains a reference to fees or expenses paid by “you,” “us” or “CSWC,” or that “we” will pay fees or expenses, stockholders will indirectly bear such fees or expenses as investors in us.</w:t>
      </w: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 Transaction Expenses:</w:t>
            </w: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Sales load (as a percentage of offering price)</w:t>
            </w:r>
          </w:p>
        </w:tc>
        <w:tc>
          <w:tcPr>
            <w:tcW w:w="2640" w:type="dxa"/>
            <w:vAlign w:val="bottom"/>
            <w:gridSpan w:val="2"/>
          </w:tcPr>
          <w:p>
            <w:pPr>
              <w:jc w:val="right"/>
              <w:ind w:right="410"/>
              <w:spacing w:after="0"/>
              <w:rPr>
                <w:sz w:val="20"/>
                <w:szCs w:val="20"/>
                <w:color w:val="auto"/>
              </w:rPr>
            </w:pPr>
            <w:r>
              <w:rPr>
                <w:rFonts w:ascii="Arial" w:cs="Arial" w:eastAsia="Arial" w:hAnsi="Arial"/>
                <w:sz w:val="18"/>
                <w:szCs w:val="18"/>
                <w:color w:val="auto"/>
              </w:rPr>
              <w:t>— %(1)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expenses (as a percentage of offering price)</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top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0"/>
              </w:rPr>
              <w:t>(2)</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reinvestment plan expenses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tcPr>
          <w:p>
            <w:pPr>
              <w:jc w:val="right"/>
              <w:ind w:right="410"/>
              <w:spacing w:after="0"/>
              <w:rPr>
                <w:sz w:val="20"/>
                <w:szCs w:val="20"/>
                <w:color w:val="auto"/>
              </w:rPr>
            </w:pPr>
            <w:r>
              <w:rPr>
                <w:rFonts w:ascii="Arial" w:cs="Arial" w:eastAsia="Arial" w:hAnsi="Arial"/>
                <w:sz w:val="18"/>
                <w:szCs w:val="18"/>
                <w:color w:val="auto"/>
                <w:w w:val="90"/>
              </w:rPr>
              <w:t>(3)</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 transaction expenses (as a percentage of offering price)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0"/>
              </w:rPr>
              <w:t>(4)</w:t>
            </w:r>
          </w:p>
        </w:tc>
      </w:tr>
      <w:tr>
        <w:trPr>
          <w:trHeight w:val="162"/>
        </w:trPr>
        <w:tc>
          <w:tcPr>
            <w:tcW w:w="7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7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Annual Expenses (as a percentage of net assets attributable to common stock for the quarter</w:t>
            </w:r>
          </w:p>
        </w:tc>
        <w:tc>
          <w:tcPr>
            <w:tcW w:w="1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ended June 30, 2019):</w:t>
            </w: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40" w:type="dxa"/>
            <w:vAlign w:val="bottom"/>
            <w:gridSpan w:val="2"/>
          </w:tcPr>
          <w:p>
            <w:pPr>
              <w:jc w:val="right"/>
              <w:ind w:right="410"/>
              <w:spacing w:after="0"/>
              <w:rPr>
                <w:sz w:val="20"/>
                <w:szCs w:val="20"/>
                <w:color w:val="auto"/>
              </w:rPr>
            </w:pPr>
            <w:r>
              <w:rPr>
                <w:rFonts w:ascii="Arial" w:cs="Arial" w:eastAsia="Arial" w:hAnsi="Arial"/>
                <w:sz w:val="18"/>
                <w:szCs w:val="18"/>
                <w:color w:val="auto"/>
              </w:rPr>
              <w:t>5.24 % (5)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 on borrowed funds</w:t>
            </w:r>
          </w:p>
        </w:tc>
        <w:tc>
          <w:tcPr>
            <w:tcW w:w="26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4.23 % (6)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40" w:type="dxa"/>
            <w:vAlign w:val="bottom"/>
            <w:gridSpan w:val="2"/>
          </w:tcPr>
          <w:p>
            <w:pPr>
              <w:jc w:val="right"/>
              <w:ind w:right="410"/>
              <w:spacing w:after="0"/>
              <w:rPr>
                <w:sz w:val="20"/>
                <w:szCs w:val="20"/>
                <w:color w:val="auto"/>
              </w:rPr>
            </w:pPr>
            <w:r>
              <w:rPr>
                <w:rFonts w:ascii="Arial" w:cs="Arial" w:eastAsia="Arial" w:hAnsi="Arial"/>
                <w:sz w:val="18"/>
                <w:szCs w:val="18"/>
                <w:color w:val="auto"/>
              </w:rPr>
              <w:t>0.39 % (7)</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fund fees and expenses</w:t>
            </w:r>
          </w:p>
        </w:tc>
        <w:tc>
          <w:tcPr>
            <w:tcW w:w="26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2.12 % (8)</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Total annual expenses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11.98 %</w:t>
            </w:r>
          </w:p>
        </w:tc>
        <w:tc>
          <w:tcPr>
            <w:tcW w:w="720" w:type="dxa"/>
            <w:vAlign w:val="bottom"/>
          </w:tcPr>
          <w:p>
            <w:pPr>
              <w:spacing w:after="0"/>
              <w:rPr>
                <w:sz w:val="19"/>
                <w:szCs w:val="19"/>
                <w:color w:val="auto"/>
              </w:rPr>
            </w:pPr>
          </w:p>
        </w:tc>
      </w:tr>
    </w:tbl>
    <w:p>
      <w:pPr>
        <w:spacing w:after="0" w:line="61"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event that our securities are sold to or through underwriters, a corresponding prospectus supplement will disclose the applicable sales load.</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event that we conduct an offering of our securities, a corresponding prospectus supplement will disclose the estimated offering expenses.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expenses of administering our DRIP are included in operating expenses. The DRIP does not allow shareholders to sell shares through the DRIP. If a shareholder wishes to sell shares they would be required to select a broker of their choice and pay any fees or other costs associated with the sale.</w:t>
      </w: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 stockholder transaction expenses may include sales load and will be disclosed in a future prospectus supplement, if any.</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expenses in this table represent the estimated annual operating expenses of CSWC and its consolidated subsidiaries based on annualized operating expenses for the quarter ended June 30, 2019.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 payments on borrowed funds represents our estimated annual interest payments based on actual interest rate terms under our Credit Facility, our anticipated drawdown from our Credit Facility, and 5.95% Notes due 2022 (the “December 2022 Notes”). The future issuances of debt securities will be made at the discretion of management and our board of directors after evaluating the investment opportunities and economic situation of the Company and the market as a whole.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Income tax expense relates to the accrual of (a) deferred and current tax provision (benefit) for U.S. federal income taxes and (b) excise, state and other taxes. Deferred taxes are non-cash in nature and may vary significantly from period to period. We are required to include deferred taxes in calculating our annual expenses even though deferred taxes are not currently payable or receivable. Income tax expense represents the estimated annual income tax expense of CSWC and its consolidated subsidiaries based on annualized income tax expense for the quarter ended June 30, 2019.</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Acquired fund fees and expenses represent the estimated indirect expense incurred due to our investment in the I-45 Senior Loan Fund based upon the actual amount incurred for the fiscal year ended March 31,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additional leverage and that our annual operating expenses would remain at the levels set forth in the table above. In the event that shares to which this prospectus relates are sold to or through underwriters, a corresponding prospectus supplement will restate this example to reflect the applicable sales load.</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3 Years</w:t>
            </w: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5 Years</w:t>
            </w:r>
          </w:p>
        </w:tc>
        <w:tc>
          <w:tcPr>
            <w:tcW w:w="1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10 Years</w:t>
            </w:r>
          </w:p>
        </w:tc>
        <w:tc>
          <w:tcPr>
            <w:tcW w:w="0" w:type="dxa"/>
            <w:vAlign w:val="bottom"/>
          </w:tcPr>
          <w:p>
            <w:pPr>
              <w:spacing w:after="0"/>
              <w:rPr>
                <w:sz w:val="1"/>
                <w:szCs w:val="1"/>
                <w:color w:val="auto"/>
              </w:rPr>
            </w:pPr>
          </w:p>
        </w:tc>
      </w:tr>
      <w:tr>
        <w:trPr>
          <w:trHeight w:val="155"/>
        </w:trPr>
        <w:tc>
          <w:tcPr>
            <w:tcW w:w="5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8"/>
              </w:rPr>
              <w:t>You would pay the following expenses on a $1,000 investment, assuming</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5.0% annual return</w:t>
            </w:r>
          </w:p>
        </w:tc>
        <w:tc>
          <w:tcPr>
            <w:tcW w:w="1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The example and the expenses in the table above should not be considered a representation of our future expenses, and actual expenses may be greater or less than those shown. </w:t>
      </w:r>
      <w:r>
        <w:rPr>
          <w:rFonts w:ascii="Arial" w:cs="Arial" w:eastAsia="Arial" w:hAnsi="Arial"/>
          <w:sz w:val="18"/>
          <w:szCs w:val="18"/>
          <w:color w:val="auto"/>
        </w:rPr>
        <w:t>While the example assumes, as required by the SEC, a 5.0% annual return, our performance will vary and may result in</w:t>
      </w:r>
      <w:r>
        <w:rPr>
          <w:rFonts w:ascii="Arial" w:cs="Arial" w:eastAsia="Arial" w:hAnsi="Arial"/>
          <w:sz w:val="18"/>
          <w:szCs w:val="18"/>
          <w:b w:val="1"/>
          <w:bCs w:val="1"/>
          <w:color w:val="auto"/>
        </w:rPr>
        <w:t xml:space="preserve"> </w:t>
      </w:r>
      <w:r>
        <w:rPr>
          <w:rFonts w:ascii="Arial" w:cs="Arial" w:eastAsia="Arial" w:hAnsi="Arial"/>
          <w:sz w:val="18"/>
          <w:szCs w:val="18"/>
          <w:color w:val="auto"/>
        </w:rPr>
        <w:t>a return greater or less than 5.0%. In addition, while the example assumes reinvestment of all dividends at NAV, participants in our DRIP will receive a number of shares of our common stock, determined by dividing the total dollar amount of the dividend payable to a participant by the average purchase price of all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1" w:right="339" w:bottom="1440" w:gutter="0" w:footer="0" w:header="0"/>
        </w:sectPr>
      </w:pPr>
    </w:p>
    <w:bookmarkStart w:id="47" w:name="page48"/>
    <w:bookmarkEnd w:id="47"/>
    <w:p>
      <w:pPr>
        <w:spacing w:after="0" w:line="342" w:lineRule="auto"/>
        <w:rPr>
          <w:sz w:val="20"/>
          <w:szCs w:val="20"/>
          <w:color w:val="auto"/>
        </w:rPr>
      </w:pPr>
      <w:r>
        <w:rPr>
          <w:rFonts w:ascii="Arial" w:cs="Arial" w:eastAsia="Arial" w:hAnsi="Arial"/>
          <w:sz w:val="16"/>
          <w:szCs w:val="16"/>
          <w:color w:val="auto"/>
        </w:rPr>
        <w:t>shares of common stock purchased by the administrator of the DRIP in the event that shares are purchased in the open market to satisfy the share requirements of the DRIP, which may be at, above or below NAV. See “Dividend Reinvestment Plan” for additional information regarding our DRIP.</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320" w:top="1111" w:right="8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our most recent Annual Report on Form 10-K and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The risks and uncertainties described in these documents could materially adversely affect our business, financial condition and results of operations. Risks and uncertainties not presently known to us, or not presently deemed material by us, may also impair our operations and performance. If any of the risks described in these documents, or risks not presently known to us, actually occur, the trading price of our common stock could decline, and you may lose all or part of your investment. Please also read carefully the section titled “Cautionary Statement Concerning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“predict,” “will,” “continue,” “likely,” “would,” “could,” “should,” “expect,” “anticipate,” “potential,” “estimate,” “indicate,” “seek,” “believe,” “target,” “intend” or “project” or the negative of these words or other variations on these words or comparable terminology.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The forward-looking statements contained or incorporated by reference in this prospectus and any applicable prospectus supplement or free writing prospectus may include statements as to:</w:t>
      </w:r>
    </w:p>
    <w:p>
      <w:pPr>
        <w:spacing w:after="0" w:line="9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and our ability to access debt and equity capital and our ability to manage our capital resources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operate as a BDC and a RIC, including the impact of changes in laws or regulations governing our operations or the operations of our portfolio companies;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invest any capital raised in an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regulatory structure and tax treatment;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Discussions containing these forward-looking statements may be found in the sections titled “Business,” “Risk Factors” and “Management’s Discussion and Analysis of Financial Condition and Results of Operations” incorporated by reference from our most recent Annual Report on Form 10-K and our subsequent SEC filings. We discuss in greater detail, and incorporate by reference into this prospectus in their entirety, many of these risks and uncertainties in the sections titled “Risk Factors” in the applicable prospectus supplement, in any free writing prospectus we may authorize for use in connection with a specific offering and in our most recent Annual Report on Form 10-K, as well as in any of our subsequent SEC filings. In addition, statements that we “believe” and similar statements reflect our beliefs and opinions on the relevant subject. These statements are based on information available to us as of the applicable date of this prospectus, free writing prospectus and documents incorporated by reference into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otherwise specified in any applicable prospectus supplement or in any free writing prospectus we have authorized for use in connection with a specific offering, we intend to use the net proceeds from any offering to make investments in LMM and UMM portfolio companies in accordance with our investment objective and strategies. While we work to invest these proceeds in LMM and UMM portfolio companies, we may use the proceeds to pay down revolver debt outstanding, to make investments in marketable securities and other temporary investments, and for other general corporate purposes, including payment of operating expenses. We anticipate that substantially all of any remainder of the net proceeds of an offering will be invested in accordance with our investment objective within twelve months following completion of such offering, depending on the availability of appropriate investment opportunities consistent with our investment objectives and market conditions. We cannot assure you that we will achieve our targeted investment pace. Pending our investments in portfolio companies, we will invest the remaining net proceeds of an offering primarily in cash, cash equivalents, U.S. Government securities and other high-quality debt investments that mature in one year or less from the time of investment. These securities may have lower yields than our other investments and accordingly may result in lower distributions, if any, during such period.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intend to raise new equity or issue debt securities when we have attractive opportunities available. We did not seek stockholder authorization to issue common stock at a price below NAV per share at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1"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Nasdaq under the symbol “CSWC.”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 forth, for each fiscal quarter within the two most recent fiscal years and each full fiscal quarter since the beginning of the current fiscal year, the range of high and low selling prices of our common stock as reported on Nasdaq, as applicable, and the sales price as a percentage of the NAV per share of our common stock.</w:t>
      </w:r>
    </w:p>
    <w:p>
      <w:pPr>
        <w:spacing w:after="0" w:line="94"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Price Range</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4"/>
              </w:rPr>
              <w:t>Premium (Discount) of</w:t>
            </w:r>
          </w:p>
        </w:tc>
        <w:tc>
          <w:tcPr>
            <w:tcW w:w="15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3"/>
              </w:rPr>
              <w:t>Premium (Discount) of</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NAV (1)</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High Sales Price to</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Low Sales Price to</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NAV (2)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NAV (2)</w:t>
            </w: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 ending March 31, 2020</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Second Quarter (through August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9, 2019)</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21.04 %</w:t>
            </w:r>
          </w:p>
        </w:tc>
        <w:tc>
          <w:tcPr>
            <w:tcW w:w="1520" w:type="dxa"/>
            <w:vAlign w:val="bottom"/>
          </w:tcPr>
          <w:p>
            <w:pPr>
              <w:jc w:val="right"/>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Year ending March 31, 2019</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21.37 %</w:t>
            </w:r>
          </w:p>
        </w:tc>
        <w:tc>
          <w:tcPr>
            <w:tcW w:w="152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31.20</w:t>
            </w: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28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540" w:type="dxa"/>
            <w:vAlign w:val="bottom"/>
          </w:tcPr>
          <w:p>
            <w:pPr>
              <w:jc w:val="right"/>
              <w:ind w:right="194"/>
              <w:spacing w:after="0"/>
              <w:rPr>
                <w:sz w:val="20"/>
                <w:szCs w:val="20"/>
                <w:color w:val="auto"/>
              </w:rPr>
            </w:pPr>
            <w:r>
              <w:rPr>
                <w:rFonts w:ascii="Arial" w:cs="Arial" w:eastAsia="Arial" w:hAnsi="Arial"/>
                <w:sz w:val="18"/>
                <w:szCs w:val="18"/>
                <w:color w:val="auto"/>
              </w:rPr>
              <w:t>5.10</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2.70</w:t>
            </w: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 ended March 31, 2018</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(5.66)%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29"/>
        </w:trPr>
        <w:tc>
          <w:tcPr>
            <w:tcW w:w="28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9"/>
                <w:szCs w:val="19"/>
                <w:color w:val="auto"/>
              </w:rPr>
            </w:pPr>
          </w:p>
        </w:tc>
        <w:tc>
          <w:tcPr>
            <w:tcW w:w="1540" w:type="dxa"/>
            <w:vAlign w:val="bottom"/>
          </w:tcPr>
          <w:p>
            <w:pPr>
              <w:ind w:left="860"/>
              <w:spacing w:after="0"/>
              <w:rPr>
                <w:sz w:val="20"/>
                <w:szCs w:val="20"/>
                <w:color w:val="auto"/>
              </w:rPr>
            </w:pPr>
            <w:r>
              <w:rPr>
                <w:rFonts w:ascii="Arial" w:cs="Arial" w:eastAsia="Arial" w:hAnsi="Arial"/>
                <w:sz w:val="18"/>
                <w:szCs w:val="18"/>
                <w:color w:val="auto"/>
              </w:rPr>
              <w:t>(3.69)</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(4.16)</w:t>
            </w: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8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0"/>
                <w:szCs w:val="20"/>
                <w:color w:val="auto"/>
              </w:rPr>
            </w:pPr>
          </w:p>
        </w:tc>
        <w:tc>
          <w:tcPr>
            <w:tcW w:w="1540" w:type="dxa"/>
            <w:vAlign w:val="bottom"/>
          </w:tcPr>
          <w:p>
            <w:pPr>
              <w:ind w:left="860"/>
              <w:spacing w:after="0"/>
              <w:rPr>
                <w:sz w:val="20"/>
                <w:szCs w:val="20"/>
                <w:color w:val="auto"/>
              </w:rPr>
            </w:pPr>
            <w:r>
              <w:rPr>
                <w:rFonts w:ascii="Arial" w:cs="Arial" w:eastAsia="Arial" w:hAnsi="Arial"/>
                <w:sz w:val="18"/>
                <w:szCs w:val="18"/>
                <w:color w:val="auto"/>
              </w:rPr>
              <w:t>(3.45)</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60" w:right="160" w:hanging="328"/>
        <w:spacing w:after="0" w:line="250" w:lineRule="auto"/>
        <w:tabs>
          <w:tab w:leader="none" w:pos="6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640" w:hanging="308"/>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Calculated as the respective high or low share price divided by NAV and subtracting 1.</w:t>
      </w:r>
    </w:p>
    <w:p>
      <w:pPr>
        <w:spacing w:after="0" w:line="1"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NAV has not yet been determined.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On August 9, 2019, we had 403 shareholders of record. On August 9, 2019, the last sale price of our common stock on Nasdaq was $22.25 per share.</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make distributions on a quarterly basis to our shareholders of substantially all of our taxable income. In lieu of cash, we may make deemed distributions of certain net capital gains to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payment dates and amounts of cash dividends per share on a post-split basis for the past five years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1" w:right="339" w:bottom="1440" w:gutter="0" w:footer="0" w:header="0"/>
        </w:sectPr>
      </w:pPr>
    </w:p>
    <w:bookmarkStart w:id="52" w:name="page53"/>
    <w:bookmarkEnd w:id="52"/>
    <w:tbl>
      <w:tblPr>
        <w:tblLayout w:type="fixed"/>
        <w:tblInd w:w="460" w:type="dxa"/>
        <w:tblCellMar>
          <w:top w:w="0" w:type="dxa"/>
          <w:left w:w="0" w:type="dxa"/>
          <w:bottom w:w="0" w:type="dxa"/>
          <w:right w:w="0" w:type="dxa"/>
        </w:tblCellMar>
      </w:tblPr>
      <w:tr>
        <w:trPr>
          <w:trHeight w:val="192"/>
        </w:trPr>
        <w:tc>
          <w:tcPr>
            <w:tcW w:w="5320" w:type="dxa"/>
            <w:vAlign w:val="bottom"/>
          </w:tcPr>
          <w:p>
            <w:pPr>
              <w:spacing w:after="0"/>
              <w:rPr>
                <w:sz w:val="20"/>
                <w:szCs w:val="20"/>
                <w:color w:val="auto"/>
              </w:rPr>
            </w:pPr>
            <w:r>
              <w:rPr>
                <w:rFonts w:ascii="Arial" w:cs="Arial" w:eastAsia="Arial" w:hAnsi="Arial"/>
                <w:sz w:val="14"/>
                <w:szCs w:val="14"/>
                <w:b w:val="1"/>
                <w:bCs w:val="1"/>
                <w:color w:val="auto"/>
              </w:rPr>
              <w:t>Payment Date</w:t>
            </w:r>
          </w:p>
        </w:tc>
        <w:tc>
          <w:tcPr>
            <w:tcW w:w="5020" w:type="dxa"/>
            <w:vAlign w:val="bottom"/>
          </w:tcPr>
          <w:p>
            <w:pPr>
              <w:jc w:val="right"/>
              <w:ind w:right="371"/>
              <w:spacing w:after="0"/>
              <w:rPr>
                <w:sz w:val="20"/>
                <w:szCs w:val="20"/>
                <w:color w:val="auto"/>
              </w:rPr>
            </w:pPr>
            <w:r>
              <w:rPr>
                <w:rFonts w:ascii="Arial" w:cs="Arial" w:eastAsia="Arial" w:hAnsi="Arial"/>
                <w:sz w:val="14"/>
                <w:szCs w:val="14"/>
                <w:b w:val="1"/>
                <w:bCs w:val="1"/>
                <w:color w:val="auto"/>
              </w:rPr>
              <w:t>Cash Dividend</w:t>
            </w: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May 30, 2014</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November 28, 2014</w:t>
            </w:r>
          </w:p>
        </w:tc>
        <w:tc>
          <w:tcPr>
            <w:tcW w:w="50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June 10, 2015</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April 1, 2016</w:t>
            </w:r>
          </w:p>
        </w:tc>
        <w:tc>
          <w:tcPr>
            <w:tcW w:w="50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October 1, 2016</w:t>
            </w:r>
          </w:p>
        </w:tc>
        <w:tc>
          <w:tcPr>
            <w:tcW w:w="50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April 3, 2017(1)</w:t>
            </w:r>
          </w:p>
        </w:tc>
        <w:tc>
          <w:tcPr>
            <w:tcW w:w="502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October 2, 2017</w:t>
            </w:r>
          </w:p>
        </w:tc>
        <w:tc>
          <w:tcPr>
            <w:tcW w:w="502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April 2, 2018</w:t>
            </w:r>
          </w:p>
        </w:tc>
        <w:tc>
          <w:tcPr>
            <w:tcW w:w="50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July 2, 2018(2)</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September 28, 2018(3)</w:t>
            </w:r>
          </w:p>
        </w:tc>
        <w:tc>
          <w:tcPr>
            <w:tcW w:w="502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2018(4)</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March 29, 2019(5)</w:t>
            </w:r>
          </w:p>
        </w:tc>
        <w:tc>
          <w:tcPr>
            <w:tcW w:w="502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June 28, 2019(6)</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September 30, 2019(7)</w:t>
            </w:r>
          </w:p>
        </w:tc>
        <w:tc>
          <w:tcPr>
            <w:tcW w:w="5020" w:type="dxa"/>
            <w:vAlign w:val="bottom"/>
          </w:tcPr>
          <w:p>
            <w:pPr>
              <w:jc w:val="right"/>
              <w:spacing w:after="0"/>
              <w:rPr>
                <w:sz w:val="20"/>
                <w:szCs w:val="20"/>
                <w:color w:val="auto"/>
              </w:rPr>
            </w:pPr>
            <w:r>
              <w:rPr>
                <w:rFonts w:ascii="Arial" w:cs="Arial" w:eastAsia="Arial" w:hAnsi="Arial"/>
                <w:sz w:val="18"/>
                <w:szCs w:val="18"/>
                <w:color w:val="auto"/>
              </w:rPr>
              <w:t>0.50</w:t>
            </w:r>
          </w:p>
        </w:tc>
      </w:tr>
    </w:tbl>
    <w:p>
      <w:pPr>
        <w:spacing w:after="0" w:line="6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April 3, 2017, CSWC paid a quarterly dividend of $0.19 per share and a supplemental dividend of $0.26 per share.</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July 2, 2018, CSWC paid a quarterly dividend of $0.29 per share and a supplemental dividend of $0.60 per share.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September 28, 2018, CSWC paid a quarterly dividend of $0.34 per share and a supplemental dividend of $0.10 per share.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December 31, 2018, CSWC paid a quarterly dividend of $0.36 per share and a supplemental dividend of $0.10 per share.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March 29, 2019, CSWC paid a quarterly dividend of $0.38 per share and a supplemental dividend of $0.10 per share.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June 28, 2019, CSWC paid a quarterly dividend of $0.39 per share and a supplemental dividend of $0.10 per share.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September 30, 2019, CSWC will pay a quarterly dividend of $0.40 per share and a supplemental dividend of $0.10 per share.</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and timing of cash dividend payments have generally been dictated by requirements of the Code regarding the distribution of taxable net investment income (ordinary income) of regulated investment companies.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 2016, we established a share repurchase plan (the “Share Repurchase Plan”) in compliance with the requirements of Rules 10b5-1(c)(1)(i)(B) and 10b-18 under the Exchange Act. The Share Repurchase Plan was established pursuant to a $10 million share repurchase program that the board approved on January 20, 2016. The Share Repurchase Plan became effective immediately and shall terminate on the earliest of: (1) the date on which a total of $10 million worth of common shares have been purchased under the plan; (2) the date on which the terms set forth in the purchase instructions have been met; or (3) the date that is one trading day after the date on which insider notifies broker in writing that this agreement shall terminate. During the three months ended June 30, 2019, the Company did not repurchase any shares of the Company's common stock under the Share Repurchase Plan. Cumulative to date, we have repurchased a total of 46,363 shares of our common stock in the open market under the Share Repurchase Plan, at an average price of $16.67, including commissions paid, leaving approximately $9.2 million available for additional repurchases under the Share Repurchase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generally intend to make distributions on a quarterly basis to our shareholders of substantially all of our taxable income. In order to avoid certain excise taxes imposed on RICs, we must distribute during each calendar year an amount at least equal to the sum of (1) 98.0% of our ordinary income for the calendar year, (2) 98.2% of our capital gains in excess of capital losses for the one year period ended each October 31, and (3) any ordinary income and net capital gains for the preceding year that were not distributed during that year. We will not be subject to excise taxes on amounts on which we are required to pay corporate income tax (such as retained net capital gains). In order to obtain the tax benefits applicable to RICs, we will be required to distribute to our shareholders with respect to each taxable year at least 90.0% of our ordinary income and realized net short-term capital gains in excess of realized net long-term capital losses. We may retain for investment realized net long-term capital gains in excess of realized net short-term capital losses. We may make deemed distributions to our shareholders of any retained net capital gains. If this happens, our shareholders will be treated as if they received an actual distribution of the capital gains we retain and then reinvested the net after-tax proceeds in our common stock. Our shareholders also may be eligible to claim a tax credit (or, in certain circumstances, a tax refund) equal to their allocable share of the tax we paid on the capital gains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2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deemed distributed to them. We may, in the future, make actual distributions to our shareholders of some or all realized net long-term capital gains in excess of realized net short-term capital losses.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adopted a DRIP which provides for reinvestment of our distributions on behalf of our common shareholders if opted into by a common shareholder.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Shareholders who receive dividends in the form of stock generally are subject to the same U.S. federal, state and local tax consequences as are shareholders who elect to receive their dividends in cash. A shareholder’s basis for determining gain or loss upon the sale of stock received in a dividend from us will be equal to the total dollar amount of the dividend payable to the shareholder. Any stock received in a dividend will have a holding period for tax purposes commencing on the day following the day on which the shares are credited to the U.S. shareholder’s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make distributions will be limited by the asset coverage requirements under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0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June 30, 2019 (unaudited) and for the years ended March 31, 2019, 2018, and 2017. The Company did not have any senior securities outstanding prior to the year ended March 31, 2017. The reports of RSM US LLP, our independent registered public accountants for the fiscal years ended March 31, 2019 and 2018, on the senior securities table as of March 31, 2019 and 2018, are attached as exhibits to the registration statement of which this prospectus is a part. The report of Grant Thornton LLP, our independent registered public accountants for the fiscal year ended March 31, 2017, on the senior securities table as of March 31, 2017, is attached as an exhibit to the registration statement of which this prospectus is a part.</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Total Amount</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Asset Coverage per Unit</w:t>
            </w:r>
          </w:p>
        </w:tc>
        <w:tc>
          <w:tcPr>
            <w:tcW w:w="1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Involuntary Liquidating</w:t>
            </w:r>
          </w:p>
        </w:tc>
        <w:tc>
          <w:tcPr>
            <w:tcW w:w="15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Average Market Value</w:t>
            </w: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Outstanding Exclusive of</w:t>
            </w:r>
          </w:p>
        </w:tc>
        <w:tc>
          <w:tcPr>
            <w:tcW w:w="1740" w:type="dxa"/>
            <w:vAlign w:val="bottom"/>
            <w:gridSpan w:val="3"/>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Treasury Securities (1)</w:t>
            </w:r>
          </w:p>
        </w:tc>
        <w:tc>
          <w:tcPr>
            <w:tcW w:w="420" w:type="dxa"/>
            <w:vAlign w:val="bottom"/>
          </w:tcPr>
          <w:p>
            <w:pPr>
              <w:spacing w:after="0"/>
              <w:rPr>
                <w:sz w:val="16"/>
                <w:szCs w:val="16"/>
                <w:color w:val="auto"/>
              </w:rPr>
            </w:pPr>
          </w:p>
        </w:tc>
        <w:tc>
          <w:tcPr>
            <w:tcW w:w="1220" w:type="dxa"/>
            <w:vAlign w:val="bottom"/>
          </w:tcPr>
          <w:p>
            <w:pPr>
              <w:jc w:val="right"/>
              <w:ind w:right="65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Preference per Unit (3)</w:t>
            </w:r>
          </w:p>
        </w:tc>
        <w:tc>
          <w:tcPr>
            <w:tcW w:w="1520" w:type="dxa"/>
            <w:vAlign w:val="bottom"/>
          </w:tcPr>
          <w:p>
            <w:pPr>
              <w:jc w:val="right"/>
              <w:ind w:right="474"/>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3"/>
        </w:trPr>
        <w:tc>
          <w:tcPr>
            <w:tcW w:w="4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Credit Facility</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2020 (as of June 30, 2019) (unaudited)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151,000</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2022 Notes</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 (as of June 30, 2019)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Total amount of each class of senior securities outstanding at the end of the period presented.</w:t>
      </w:r>
    </w:p>
    <w:p>
      <w:pPr>
        <w:spacing w:after="0" w:line="13" w:lineRule="exact"/>
        <w:rPr>
          <w:rFonts w:ascii="Arial" w:cs="Arial" w:eastAsia="Arial" w:hAnsi="Arial"/>
          <w:sz w:val="14"/>
          <w:szCs w:val="14"/>
          <w:color w:val="auto"/>
        </w:rPr>
      </w:pPr>
    </w:p>
    <w:p>
      <w:pPr>
        <w:ind w:left="660" w:hanging="328"/>
        <w:spacing w:after="0" w:line="241" w:lineRule="auto"/>
        <w:tabs>
          <w:tab w:leader="none" w:pos="6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660" w:hanging="328"/>
        <w:spacing w:after="0" w:line="241" w:lineRule="auto"/>
        <w:tabs>
          <w:tab w:leader="none" w:pos="6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 The “-” indicates information which the SEC expressly does not required to be disclosed for certain types of senior securities.</w:t>
      </w:r>
    </w:p>
    <w:p>
      <w:pPr>
        <w:ind w:left="640" w:hanging="30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Average market value per unit for our Credit Facility is not applicable because this is not registered for public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sets forth information as of June 30, 2019, for the portfolio companies in which we had a debt or equity investment. Other than these investments, our only formal relationships with our portfolio companies are the managerial assistance ancillary to our investments and the board observer or participation rights we may receive. The following table excludes our investments in marketable securities and temporary investments.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Type of</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Current Interest</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860" w:type="dxa"/>
            <w:vAlign w:val="bottom"/>
            <w:gridSpan w:val="2"/>
            <w:vMerge w:val="continue"/>
          </w:tcPr>
          <w:p>
            <w:pPr>
              <w:spacing w:after="0"/>
              <w:rPr>
                <w:sz w:val="16"/>
                <w:szCs w:val="16"/>
                <w:color w:val="auto"/>
              </w:rPr>
            </w:pPr>
          </w:p>
        </w:tc>
        <w:tc>
          <w:tcPr>
            <w:tcW w:w="1500" w:type="dxa"/>
            <w:vAlign w:val="bottom"/>
            <w:gridSpan w:val="2"/>
          </w:tcPr>
          <w:p>
            <w:pPr>
              <w:ind w:left="260"/>
              <w:spacing w:after="0" w:line="189"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8"/>
                <w:szCs w:val="18"/>
                <w:b w:val="1"/>
                <w:bCs w:val="1"/>
                <w:color w:val="auto"/>
                <w:vertAlign w:val="superscript"/>
              </w:rPr>
              <w:t>2,14</w:t>
            </w:r>
          </w:p>
        </w:tc>
        <w:tc>
          <w:tcPr>
            <w:tcW w:w="148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183"/>
        </w:trPr>
        <w:tc>
          <w:tcPr>
            <w:tcW w:w="27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4"/>
                <w:szCs w:val="14"/>
                <w:b w:val="1"/>
                <w:bCs w:val="1"/>
                <w:color w:val="auto"/>
              </w:rPr>
              <w:t>Non-control/Non-affiliate Investments</w:t>
            </w:r>
            <w:r>
              <w:rPr>
                <w:rFonts w:ascii="Arial" w:cs="Arial" w:eastAsia="Arial" w:hAnsi="Arial"/>
                <w:sz w:val="18"/>
                <w:szCs w:val="18"/>
                <w:b w:val="1"/>
                <w:bCs w:val="1"/>
                <w:color w:val="auto"/>
                <w:vertAlign w:val="superscript"/>
              </w:rPr>
              <w:t>5</w:t>
            </w: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AAC HOLDINGS, INC.</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7"/>
              </w:rPr>
              <w:t>L+6.75% (Floor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vMerge w:val="continue"/>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5"/>
              </w:rPr>
              <w:t>1.00%)/Q, 4.00%</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200 Powell Place</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Healthcare services</w:t>
            </w: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6"/>
              </w:rPr>
              <w:t>PIK,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6/30/2023</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9,079</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8,916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8,171</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Brentwood, TN 37027</w:t>
            </w:r>
          </w:p>
        </w:tc>
        <w:tc>
          <w:tcPr>
            <w:tcW w:w="150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Coupon 13.33%</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8"/>
              </w:rPr>
              <w:t>L+11.00%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3/31/2020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vMerge w:val="continue"/>
          </w:tcPr>
          <w:p>
            <w:pPr>
              <w:spacing w:after="0"/>
              <w:rPr>
                <w:sz w:val="16"/>
                <w:szCs w:val="16"/>
                <w:color w:val="auto"/>
              </w:rPr>
            </w:pPr>
          </w:p>
        </w:tc>
        <w:tc>
          <w:tcPr>
            <w:tcW w:w="1480" w:type="dxa"/>
            <w:vAlign w:val="bottom"/>
            <w:tcBorders>
              <w:bottom w:val="single" w:sz="8" w:color="CCEEFF"/>
            </w:tcBorders>
            <w:gridSpan w:val="2"/>
            <w:vMerge w:val="continue"/>
          </w:tcPr>
          <w:p>
            <w:pPr>
              <w:spacing w:after="0"/>
              <w:rPr>
                <w:sz w:val="16"/>
                <w:szCs w:val="16"/>
                <w:color w:val="auto"/>
              </w:rPr>
            </w:pPr>
          </w:p>
        </w:tc>
        <w:tc>
          <w:tcPr>
            <w:tcW w:w="1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3"/>
              </w:rPr>
              <w:t>Coupon 13.59%</w:t>
            </w:r>
          </w:p>
        </w:tc>
        <w:tc>
          <w:tcPr>
            <w:tcW w:w="9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9,353</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ACE GATHERING, INC.</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Energy services</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L+8.50%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24275 Katy Freeway, Suite 325</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Second Lien</w:t>
            </w:r>
            <w:r>
              <w:rPr>
                <w:rFonts w:ascii="Arial" w:cs="Arial" w:eastAsia="Arial" w:hAnsi="Arial"/>
                <w:sz w:val="18"/>
                <w:szCs w:val="18"/>
                <w:color w:val="auto"/>
                <w:vertAlign w:val="superscript"/>
              </w:rPr>
              <w:t>15</w:t>
            </w:r>
          </w:p>
        </w:tc>
        <w:tc>
          <w:tcPr>
            <w:tcW w:w="148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2.00%)/Q,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12/13/2023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9,875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9,693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9,747</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Katy, TX 77494</w:t>
            </w:r>
          </w:p>
        </w:tc>
        <w:tc>
          <w:tcPr>
            <w:tcW w:w="1500" w:type="dxa"/>
            <w:vAlign w:val="bottom"/>
            <w:gridSpan w:val="2"/>
            <w:vMerge w:val="continue"/>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(midstream)</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Coupon 10.82%</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ADAMS PUBLISHING GROUP, LLC</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Media, marketing &amp;</w:t>
            </w: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7"/>
              </w:rPr>
              <w:t>L+7.50% (Floor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103 West Summer St.</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1480" w:type="dxa"/>
            <w:vAlign w:val="bottom"/>
            <w:gridSpan w:val="2"/>
            <w:vMerge w:val="continue"/>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7/2/2023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12,427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12,209</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Greeneville, TN 37743</w:t>
            </w:r>
          </w:p>
        </w:tc>
        <w:tc>
          <w:tcPr>
            <w:tcW w:w="1500" w:type="dxa"/>
            <w:vAlign w:val="bottom"/>
            <w:gridSpan w:val="2"/>
            <w:vMerge w:val="continue"/>
            <w:shd w:val="clear" w:color="auto" w:fill="CCEEFF"/>
          </w:tcPr>
          <w:p>
            <w:pPr>
              <w:spacing w:after="0"/>
              <w:rPr>
                <w:sz w:val="16"/>
                <w:szCs w:val="16"/>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Coupon 10.08%</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Delayed Draw Term</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L+7.50%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5"/>
              </w:rPr>
              <w:t>7/2/2023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10</w:t>
            </w: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2"/>
              </w:rPr>
              <w:t>Coupon 9.85%</w:t>
            </w:r>
          </w:p>
        </w:tc>
        <w:tc>
          <w:tcPr>
            <w:tcW w:w="9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12,594</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AG KINGS HOLDINGS INC.</w:t>
            </w:r>
            <w:r>
              <w:rPr>
                <w:rFonts w:ascii="Arial" w:cs="Arial" w:eastAsia="Arial" w:hAnsi="Arial"/>
                <w:sz w:val="15"/>
                <w:szCs w:val="15"/>
                <w:b w:val="1"/>
                <w:bCs w:val="1"/>
                <w:color w:val="auto"/>
                <w:vertAlign w:val="superscript"/>
              </w:rPr>
              <w:t>8,16</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Food, agriculture &amp;</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8"/>
              </w:rPr>
              <w:t>L+10.02%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700 Lanidex Plaza</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w:t>
            </w:r>
          </w:p>
        </w:tc>
        <w:tc>
          <w:tcPr>
            <w:tcW w:w="148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1.00%)/M,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5"/>
              </w:rPr>
              <w:t>8/8/2021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9,308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9,194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7,874</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Parsippany, NJ 07054</w:t>
            </w:r>
          </w:p>
        </w:tc>
        <w:tc>
          <w:tcPr>
            <w:tcW w:w="1500" w:type="dxa"/>
            <w:vAlign w:val="bottom"/>
            <w:gridSpan w:val="2"/>
            <w:vMerge w:val="continue"/>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beverage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Coupon 12.69%</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ALLIANCE SPORTS GROUP, L.P.</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subordinated</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Consumer products &amp;</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3025 N. Great Southwest Parkway</w:t>
            </w:r>
          </w:p>
        </w:tc>
        <w:tc>
          <w:tcPr>
            <w:tcW w:w="1500" w:type="dxa"/>
            <w:vAlign w:val="bottom"/>
            <w:gridSpan w:val="2"/>
            <w:vMerge w:val="continue"/>
            <w:shd w:val="clear" w:color="auto" w:fill="CCEEFF"/>
          </w:tcPr>
          <w:p>
            <w:pPr>
              <w:spacing w:after="0"/>
              <w:rPr>
                <w:sz w:val="11"/>
                <w:szCs w:val="11"/>
                <w:color w:val="auto"/>
              </w:rPr>
            </w:pPr>
          </w:p>
        </w:tc>
        <w:tc>
          <w:tcPr>
            <w:tcW w:w="1480" w:type="dxa"/>
            <w:vAlign w:val="bottom"/>
            <w:gridSpan w:val="2"/>
            <w:vMerge w:val="continue"/>
            <w:shd w:val="clear" w:color="auto" w:fill="CCEEFF"/>
          </w:tcPr>
          <w:p>
            <w:pPr>
              <w:spacing w:after="0"/>
              <w:rPr>
                <w:sz w:val="11"/>
                <w:szCs w:val="11"/>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2/1/2023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9,807</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Grand Prairie, TX 75050</w:t>
            </w:r>
          </w:p>
        </w:tc>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3.88% preferred</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membership interest</w:t>
            </w: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12,307</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AMERICAN NUTS OPERATIONS LLC</w:t>
            </w:r>
            <w:r>
              <w:rPr>
                <w:rFonts w:ascii="Arial" w:cs="Arial" w:eastAsia="Arial" w:hAnsi="Arial"/>
                <w:sz w:val="15"/>
                <w:szCs w:val="15"/>
                <w:color w:val="auto"/>
                <w:vertAlign w:val="superscript"/>
              </w:rPr>
              <w:t>13</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Food, agriculture and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L+9.50%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12950 San Fernando Rd.</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 - Term Loan</w:t>
            </w:r>
          </w:p>
        </w:tc>
        <w:tc>
          <w:tcPr>
            <w:tcW w:w="148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4/10/2023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17,325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17,046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15,991</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Sylmar, CA 91342</w:t>
            </w:r>
          </w:p>
        </w:tc>
        <w:tc>
          <w:tcPr>
            <w:tcW w:w="1500" w:type="dxa"/>
            <w:vAlign w:val="bottom"/>
            <w:gridSpan w:val="2"/>
            <w:vMerge w:val="continue"/>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beverage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Coupon 12.09%</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 - Term Loan</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97"/>
              </w:rPr>
              <w:t>L+9.50% (Floor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4/10/2023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C</w:t>
            </w:r>
            <w:r>
              <w:rPr>
                <w:rFonts w:ascii="Arial" w:cs="Arial" w:eastAsia="Arial" w:hAnsi="Arial"/>
                <w:sz w:val="8"/>
                <w:szCs w:val="8"/>
                <w:color w:val="auto"/>
              </w:rPr>
              <w:t>10</w:t>
            </w: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Coupon 12.09%</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3,000,000 units of</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Class A common</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stock</w:t>
            </w:r>
            <w:r>
              <w:rPr>
                <w:rFonts w:ascii="Arial" w:cs="Arial" w:eastAsia="Arial" w:hAnsi="Arial"/>
                <w:sz w:val="18"/>
                <w:szCs w:val="18"/>
                <w:color w:val="auto"/>
                <w:vertAlign w:val="superscript"/>
              </w:rPr>
              <w:t>9</w:t>
            </w: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18,389</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AMERICAN TELECONFERENCING</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SERVICES, LTD</w:t>
            </w:r>
            <w:r>
              <w:rPr>
                <w:rFonts w:ascii="Arial" w:cs="Arial" w:eastAsia="Arial" w:hAnsi="Arial"/>
                <w:sz w:val="14"/>
                <w:szCs w:val="14"/>
                <w:color w:val="auto"/>
              </w:rPr>
              <w:t>.</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L+6.50%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3280 Peachtree Road NE</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1000</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Telecommunications</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1.00%)/Q,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12/8/2021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5,934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5,844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Atlanta, GA 30305</w:t>
            </w:r>
          </w:p>
        </w:tc>
        <w:tc>
          <w:tcPr>
            <w:tcW w:w="150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Coupon 9.06%</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891"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w:t>
            </w:r>
          </w:p>
        </w:tc>
        <w:tc>
          <w:tcPr>
            <w:tcW w:w="14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Current Interest</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860" w:type="dxa"/>
            <w:vAlign w:val="bottom"/>
            <w:gridSpan w:val="2"/>
            <w:vMerge w:val="continue"/>
          </w:tcPr>
          <w:p>
            <w:pPr>
              <w:spacing w:after="0"/>
              <w:rPr>
                <w:sz w:val="16"/>
                <w:szCs w:val="16"/>
                <w:color w:val="auto"/>
              </w:rPr>
            </w:pPr>
          </w:p>
        </w:tc>
        <w:tc>
          <w:tcPr>
            <w:tcW w:w="1520" w:type="dxa"/>
            <w:vAlign w:val="bottom"/>
            <w:gridSpan w:val="2"/>
          </w:tcPr>
          <w:p>
            <w:pPr>
              <w:ind w:left="280"/>
              <w:spacing w:after="0" w:line="189"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8"/>
                <w:szCs w:val="18"/>
                <w:b w:val="1"/>
                <w:bCs w:val="1"/>
                <w:color w:val="auto"/>
                <w:vertAlign w:val="superscript"/>
              </w:rPr>
              <w:t>2,14</w:t>
            </w:r>
          </w:p>
        </w:tc>
        <w:tc>
          <w:tcPr>
            <w:tcW w:w="1460" w:type="dxa"/>
            <w:vAlign w:val="bottom"/>
            <w:gridSpan w:val="2"/>
            <w:vMerge w:val="continue"/>
          </w:tcPr>
          <w:p>
            <w:pPr>
              <w:spacing w:after="0"/>
              <w:rPr>
                <w:sz w:val="16"/>
                <w:szCs w:val="16"/>
                <w:color w:val="auto"/>
              </w:rPr>
            </w:pPr>
          </w:p>
        </w:tc>
        <w:tc>
          <w:tcPr>
            <w:tcW w:w="1420" w:type="dxa"/>
            <w:vAlign w:val="bottom"/>
            <w:gridSpan w:val="2"/>
          </w:tcPr>
          <w:p>
            <w:pPr>
              <w:jc w:val="center"/>
              <w:ind w:right="140"/>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10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28"/>
        </w:trPr>
        <w:tc>
          <w:tcPr>
            <w:tcW w:w="2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L+9.50% (Floor</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5"/>
              </w:rPr>
              <w:t>1.00%)/Q,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6/6/2022</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Coupon 12.08%</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7,801</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 xml:space="preserve">AMWARE FULFILLMENT LLC </w:t>
            </w:r>
            <w:r>
              <w:rPr>
                <w:rFonts w:ascii="Arial" w:cs="Arial" w:eastAsia="Arial" w:hAnsi="Arial"/>
                <w:sz w:val="14"/>
                <w:szCs w:val="14"/>
                <w:color w:val="auto"/>
              </w:rPr>
              <w:t>4505</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97"/>
              </w:rPr>
              <w:t>L+9.00% (Floor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Newpoint Place,</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Distribution</w:t>
            </w: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6"/>
              </w:rPr>
              <w:t>1.00%)/M,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12/31/2020</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12,571</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12,496</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12,571</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Lawrenceville, GA 33043</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Coupon 11.32%</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ASC ORTHO MANAGEMENT</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COMPANY, LLC</w:t>
            </w:r>
            <w:r>
              <w:rPr>
                <w:rFonts w:ascii="Arial" w:cs="Arial" w:eastAsia="Arial" w:hAnsi="Arial"/>
                <w:sz w:val="15"/>
                <w:szCs w:val="15"/>
                <w:color w:val="auto"/>
                <w:vertAlign w:val="superscript"/>
              </w:rPr>
              <w:t>13</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L+7.50%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10215 Fernwood Rd Ste 506, Bethesda, MD</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Healthcare services</w:t>
            </w:r>
          </w:p>
        </w:tc>
        <w:tc>
          <w:tcPr>
            <w:tcW w:w="1420" w:type="dxa"/>
            <w:vAlign w:val="bottom"/>
            <w:gridSpan w:val="2"/>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8/31/2023</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20817</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7"/>
              </w:rPr>
              <w:t>L+7.50% (Floor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5"/>
              </w:rPr>
              <w:t>1.00%)/Q,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8/31/2023</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9,203</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9,044</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9,044</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Coupon 10.09%</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13.25% PIK</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12/1/2023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3,356</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3,287</w:t>
            </w: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3,287</w:t>
            </w: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2,042 Common Units</w:t>
            </w:r>
            <w:r>
              <w:rPr>
                <w:rFonts w:ascii="Arial" w:cs="Arial" w:eastAsia="Arial" w:hAnsi="Arial"/>
                <w:sz w:val="18"/>
                <w:szCs w:val="18"/>
                <w:color w:val="auto"/>
                <w:vertAlign w:val="superscript"/>
              </w:rPr>
              <w:t>9</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79"/>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13,056</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13,081</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BINSWANGER HOLDING CORP.</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L+8.00% (Floor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965 Ridge Lake Blvd.,</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Suite 305</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Distribution</w:t>
            </w: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6"/>
              </w:rPr>
              <w:t>1.00%)/M,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3/9/2022</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11,853</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11,710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Memphis, TN 38120</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Coupon 10.32%</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900,000 shares of</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86"/>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common stock</w:t>
            </w: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CCEEFF"/>
            </w:tcBorders>
            <w:gridSpan w:val="2"/>
            <w:vMerge w:val="continue"/>
          </w:tcPr>
          <w:p>
            <w:pPr>
              <w:spacing w:after="0"/>
              <w:rPr>
                <w:sz w:val="16"/>
                <w:szCs w:val="16"/>
                <w:color w:val="auto"/>
              </w:rPr>
            </w:pPr>
          </w:p>
        </w:tc>
        <w:tc>
          <w:tcPr>
            <w:tcW w:w="1140" w:type="dxa"/>
            <w:vAlign w:val="bottom"/>
            <w:tcBorders>
              <w:bottom w:val="single" w:sz="8" w:color="CCEEFF"/>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12,307</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BLASCHAK COAL CORP.</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Commodities &amp;</w:t>
            </w: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7"/>
              </w:rPr>
              <w:t>L+10.00%/Q,</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1166 W Centre St</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w:t>
            </w:r>
            <w:r>
              <w:rPr>
                <w:rFonts w:ascii="Arial" w:cs="Arial" w:eastAsia="Arial" w:hAnsi="Arial"/>
                <w:sz w:val="18"/>
                <w:szCs w:val="18"/>
                <w:color w:val="auto"/>
                <w:vertAlign w:val="superscript"/>
              </w:rPr>
              <w:t>15</w:t>
            </w:r>
          </w:p>
        </w:tc>
        <w:tc>
          <w:tcPr>
            <w:tcW w:w="1460" w:type="dxa"/>
            <w:vAlign w:val="bottom"/>
            <w:gridSpan w:val="2"/>
            <w:vMerge w:val="continue"/>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1.00% PIK,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7/30/2023</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8,558</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8,411</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8,498</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Mahanoy City, PA 17948</w:t>
            </w:r>
          </w:p>
        </w:tc>
        <w:tc>
          <w:tcPr>
            <w:tcW w:w="1520" w:type="dxa"/>
            <w:vAlign w:val="bottom"/>
            <w:gridSpan w:val="2"/>
            <w:vMerge w:val="continue"/>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mining</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Coupon 13.60%</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CALIFORNIA PIZZA KITCHEN, INC.</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L+6.00% (Floor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12181 Bluff Creek Drive</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5th Floor</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Restaurants</w:t>
            </w: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6"/>
              </w:rPr>
              <w:t>1.00%)/M,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8/23/2022</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4,863</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4,834</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4,765</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Playa Vista, CA 90094</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Coupon 8.53%</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CAPITAL PAWN HOLDINGS, LLC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Consumer products &amp;</w:t>
            </w: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L+9.50%/Q,</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3771 Tamiami Trl E</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continue"/>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2"/>
              </w:rPr>
              <w:t>Current Coupon</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5"/>
              </w:rPr>
              <w:t>7/8/2020</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11,448</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11,340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11,340</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Naples, FL 34112</w:t>
            </w:r>
          </w:p>
        </w:tc>
        <w:tc>
          <w:tcPr>
            <w:tcW w:w="1520" w:type="dxa"/>
            <w:vAlign w:val="bottom"/>
            <w:gridSpan w:val="2"/>
            <w:vMerge w:val="continue"/>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12.09%</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CLICKBOOTH.COM, LLC</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Media, marketing &amp;</w:t>
            </w: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L+8.50% (Floor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5911 N Honore Ave #114</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continue"/>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12/5/2022</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Sarasota, FL 34243</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L+8.50%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5"/>
              </w:rPr>
              <w:t>1.00%)/Q,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12/5/2022</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15,752</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15,515</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16,067</w:t>
            </w:r>
          </w:p>
        </w:tc>
        <w:tc>
          <w:tcPr>
            <w:tcW w:w="0" w:type="dxa"/>
            <w:vAlign w:val="bottom"/>
          </w:tcPr>
          <w:p>
            <w:pPr>
              <w:spacing w:after="0"/>
              <w:rPr>
                <w:sz w:val="1"/>
                <w:szCs w:val="1"/>
                <w:color w:val="auto"/>
              </w:rPr>
            </w:pPr>
          </w:p>
        </w:tc>
      </w:tr>
      <w:tr>
        <w:trPr>
          <w:trHeight w:val="186"/>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vMerge w:val="continue"/>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w w:val="91"/>
              </w:rPr>
              <w:t>Coupon 11.10%</w:t>
            </w:r>
          </w:p>
        </w:tc>
        <w:tc>
          <w:tcPr>
            <w:tcW w:w="9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16,067</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DANFORTH ADVISORS, LLC</w:t>
            </w:r>
            <w:r>
              <w:rPr>
                <w:rFonts w:ascii="Arial" w:cs="Arial" w:eastAsia="Arial" w:hAnsi="Arial"/>
                <w:sz w:val="15"/>
                <w:szCs w:val="15"/>
                <w:color w:val="auto"/>
                <w:vertAlign w:val="superscript"/>
              </w:rPr>
              <w:t>13</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L+7.25%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278 Elm St Ste 228</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420" w:type="dxa"/>
            <w:vAlign w:val="bottom"/>
            <w:gridSpan w:val="2"/>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9/28/2023</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Somerville, MA 02144</w:t>
            </w: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2.00%)</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7"/>
              </w:rPr>
              <w:t>L+7.25% (Floor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5"/>
              </w:rPr>
              <w:t>2.00%)/Q, Current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9/28/2023</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7,122</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7,250</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Coupon 9.84%</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875 Class A equity</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CCEEFF"/>
            </w:tcBorders>
            <w:gridSpan w:val="2"/>
            <w:vMerge w:val="continue"/>
          </w:tcPr>
          <w:p>
            <w:pPr>
              <w:spacing w:after="0"/>
              <w:rPr>
                <w:sz w:val="16"/>
                <w:szCs w:val="16"/>
                <w:color w:val="auto"/>
              </w:rPr>
            </w:pPr>
          </w:p>
        </w:tc>
        <w:tc>
          <w:tcPr>
            <w:tcW w:w="1140" w:type="dxa"/>
            <w:vAlign w:val="bottom"/>
            <w:tcBorders>
              <w:bottom w:val="single" w:sz="8" w:color="CCEEFF"/>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7,980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8,308</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DELPHI INTERMEDIATE HEALTHCO,</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L+7.50% (Floor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LLC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1901 W Cypress Creek Rd.</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3"/>
              </w:rPr>
              <w:t>1.00%)/Q, 0.50%</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Ste #600</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Healthcare services</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PIK, Current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10/3/2022</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10,592</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10,514</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10,105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Fort Lauderdale, FL 33309</w:t>
            </w:r>
          </w:p>
        </w:tc>
        <w:tc>
          <w:tcPr>
            <w:tcW w:w="152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Coupon 10.69%</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80" w:top="1221"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w:t>
            </w: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Current Interest</w:t>
            </w:r>
          </w:p>
        </w:tc>
        <w:tc>
          <w:tcPr>
            <w:tcW w:w="9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4"/>
                <w:szCs w:val="14"/>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ind w:left="280"/>
              <w:spacing w:after="0" w:line="189"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8"/>
                <w:szCs w:val="18"/>
                <w:b w:val="1"/>
                <w:bCs w:val="1"/>
                <w:color w:val="auto"/>
                <w:vertAlign w:val="superscript"/>
              </w:rPr>
              <w:t>2,14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28"/>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DIGITAL RIVER, INC.</w:t>
            </w: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Software &amp; IT</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L+6.00% (Floor</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8000 Haskell Avenue</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continue"/>
            <w:shd w:val="clear" w:color="auto" w:fill="CCEEFF"/>
          </w:tcPr>
          <w:p>
            <w:pPr>
              <w:spacing w:after="0"/>
              <w:rPr>
                <w:sz w:val="11"/>
                <w:szCs w:val="11"/>
                <w:color w:val="auto"/>
              </w:rPr>
            </w:pP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5"/>
              </w:rPr>
              <w:t>1.00%)/Q, Current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2/12/2021</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6,273</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6,265</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6,273</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Van Nuys, CA 91406</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4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Coupon 8.43%</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DRIVEN, INC.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L+8.00% (Floor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6400 Arlington Blvd.</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700</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2.00%)/Q, Current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3"/>
              </w:rPr>
              <w:t>6/28/2024</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12,000</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11,760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11,760</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Falls Church, VA 22042</w:t>
            </w: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10.31%</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DUNN PAPER, INC.</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Paper &amp; forest</w:t>
            </w:r>
          </w:p>
        </w:tc>
        <w:tc>
          <w:tcPr>
            <w:tcW w:w="1400" w:type="dxa"/>
            <w:vAlign w:val="bottom"/>
            <w:gridSpan w:val="2"/>
            <w:shd w:val="clear" w:color="auto" w:fill="CCEEFF"/>
          </w:tcPr>
          <w:p>
            <w:pPr>
              <w:jc w:val="center"/>
              <w:ind w:right="140"/>
              <w:spacing w:after="0" w:line="139" w:lineRule="exact"/>
              <w:rPr>
                <w:sz w:val="20"/>
                <w:szCs w:val="20"/>
                <w:color w:val="auto"/>
              </w:rPr>
            </w:pPr>
            <w:r>
              <w:rPr>
                <w:rFonts w:ascii="Arial" w:cs="Arial" w:eastAsia="Arial" w:hAnsi="Arial"/>
                <w:sz w:val="14"/>
                <w:szCs w:val="14"/>
                <w:color w:val="auto"/>
                <w:w w:val="97"/>
              </w:rPr>
              <w:t>L+8.75% (Floor</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218 Riverview St.</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460" w:type="dxa"/>
            <w:vAlign w:val="bottom"/>
            <w:gridSpan w:val="2"/>
            <w:vMerge w:val="continue"/>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6"/>
              </w:rPr>
              <w:t>1.00%)/M, Current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8/25/2023</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2,959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Port Huron, MI 48060</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products</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11.15%</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TINUITI INC.</w:t>
            </w:r>
            <w:r>
              <w:rPr>
                <w:rFonts w:ascii="Arial" w:cs="Arial" w:eastAsia="Arial" w:hAnsi="Arial"/>
                <w:sz w:val="15"/>
                <w:szCs w:val="15"/>
                <w:color w:val="auto"/>
                <w:vertAlign w:val="superscript"/>
              </w:rPr>
              <w:t>8</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L+8.35% (Floor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142 W 36th Street</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Media, marketing &amp;</w:t>
            </w:r>
          </w:p>
        </w:tc>
        <w:tc>
          <w:tcPr>
            <w:tcW w:w="14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Floor 11</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continue"/>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1.00%)/M, Current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5"/>
              </w:rPr>
              <w:t>2/1/2022</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14,000</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13,740</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New York, NY 10018</w:t>
            </w:r>
          </w:p>
        </w:tc>
        <w:tc>
          <w:tcPr>
            <w:tcW w:w="1520" w:type="dxa"/>
            <w:vAlign w:val="bottom"/>
            <w:gridSpan w:val="2"/>
            <w:vMerge w:val="continue"/>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10.67%</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1,443 Investment Units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12.00% PIK</w:t>
            </w:r>
          </w:p>
        </w:tc>
        <w:tc>
          <w:tcPr>
            <w:tcW w:w="10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4,635</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15,869</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18,635</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ENVIRONMENTAL PEST SERVICE</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MANAGEMENT COMPANY, LLC</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6"/>
              </w:rPr>
              <w:t>L+7.00%/Q,</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5670 W. Cypress St.</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Suite B</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Consumer services</w:t>
            </w:r>
          </w:p>
        </w:tc>
        <w:tc>
          <w:tcPr>
            <w:tcW w:w="14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4"/>
              </w:rPr>
              <w:t>Current Coupon</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6/22/2023</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16,128</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15,892</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16,128</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Tampa, FL 33607</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9.60%</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Delayed Draw Term</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L+7.00%/Q,</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Current Coupon</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3"/>
              </w:rPr>
              <w:t>6/22/2023</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6,445</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6,340</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6,445</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10</w:t>
            </w: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9.60%</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22,232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22,573</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FAST SANDWICH, LLC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6400 Shafer Court</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L+9.00% (Floor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250</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Restaurants</w:t>
            </w:r>
          </w:p>
        </w:tc>
        <w:tc>
          <w:tcPr>
            <w:tcW w:w="1400" w:type="dxa"/>
            <w:vAlign w:val="bottom"/>
            <w:gridSpan w:val="2"/>
            <w:vMerge w:val="continue"/>
          </w:tcPr>
          <w:p>
            <w:pPr>
              <w:spacing w:after="0"/>
              <w:rPr>
                <w:sz w:val="11"/>
                <w:szCs w:val="11"/>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Rosemont, IL 60018</w:t>
            </w: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7"/>
              </w:rPr>
              <w:t>L+9.00% (Floor</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5"/>
              </w:rPr>
              <w:t>1.00%)/Q, Current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5/23/2023</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3,173</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11.59%</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IENERGIZER LIMITED</w:t>
            </w:r>
            <w:r>
              <w:rPr>
                <w:rFonts w:ascii="Arial" w:cs="Arial" w:eastAsia="Arial" w:hAnsi="Arial"/>
                <w:sz w:val="16"/>
                <w:szCs w:val="16"/>
                <w:b w:val="1"/>
                <w:bCs w:val="1"/>
                <w:color w:val="auto"/>
                <w:vertAlign w:val="superscript"/>
              </w:rPr>
              <w:t>9</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Mont Crevelt House</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7"/>
              </w:rPr>
              <w:t>L+6.00% (Floor</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Bulwer Avenue</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St Sampson</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14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6"/>
              </w:rPr>
              <w:t>1.00%)/M, Current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4/17/2024</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14,111</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14,111</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Guernsey GY2 4LH</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Coupon 8.40%</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JVMC HOLDINGS CORP.</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L+6.50% (Floor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222 S. Riverside Plaza</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1200</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Financial services</w:t>
            </w: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1.00%)/M, Current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3"/>
              </w:rPr>
              <w:t>2/28/2024</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8,755</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8,672</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8,755</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Chicago, IL 60606</w:t>
            </w: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Coupon 8.90%</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Delayed Draw Term</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40"/>
              <w:spacing w:after="0" w:line="139" w:lineRule="exact"/>
              <w:rPr>
                <w:sz w:val="20"/>
                <w:szCs w:val="20"/>
                <w:color w:val="auto"/>
              </w:rPr>
            </w:pPr>
            <w:r>
              <w:rPr>
                <w:rFonts w:ascii="Arial" w:cs="Arial" w:eastAsia="Arial" w:hAnsi="Arial"/>
                <w:sz w:val="14"/>
                <w:szCs w:val="14"/>
                <w:color w:val="auto"/>
                <w:w w:val="97"/>
              </w:rPr>
              <w:t>L+6.50% (Floor</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2/28/2024</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10</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8,755</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LGM PHARMA, LLC</w:t>
            </w:r>
            <w:r>
              <w:rPr>
                <w:rFonts w:ascii="Arial" w:cs="Arial" w:eastAsia="Arial" w:hAnsi="Arial"/>
                <w:sz w:val="16"/>
                <w:szCs w:val="16"/>
                <w:color w:val="auto"/>
                <w:vertAlign w:val="superscript"/>
              </w:rPr>
              <w:t>13</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40"/>
              <w:spacing w:after="0" w:line="139" w:lineRule="exact"/>
              <w:rPr>
                <w:sz w:val="20"/>
                <w:szCs w:val="20"/>
                <w:color w:val="auto"/>
              </w:rPr>
            </w:pPr>
            <w:r>
              <w:rPr>
                <w:rFonts w:ascii="Arial" w:cs="Arial" w:eastAsia="Arial" w:hAnsi="Arial"/>
                <w:sz w:val="14"/>
                <w:szCs w:val="14"/>
                <w:color w:val="auto"/>
                <w:w w:val="97"/>
              </w:rPr>
              <w:t>L+8.50% (Floor</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2758 Circleport Dr.</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products</w:t>
            </w:r>
          </w:p>
        </w:tc>
        <w:tc>
          <w:tcPr>
            <w:tcW w:w="14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6"/>
              </w:rPr>
              <w:t>1.00%)/M, Current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11/15/2022</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11,630</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11,456</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Erlanger, KY 41018</w:t>
            </w:r>
          </w:p>
        </w:tc>
        <w:tc>
          <w:tcPr>
            <w:tcW w:w="152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10.94%</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110,000 units of Class</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9"/>
              </w:rPr>
              <w:t>—</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A common stock</w:t>
            </w:r>
            <w:r>
              <w:rPr>
                <w:rFonts w:ascii="Arial" w:cs="Arial" w:eastAsia="Arial" w:hAnsi="Arial"/>
                <w:sz w:val="18"/>
                <w:szCs w:val="18"/>
                <w:color w:val="auto"/>
                <w:vertAlign w:val="superscript"/>
              </w:rPr>
              <w:t>9</w:t>
            </w: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vMerge w:val="continue"/>
          </w:tcPr>
          <w:p>
            <w:pPr>
              <w:spacing w:after="0"/>
              <w:rPr>
                <w:sz w:val="16"/>
                <w:szCs w:val="16"/>
                <w:color w:val="auto"/>
              </w:rPr>
            </w:pPr>
          </w:p>
        </w:tc>
        <w:tc>
          <w:tcPr>
            <w:tcW w:w="1080" w:type="dxa"/>
            <w:vAlign w:val="bottom"/>
            <w:tcBorders>
              <w:bottom w:val="single" w:sz="8" w:color="CCEEFF"/>
            </w:tcBorders>
            <w:gridSpan w:val="2"/>
            <w:vMerge w:val="continue"/>
          </w:tcPr>
          <w:p>
            <w:pPr>
              <w:spacing w:after="0"/>
              <w:rPr>
                <w:sz w:val="16"/>
                <w:szCs w:val="16"/>
                <w:color w:val="auto"/>
              </w:rPr>
            </w:pPr>
          </w:p>
        </w:tc>
        <w:tc>
          <w:tcPr>
            <w:tcW w:w="1140" w:type="dxa"/>
            <w:vAlign w:val="bottom"/>
            <w:tcBorders>
              <w:bottom w:val="single" w:sz="8" w:color="CCEEFF"/>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12,556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12,277</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LIGHTING RETROFIT</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INTERNATIONAL, LLC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L+10.25% (Floor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750 MD Route 3 South</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Environmental</w:t>
            </w:r>
          </w:p>
        </w:tc>
        <w:tc>
          <w:tcPr>
            <w:tcW w:w="14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19</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1.00%)/Q, Current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3"/>
              </w:rPr>
              <w:t>6/30/2022</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13,271</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13,174</w:t>
            </w:r>
          </w:p>
        </w:tc>
        <w:tc>
          <w:tcPr>
            <w:tcW w:w="10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12,262</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Gambills, MD 21054</w:t>
            </w:r>
          </w:p>
        </w:tc>
        <w:tc>
          <w:tcPr>
            <w:tcW w:w="1520" w:type="dxa"/>
            <w:vAlign w:val="bottom"/>
            <w:gridSpan w:val="2"/>
            <w:vMerge w:val="continue"/>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12.58%</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25,603 shares of Series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 preferred stock</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80" w:top="1221"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Type of</w:t>
            </w:r>
          </w:p>
        </w:tc>
        <w:tc>
          <w:tcPr>
            <w:tcW w:w="14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Current Interest</w:t>
            </w: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860" w:type="dxa"/>
            <w:vAlign w:val="bottom"/>
            <w:gridSpan w:val="2"/>
            <w:vMerge w:val="continue"/>
          </w:tcPr>
          <w:p>
            <w:pPr>
              <w:spacing w:after="0"/>
              <w:rPr>
                <w:sz w:val="16"/>
                <w:szCs w:val="16"/>
                <w:color w:val="auto"/>
              </w:rPr>
            </w:pPr>
          </w:p>
        </w:tc>
        <w:tc>
          <w:tcPr>
            <w:tcW w:w="1500" w:type="dxa"/>
            <w:vAlign w:val="bottom"/>
            <w:gridSpan w:val="2"/>
          </w:tcPr>
          <w:p>
            <w:pPr>
              <w:ind w:left="260"/>
              <w:spacing w:after="0" w:line="189"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8"/>
                <w:szCs w:val="18"/>
                <w:b w:val="1"/>
                <w:bCs w:val="1"/>
                <w:color w:val="auto"/>
                <w:vertAlign w:val="superscript"/>
              </w:rPr>
              <w:t>2,14</w:t>
            </w: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128"/>
        </w:trPr>
        <w:tc>
          <w:tcPr>
            <w:tcW w:w="2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396,825 shares of</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Series B preferred</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stock</w:t>
            </w: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vMerge w:val="continue"/>
          </w:tcPr>
          <w:p>
            <w:pPr>
              <w:spacing w:after="0"/>
              <w:rPr>
                <w:sz w:val="16"/>
                <w:szCs w:val="16"/>
                <w:color w:val="auto"/>
              </w:rPr>
            </w:pPr>
          </w:p>
        </w:tc>
        <w:tc>
          <w:tcPr>
            <w:tcW w:w="10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12,597</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RESEARCH NOW GROUP, INC.</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L+9.50% (Floor</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5800 Tennyson Parkway</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600</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Second Lien</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Business services</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1.00%)/M, Current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12/20/2025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9,853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10,343</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Plano, TX 75024</w:t>
            </w:r>
          </w:p>
        </w:tc>
        <w:tc>
          <w:tcPr>
            <w:tcW w:w="15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Coupon 12.08%</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SCRIP INC</w:t>
            </w:r>
            <w:r>
              <w:rPr>
                <w:rFonts w:ascii="Arial" w:cs="Arial" w:eastAsia="Arial" w:hAnsi="Arial"/>
                <w:sz w:val="13"/>
                <w:szCs w:val="13"/>
                <w:color w:val="auto"/>
              </w:rPr>
              <w:t>.</w:t>
            </w:r>
            <w:r>
              <w:rPr>
                <w:rFonts w:ascii="Arial" w:cs="Arial" w:eastAsia="Arial" w:hAnsi="Arial"/>
                <w:sz w:val="16"/>
                <w:szCs w:val="16"/>
                <w:color w:val="auto"/>
                <w:vertAlign w:val="superscript"/>
              </w:rPr>
              <w:t>8</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L+9.99% (Floor</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360 Veterans Parkway, Suite 115 Bolingbrook,</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Healthcare products</w:t>
            </w: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2.00%)/M,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16,750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16,269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16,415</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IL 60440</w:t>
            </w:r>
          </w:p>
        </w:tc>
        <w:tc>
          <w:tcPr>
            <w:tcW w:w="150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12.38%</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100 shares of common</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stock</w:t>
            </w: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vMerge w:val="continue"/>
          </w:tcPr>
          <w:p>
            <w:pPr>
              <w:spacing w:after="0"/>
              <w:rPr>
                <w:sz w:val="16"/>
                <w:szCs w:val="16"/>
                <w:color w:val="auto"/>
              </w:rPr>
            </w:pPr>
          </w:p>
        </w:tc>
        <w:tc>
          <w:tcPr>
            <w:tcW w:w="10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17,415</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TAX ADVISORS GROUP, LLC</w:t>
            </w:r>
            <w:r>
              <w:rPr>
                <w:rFonts w:ascii="Arial" w:cs="Arial" w:eastAsia="Arial" w:hAnsi="Arial"/>
                <w:sz w:val="15"/>
                <w:szCs w:val="15"/>
                <w:color w:val="auto"/>
                <w:vertAlign w:val="superscript"/>
              </w:rPr>
              <w:t>13</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12400 Coit Road</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1270</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143.3 Class A units</w:t>
            </w:r>
            <w:r>
              <w:rPr>
                <w:rFonts w:ascii="Arial" w:cs="Arial" w:eastAsia="Arial" w:hAnsi="Arial"/>
                <w:sz w:val="18"/>
                <w:szCs w:val="18"/>
                <w:color w:val="auto"/>
                <w:vertAlign w:val="superscript"/>
              </w:rPr>
              <w:t>9</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services</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Dallas, TX 75251</w:t>
            </w:r>
          </w:p>
        </w:tc>
        <w:tc>
          <w:tcPr>
            <w:tcW w:w="15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VISTAR MEDIA INC.</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Media, marketing &amp;</w:t>
            </w: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6"/>
              </w:rPr>
              <w:t>L+10.00% (Floor</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1420 Walnut Street</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1460" w:type="dxa"/>
            <w:vAlign w:val="bottom"/>
            <w:gridSpan w:val="2"/>
            <w:vMerge w:val="continue"/>
            <w:shd w:val="clear" w:color="auto" w:fill="CCEEFF"/>
          </w:tcPr>
          <w:p>
            <w:pPr>
              <w:spacing w:after="0"/>
              <w:rPr>
                <w:sz w:val="11"/>
                <w:szCs w:val="11"/>
                <w:color w:val="auto"/>
              </w:rPr>
            </w:pP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1.00%)/M,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4/3/2023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14,090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12,915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14,090</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Philadelphia, PA 19102</w:t>
            </w:r>
          </w:p>
        </w:tc>
        <w:tc>
          <w:tcPr>
            <w:tcW w:w="1500" w:type="dxa"/>
            <w:vAlign w:val="bottom"/>
            <w:gridSpan w:val="2"/>
            <w:vMerge w:val="continue"/>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12.32%</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171,617 shares of</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Series A preferred</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stock</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Warrants (Expiration -</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April 3, 2029)</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15,409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17,662</w:t>
            </w:r>
          </w:p>
        </w:tc>
        <w:tc>
          <w:tcPr>
            <w:tcW w:w="0" w:type="dxa"/>
            <w:vAlign w:val="bottom"/>
          </w:tcPr>
          <w:p>
            <w:pPr>
              <w:spacing w:after="0"/>
              <w:rPr>
                <w:sz w:val="1"/>
                <w:szCs w:val="1"/>
                <w:color w:val="auto"/>
              </w:rPr>
            </w:pPr>
          </w:p>
        </w:tc>
      </w:tr>
      <w:tr>
        <w:trPr>
          <w:trHeight w:val="273"/>
        </w:trPr>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w w:val="98"/>
              </w:rPr>
              <w:t>Total Non-control/Non-affiliate Investments</w:t>
            </w: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334,669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331,045</w:t>
            </w:r>
          </w:p>
        </w:tc>
        <w:tc>
          <w:tcPr>
            <w:tcW w:w="0" w:type="dxa"/>
            <w:vAlign w:val="bottom"/>
          </w:tcPr>
          <w:p>
            <w:pPr>
              <w:spacing w:after="0"/>
              <w:rPr>
                <w:sz w:val="1"/>
                <w:szCs w:val="1"/>
                <w:color w:val="auto"/>
              </w:rPr>
            </w:pPr>
          </w:p>
        </w:tc>
      </w:tr>
      <w:tr>
        <w:trPr>
          <w:trHeight w:val="172"/>
        </w:trPr>
        <w:tc>
          <w:tcPr>
            <w:tcW w:w="28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b w:val="1"/>
                <w:bCs w:val="1"/>
                <w:color w:val="auto"/>
              </w:rPr>
              <w:t>Affiliate Investments</w:t>
            </w:r>
            <w:r>
              <w:rPr>
                <w:rFonts w:ascii="Arial" w:cs="Arial" w:eastAsia="Arial" w:hAnsi="Arial"/>
                <w:sz w:val="18"/>
                <w:szCs w:val="18"/>
                <w:b w:val="1"/>
                <w:bCs w:val="1"/>
                <w:color w:val="auto"/>
                <w:vertAlign w:val="superscript"/>
              </w:rPr>
              <w:t>6</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CHANDLER SIGNS, LLC</w:t>
            </w:r>
            <w:r>
              <w:rPr>
                <w:rFonts w:ascii="Arial" w:cs="Arial" w:eastAsia="Arial" w:hAnsi="Arial"/>
                <w:sz w:val="15"/>
                <w:szCs w:val="15"/>
                <w:color w:val="auto"/>
                <w:vertAlign w:val="superscript"/>
              </w:rPr>
              <w:t>13</w:t>
            </w: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Senior subordinated</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3"/>
              </w:rPr>
              <w:t>12.00% / 1.00%</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3201 Manor Way</w:t>
            </w:r>
          </w:p>
        </w:tc>
        <w:tc>
          <w:tcPr>
            <w:tcW w:w="1500" w:type="dxa"/>
            <w:vAlign w:val="bottom"/>
            <w:gridSpan w:val="2"/>
            <w:vMerge w:val="continue"/>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Business services</w:t>
            </w: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7/4/2021</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4,528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4,528</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Dallas, TX 75235</w:t>
            </w:r>
          </w:p>
        </w:tc>
        <w:tc>
          <w:tcPr>
            <w:tcW w:w="1500" w:type="dxa"/>
            <w:vAlign w:val="bottom"/>
            <w:gridSpan w:val="2"/>
          </w:tcPr>
          <w:p>
            <w:pPr>
              <w:spacing w:after="0"/>
              <w:rPr>
                <w:sz w:val="20"/>
                <w:szCs w:val="20"/>
                <w:color w:val="auto"/>
              </w:rPr>
            </w:pPr>
            <w:r>
              <w:rPr>
                <w:rFonts w:ascii="Arial" w:cs="Arial" w:eastAsia="Arial" w:hAnsi="Arial"/>
                <w:sz w:val="14"/>
                <w:szCs w:val="14"/>
                <w:color w:val="auto"/>
              </w:rPr>
              <w:t>debt</w:t>
            </w: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PIK</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1,500,000 units of</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Class A-1 common</w:t>
            </w: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stock</w:t>
            </w:r>
            <w:r>
              <w:rPr>
                <w:rFonts w:ascii="Arial" w:cs="Arial" w:eastAsia="Arial" w:hAnsi="Arial"/>
                <w:sz w:val="18"/>
                <w:szCs w:val="18"/>
                <w:color w:val="auto"/>
                <w:vertAlign w:val="superscript"/>
              </w:rPr>
              <w:t>9</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6,664</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DYNAMIC COMMUNITIES, LLC</w:t>
            </w:r>
            <w:r>
              <w:rPr>
                <w:rFonts w:ascii="Arial" w:cs="Arial" w:eastAsia="Arial" w:hAnsi="Arial"/>
                <w:sz w:val="16"/>
                <w:szCs w:val="16"/>
                <w:color w:val="auto"/>
                <w:vertAlign w:val="superscript"/>
              </w:rPr>
              <w:t>13</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7"/>
              </w:rPr>
              <w:t>L+7.50% (Floor</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5415 W Sligh Ave Ste 102,</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400" w:type="dxa"/>
            <w:vAlign w:val="bottom"/>
            <w:gridSpan w:val="2"/>
            <w:vMerge w:val="continue"/>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Tampa, FL 33634</w:t>
            </w:r>
          </w:p>
        </w:tc>
        <w:tc>
          <w:tcPr>
            <w:tcW w:w="150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L+7.50% (Floor</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1.00%)/M, Current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7/17/2023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10,990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10,804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10,902</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Coupon 9.90%</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2,000,000 Preferred</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13,751</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ITA HOLDINGS GROUP, LLC</w:t>
            </w:r>
            <w:r>
              <w:rPr>
                <w:rFonts w:ascii="Arial" w:cs="Arial" w:eastAsia="Arial" w:hAnsi="Arial"/>
                <w:sz w:val="16"/>
                <w:szCs w:val="16"/>
                <w:color w:val="auto"/>
                <w:vertAlign w:val="superscript"/>
              </w:rPr>
              <w:t>13</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L+9.00% (Floor</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4105 Tradewind St.</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Transportation &amp;</w:t>
            </w: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3"/>
              </w:rPr>
              <w:t>1.00%)/Q, 1.00%</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Hangar #4</w:t>
            </w:r>
          </w:p>
        </w:tc>
        <w:tc>
          <w:tcPr>
            <w:tcW w:w="1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60" w:type="dxa"/>
            <w:vAlign w:val="bottom"/>
            <w:gridSpan w:val="2"/>
            <w:vMerge w:val="continue"/>
            <w:shd w:val="clear" w:color="auto" w:fill="CCEEFF"/>
          </w:tcPr>
          <w:p>
            <w:pPr>
              <w:spacing w:after="0"/>
              <w:rPr>
                <w:sz w:val="11"/>
                <w:szCs w:val="11"/>
                <w:color w:val="auto"/>
              </w:rPr>
            </w:pP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PIK,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2,662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2,705</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Amarillo, TX 79118</w:t>
            </w:r>
          </w:p>
        </w:tc>
        <w:tc>
          <w:tcPr>
            <w:tcW w:w="1500" w:type="dxa"/>
            <w:vAlign w:val="bottom"/>
            <w:gridSpan w:val="2"/>
            <w:vMerge w:val="continue"/>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logistics</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12.18%</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L+8.00% (Floor</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1.00%)/Q, 1.00%</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First Lien - Term Loan</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PIK, Current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2/14/2023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7,659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Coupon 11.60%</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80" w:top="1221"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w:t>
            </w:r>
          </w:p>
        </w:tc>
        <w:tc>
          <w:tcPr>
            <w:tcW w:w="14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Current Interest</w:t>
            </w: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130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Principal</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860" w:type="dxa"/>
            <w:vAlign w:val="bottom"/>
            <w:gridSpan w:val="2"/>
            <w:vMerge w:val="continue"/>
          </w:tcPr>
          <w:p>
            <w:pPr>
              <w:spacing w:after="0"/>
              <w:rPr>
                <w:sz w:val="16"/>
                <w:szCs w:val="16"/>
                <w:color w:val="auto"/>
              </w:rPr>
            </w:pPr>
          </w:p>
        </w:tc>
        <w:tc>
          <w:tcPr>
            <w:tcW w:w="1520" w:type="dxa"/>
            <w:vAlign w:val="bottom"/>
            <w:gridSpan w:val="2"/>
          </w:tcPr>
          <w:p>
            <w:pPr>
              <w:ind w:left="280"/>
              <w:spacing w:after="0" w:line="189"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8"/>
                <w:szCs w:val="18"/>
                <w:b w:val="1"/>
                <w:bCs w:val="1"/>
                <w:color w:val="auto"/>
                <w:vertAlign w:val="superscript"/>
              </w:rPr>
              <w:t>2,14</w:t>
            </w:r>
          </w:p>
        </w:tc>
        <w:tc>
          <w:tcPr>
            <w:tcW w:w="144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128"/>
        </w:trPr>
        <w:tc>
          <w:tcPr>
            <w:tcW w:w="2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L+11.00% (Floor</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B</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3"/>
              </w:rPr>
              <w:t>1.00%)/Q, 1.00%</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PIK,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3,766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14.60%</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First Lien - PIK Note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10.00% PIK</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2/14/2023</w:t>
            </w:r>
          </w:p>
        </w:tc>
        <w:tc>
          <w:tcPr>
            <w:tcW w:w="10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A</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First Lien - PIK Note B</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10.00% PIK</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Warrants (Expiration -</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March 29, 2029)</w:t>
            </w:r>
            <w:r>
              <w:rPr>
                <w:rFonts w:ascii="Arial" w:cs="Arial" w:eastAsia="Arial" w:hAnsi="Arial"/>
                <w:sz w:val="18"/>
                <w:szCs w:val="18"/>
                <w:color w:val="auto"/>
                <w:vertAlign w:val="superscript"/>
              </w:rPr>
              <w:t>9</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9.25% Class A</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Membership Interest</w:t>
            </w:r>
            <w:r>
              <w:rPr>
                <w:rFonts w:ascii="Arial" w:cs="Arial" w:eastAsia="Arial" w:hAnsi="Arial"/>
                <w:sz w:val="18"/>
                <w:szCs w:val="18"/>
                <w:color w:val="auto"/>
                <w:vertAlign w:val="superscript"/>
              </w:rPr>
              <w:t>9</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17,804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19,916</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ROSELAND MANAGEMENT, LLC</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services</w:t>
            </w:r>
          </w:p>
        </w:tc>
        <w:tc>
          <w:tcPr>
            <w:tcW w:w="14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L+7.00% (Floor</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11/9/2023</w:t>
            </w: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2737 S Broadway Ave Tyler, TX 75701</w:t>
            </w:r>
          </w:p>
        </w:tc>
        <w:tc>
          <w:tcPr>
            <w:tcW w:w="152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2.00%)</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L+7.00% (Floor</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2.00%)/Q, Current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11/9/2023</w:t>
            </w:r>
          </w:p>
        </w:tc>
        <w:tc>
          <w:tcPr>
            <w:tcW w:w="10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10,448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10,283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10,448</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Coupon 9.59%</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 Class A Units</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11,252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11,935</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SIMR, LLC</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L+9.00% (Floor</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5360 Legacy Dr Ste 120,</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services</w:t>
            </w: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2.00%)/M,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9/7/2023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11,353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11,154</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Plano, TX 75024</w:t>
            </w:r>
          </w:p>
        </w:tc>
        <w:tc>
          <w:tcPr>
            <w:tcW w:w="152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11.50%</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5,724,000 Class B</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5,397</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Common Units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16,878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16,551</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ZENFOLIO INC.</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L+9.00% (Floor</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3515A Edison Way</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400" w:type="dxa"/>
            <w:vAlign w:val="bottom"/>
            <w:gridSpan w:val="2"/>
            <w:vMerge w:val="continue"/>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7/17/2022</w:t>
            </w:r>
          </w:p>
        </w:tc>
        <w:tc>
          <w:tcPr>
            <w:tcW w:w="100" w:type="dxa"/>
            <w:vAlign w:val="bottom"/>
          </w:tcPr>
          <w:p>
            <w:pPr>
              <w:spacing w:after="0"/>
              <w:rPr>
                <w:sz w:val="11"/>
                <w:szCs w:val="11"/>
                <w:color w:val="auto"/>
              </w:rPr>
            </w:pPr>
          </w:p>
        </w:tc>
        <w:tc>
          <w:tcPr>
            <w:tcW w:w="130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Menlo Park, CA 94025</w:t>
            </w:r>
          </w:p>
        </w:tc>
        <w:tc>
          <w:tcPr>
            <w:tcW w:w="15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7"/>
              </w:rPr>
              <w:t>L+9.00% (Floor</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5"/>
              </w:rPr>
              <w:t>1.00%)/Q, Current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7/17/2022</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14,406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14,262</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Coupon 11.60%</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190 shares of common</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16,028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14,808</w:t>
            </w:r>
          </w:p>
        </w:tc>
        <w:tc>
          <w:tcPr>
            <w:tcW w:w="0" w:type="dxa"/>
            <w:vAlign w:val="bottom"/>
          </w:tcPr>
          <w:p>
            <w:pPr>
              <w:spacing w:after="0"/>
              <w:rPr>
                <w:sz w:val="1"/>
                <w:szCs w:val="1"/>
                <w:color w:val="auto"/>
              </w:rPr>
            </w:pPr>
          </w:p>
        </w:tc>
      </w:tr>
      <w:tr>
        <w:trPr>
          <w:trHeight w:val="54"/>
        </w:trPr>
        <w:tc>
          <w:tcPr>
            <w:tcW w:w="2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Affiliate Investments</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80,790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83,625</w:t>
            </w:r>
          </w:p>
        </w:tc>
        <w:tc>
          <w:tcPr>
            <w:tcW w:w="0" w:type="dxa"/>
            <w:vAlign w:val="bottom"/>
          </w:tcPr>
          <w:p>
            <w:pPr>
              <w:spacing w:after="0"/>
              <w:rPr>
                <w:sz w:val="1"/>
                <w:szCs w:val="1"/>
                <w:color w:val="auto"/>
              </w:rPr>
            </w:pPr>
          </w:p>
        </w:tc>
      </w:tr>
      <w:tr>
        <w:trPr>
          <w:trHeight w:val="253"/>
        </w:trPr>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Control Investments</w:t>
            </w:r>
            <w:r>
              <w:rPr>
                <w:rFonts w:ascii="Arial" w:cs="Arial" w:eastAsia="Arial" w:hAnsi="Arial"/>
                <w:sz w:val="18"/>
                <w:szCs w:val="18"/>
                <w:b w:val="1"/>
                <w:bCs w:val="1"/>
                <w:color w:val="auto"/>
                <w:vertAlign w:val="superscript"/>
              </w:rPr>
              <w:t>7</w:t>
            </w: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I-45 SLF LLC</w:t>
            </w:r>
            <w:r>
              <w:rPr>
                <w:rFonts w:ascii="Arial" w:cs="Arial" w:eastAsia="Arial" w:hAnsi="Arial"/>
                <w:sz w:val="15"/>
                <w:szCs w:val="15"/>
                <w:color w:val="auto"/>
                <w:vertAlign w:val="superscript"/>
              </w:rPr>
              <w:t>9,11</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5400 LBJ Freeway</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80% LLC equity</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Suite 1300</w:t>
            </w:r>
          </w:p>
        </w:tc>
        <w:tc>
          <w:tcPr>
            <w:tcW w:w="1520" w:type="dxa"/>
            <w:vAlign w:val="bottom"/>
            <w:gridSpan w:val="2"/>
            <w:vMerge w:val="continue"/>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Multi-sector holdings</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68,000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64,813</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Dallas, TX 75240</w:t>
            </w: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interest</w:t>
            </w:r>
          </w:p>
        </w:tc>
        <w:tc>
          <w:tcPr>
            <w:tcW w:w="14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MEDIA RECOVERY, INC</w:t>
            </w:r>
            <w:r>
              <w:rPr>
                <w:rFonts w:ascii="Arial" w:cs="Arial" w:eastAsia="Arial" w:hAnsi="Arial"/>
                <w:sz w:val="13"/>
                <w:szCs w:val="13"/>
                <w:color w:val="auto"/>
              </w:rPr>
              <w:t>.</w:t>
            </w:r>
            <w:r>
              <w:rPr>
                <w:rFonts w:ascii="Arial" w:cs="Arial" w:eastAsia="Arial" w:hAnsi="Arial"/>
                <w:sz w:val="16"/>
                <w:szCs w:val="16"/>
                <w:color w:val="auto"/>
                <w:vertAlign w:val="superscript"/>
              </w:rPr>
              <w:t>11</w:t>
            </w:r>
          </w:p>
        </w:tc>
        <w:tc>
          <w:tcPr>
            <w:tcW w:w="1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800,000 shares of</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510 Corporate Drive</w:t>
            </w:r>
          </w:p>
        </w:tc>
        <w:tc>
          <w:tcPr>
            <w:tcW w:w="15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Series A convertible</w:t>
            </w:r>
          </w:p>
        </w:tc>
        <w:tc>
          <w:tcPr>
            <w:tcW w:w="14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Industrial products</w:t>
            </w: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7,979</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Graham, TX 76450</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44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4,000,002 shares of</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4,615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46,029</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54,008</w:t>
            </w:r>
          </w:p>
        </w:tc>
        <w:tc>
          <w:tcPr>
            <w:tcW w:w="0" w:type="dxa"/>
            <w:vAlign w:val="bottom"/>
          </w:tcPr>
          <w:p>
            <w:pPr>
              <w:spacing w:after="0"/>
              <w:rPr>
                <w:sz w:val="1"/>
                <w:szCs w:val="1"/>
                <w:color w:val="auto"/>
              </w:rPr>
            </w:pPr>
          </w:p>
        </w:tc>
      </w:tr>
      <w:tr>
        <w:trPr>
          <w:trHeight w:val="54"/>
        </w:trPr>
        <w:tc>
          <w:tcPr>
            <w:tcW w:w="2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Control Investments</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73,415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118,821</w:t>
            </w:r>
          </w:p>
        </w:tc>
        <w:tc>
          <w:tcPr>
            <w:tcW w:w="0" w:type="dxa"/>
            <w:vAlign w:val="bottom"/>
          </w:tcPr>
          <w:p>
            <w:pPr>
              <w:spacing w:after="0"/>
              <w:rPr>
                <w:sz w:val="1"/>
                <w:szCs w:val="1"/>
                <w:color w:val="auto"/>
              </w:rPr>
            </w:pPr>
          </w:p>
        </w:tc>
      </w:tr>
      <w:tr>
        <w:trPr>
          <w:trHeight w:val="253"/>
        </w:trPr>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8"/>
                <w:szCs w:val="18"/>
                <w:b w:val="1"/>
                <w:bCs w:val="1"/>
                <w:color w:val="auto"/>
                <w:vertAlign w:val="superscript"/>
              </w:rPr>
              <w:t>12</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533,491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80" w:top="1221" w:right="379" w:bottom="1440" w:gutter="0" w:footer="0" w:header="0"/>
        </w:sectPr>
      </w:pPr>
    </w:p>
    <w:bookmarkStart w:id="60" w:name="page61"/>
    <w:bookmarkEnd w:id="60"/>
    <w:p>
      <w:pPr>
        <w:ind w:left="340" w:hanging="332"/>
        <w:spacing w:after="0"/>
        <w:tabs>
          <w:tab w:leader="none" w:pos="34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All debt investments are income-producing, unless otherwise noted. Equity investments are non-income producing, unless otherwise noted.</w:t>
      </w:r>
    </w:p>
    <w:p>
      <w:pPr>
        <w:spacing w:after="0" w:line="11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All of the Company’s investments, unless otherwise noted, are pledged as collateral for the Company’s senior secured credit facility.</w:t>
      </w:r>
    </w:p>
    <w:p>
      <w:pPr>
        <w:spacing w:after="0" w:line="131" w:lineRule="exact"/>
        <w:rPr>
          <w:sz w:val="20"/>
          <w:szCs w:val="20"/>
          <w:color w:val="auto"/>
        </w:rPr>
      </w:pPr>
    </w:p>
    <w:p>
      <w:pPr>
        <w:jc w:val="both"/>
        <w:ind w:left="340" w:hanging="332"/>
        <w:spacing w:after="0" w:line="248" w:lineRule="auto"/>
        <w:tabs>
          <w:tab w:leader="none" w:pos="339"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The majority of investments bear interest at a rate that may be determined by reference to London Interbank Offered Rate (“LIBOR” or “L”) or Prime (“P”) and reset daily (D), monthly (M), quarterly (Q), or semiannually (S). For each the Company has provided the spread over LIBOR or Prime and the current contractual interest rate in effect at June 30, 2019. Certain investments are subject to a LIBOR or Prime interest rate floor. Certain investments, as noted, accrue payment-in-kind ("PIK") interest.</w:t>
      </w:r>
    </w:p>
    <w:p>
      <w:pPr>
        <w:spacing w:after="0" w:line="139" w:lineRule="exact"/>
        <w:rPr>
          <w:sz w:val="20"/>
          <w:szCs w:val="20"/>
          <w:color w:val="auto"/>
        </w:rPr>
      </w:pPr>
    </w:p>
    <w:p>
      <w:pPr>
        <w:jc w:val="both"/>
        <w:ind w:left="340" w:hanging="332"/>
        <w:spacing w:after="0" w:line="241" w:lineRule="auto"/>
        <w:tabs>
          <w:tab w:leader="none" w:pos="339"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Refer to Note 4 for further discussion.</w:t>
      </w:r>
    </w:p>
    <w:p>
      <w:pPr>
        <w:spacing w:after="0" w:line="144" w:lineRule="exact"/>
        <w:rPr>
          <w:sz w:val="20"/>
          <w:szCs w:val="20"/>
          <w:color w:val="auto"/>
        </w:rPr>
      </w:pPr>
    </w:p>
    <w:p>
      <w:pPr>
        <w:jc w:val="both"/>
        <w:ind w:left="340" w:hanging="332"/>
        <w:spacing w:after="0" w:line="241" w:lineRule="auto"/>
        <w:tabs>
          <w:tab w:leader="none" w:pos="339"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Non-Control/Non-Affiliate investments are generally defined by the Investment Company Act of 1940 (the “1940 Act”) as investments that are neither control investments nor affiliate investments. At June 30, 2019, approximately 62.1% of the Company’s investment assets were non-control/non-affiliate investments. The fair value of these investments as a percent of net assets is 100.7%.</w:t>
      </w:r>
    </w:p>
    <w:p>
      <w:pPr>
        <w:spacing w:after="0" w:line="131" w:lineRule="exact"/>
        <w:rPr>
          <w:sz w:val="20"/>
          <w:szCs w:val="20"/>
          <w:color w:val="auto"/>
        </w:rPr>
      </w:pPr>
    </w:p>
    <w:p>
      <w:pPr>
        <w:jc w:val="both"/>
        <w:ind w:left="340" w:hanging="332"/>
        <w:spacing w:after="0" w:line="241" w:lineRule="auto"/>
        <w:tabs>
          <w:tab w:leader="none" w:pos="339"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Affiliate investments are generally defined by the 1940 Act as investments in which between 5% and 25% of the voting securities are owned and the investments are not classified as control investments. At June 30, 2019, approximately 15.7% of the Company’s investment assets were affiliate investments. The fair value of these investments as a percent of net assets is 25.4%.</w:t>
      </w:r>
    </w:p>
    <w:p>
      <w:pPr>
        <w:spacing w:after="0" w:line="144" w:lineRule="exact"/>
        <w:rPr>
          <w:sz w:val="20"/>
          <w:szCs w:val="20"/>
          <w:color w:val="auto"/>
        </w:rPr>
      </w:pPr>
    </w:p>
    <w:p>
      <w:pPr>
        <w:ind w:left="340" w:right="20" w:hanging="332"/>
        <w:spacing w:after="0" w:line="248" w:lineRule="auto"/>
        <w:tabs>
          <w:tab w:leader="none" w:pos="339" w:val="left"/>
        </w:tabs>
        <w:numPr>
          <w:ilvl w:val="0"/>
          <w:numId w:val="45"/>
        </w:numPr>
        <w:rPr>
          <w:rFonts w:ascii="Arial" w:cs="Arial" w:eastAsia="Arial" w:hAnsi="Arial"/>
          <w:sz w:val="20"/>
          <w:szCs w:val="20"/>
          <w:color w:val="auto"/>
          <w:vertAlign w:val="superscript"/>
        </w:rPr>
      </w:pPr>
      <w:r>
        <w:rPr>
          <w:rFonts w:ascii="Arial" w:cs="Arial" w:eastAsia="Arial" w:hAnsi="Arial"/>
          <w:sz w:val="15"/>
          <w:szCs w:val="15"/>
          <w:color w:val="auto"/>
        </w:rPr>
        <w:t>Control investments are generally defined by the 1940 Act as investments in which more than 25% of the voting securities are owned. At June 30, 2019, approximately 22.3% of the Company’s investment assets were control investments. The fair value of these investments as a percent of net assets is 36.1%.</w:t>
      </w:r>
    </w:p>
    <w:p>
      <w:pPr>
        <w:spacing w:after="0" w:line="10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first lien last out term loan.</w:t>
      </w:r>
    </w:p>
    <w:p>
      <w:pPr>
        <w:spacing w:after="0" w:line="131" w:lineRule="exact"/>
        <w:rPr>
          <w:sz w:val="20"/>
          <w:szCs w:val="20"/>
          <w:color w:val="auto"/>
        </w:rPr>
      </w:pPr>
    </w:p>
    <w:p>
      <w:pPr>
        <w:ind w:left="340" w:hanging="332"/>
        <w:spacing w:after="0" w:line="248" w:lineRule="auto"/>
        <w:tabs>
          <w:tab w:leader="none" w:pos="339"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Indicates assets that are considered "non-qualifying assets" under section 55(a) of the 1940 Act. Qualifying assets must represent at least 70% of total assets at the time of acquisition of any additional non-qualifying assets. As of June 30, 2019, approximately 16.3% of the Company's assets are non-qualifying assets.</w:t>
      </w:r>
    </w:p>
    <w:p>
      <w:pPr>
        <w:spacing w:after="0" w:line="10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The investment has an unfunded commitment as of June 30, 2019. Refer to Note 10 - Commitments and Contingencies for further discussion.</w:t>
      </w:r>
    </w:p>
    <w:p>
      <w:pPr>
        <w:spacing w:after="0" w:line="109"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Income producing through dividends or distributions.</w:t>
      </w:r>
    </w:p>
    <w:p>
      <w:pPr>
        <w:spacing w:after="0" w:line="131" w:lineRule="exact"/>
        <w:rPr>
          <w:rFonts w:ascii="Arial" w:cs="Arial" w:eastAsia="Arial" w:hAnsi="Arial"/>
          <w:sz w:val="21"/>
          <w:szCs w:val="21"/>
          <w:color w:val="auto"/>
          <w:vertAlign w:val="superscript"/>
        </w:rPr>
      </w:pPr>
    </w:p>
    <w:p>
      <w:pPr>
        <w:ind w:left="340" w:hanging="332"/>
        <w:spacing w:after="0" w:line="248" w:lineRule="auto"/>
        <w:tabs>
          <w:tab w:leader="none" w:pos="337"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As of June 30, 2019, the cumulative gross unrealized appreciation for U.S. federal income tax purposes is approximately $59.1 million; cumulative gross unrealized depreciation for federal income tax purposes is $15.5 million. Cumulative net unrealized appreciation is $43.6 million, based on a tax cost of $487.6 million.</w:t>
      </w:r>
    </w:p>
    <w:p>
      <w:pPr>
        <w:spacing w:after="0" w:line="137" w:lineRule="exact"/>
        <w:rPr>
          <w:rFonts w:ascii="Arial" w:cs="Arial" w:eastAsia="Arial" w:hAnsi="Arial"/>
          <w:sz w:val="20"/>
          <w:szCs w:val="20"/>
          <w:color w:val="auto"/>
          <w:vertAlign w:val="superscript"/>
        </w:rPr>
      </w:pPr>
    </w:p>
    <w:p>
      <w:pPr>
        <w:jc w:val="both"/>
        <w:ind w:left="340" w:hanging="332"/>
        <w:spacing w:after="0" w:line="241" w:lineRule="auto"/>
        <w:tabs>
          <w:tab w:leader="none" w:pos="337"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ASC Ortho Management Company, LLC common units, Danforth Advisors, LLC common units, American Nuts Operations LLC Class A common stock, LGM Pharma, LLC Class A common stock, Tax Advisors Group, LLC Class A units, Chandler Signs, LP Class A-1 common stock, Dynamic Communities, LLC Preferred units, and ITA Holdings Group, LLC membership interest are held through a wholly-owned taxable subsidiary.</w:t>
      </w:r>
    </w:p>
    <w:p>
      <w:pPr>
        <w:spacing w:after="0" w:line="144" w:lineRule="exact"/>
        <w:rPr>
          <w:rFonts w:ascii="Arial" w:cs="Arial" w:eastAsia="Arial" w:hAnsi="Arial"/>
          <w:sz w:val="21"/>
          <w:szCs w:val="21"/>
          <w:color w:val="auto"/>
          <w:vertAlign w:val="superscript"/>
        </w:rPr>
      </w:pPr>
    </w:p>
    <w:p>
      <w:pPr>
        <w:ind w:left="340" w:hanging="332"/>
        <w:spacing w:after="0" w:line="248" w:lineRule="auto"/>
        <w:tabs>
          <w:tab w:leader="none" w:pos="337"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The Company generally acquires its investments in private transactions exempt from registration under the Securities Act of 1933, as amended (the "Securities Act"). These investments are generally subject to certain limitations on resale, and may be deemed "restricted securities" under the Securities Act.</w:t>
      </w:r>
    </w:p>
    <w:p>
      <w:pPr>
        <w:spacing w:after="0" w:line="124" w:lineRule="exact"/>
        <w:rPr>
          <w:rFonts w:ascii="Arial" w:cs="Arial" w:eastAsia="Arial" w:hAnsi="Arial"/>
          <w:sz w:val="20"/>
          <w:szCs w:val="20"/>
          <w:color w:val="auto"/>
          <w:vertAlign w:val="superscript"/>
        </w:rPr>
      </w:pPr>
    </w:p>
    <w:p>
      <w:pPr>
        <w:ind w:left="340" w:hanging="332"/>
        <w:spacing w:after="0" w:line="230" w:lineRule="auto"/>
        <w:tabs>
          <w:tab w:leader="none" w:pos="337"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split lien term loan, which provides the Company with a first lien priority on certain assets of the obligor and a second lien priority on different assets of the obligor.</w:t>
      </w:r>
    </w:p>
    <w:p>
      <w:pPr>
        <w:spacing w:after="0" w:line="11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Investment is on non-accrual status as of June 30, 2019, meaning the Company has ceased to recognize interest income on the investment.</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June 30,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I-45 SLF LLC</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2015, we entered into an LLC agreement with Main Street Capital to form I-45 SLF LLC. I-45 SLF LLC began investing in UMM syndicated senior secured loans during the quarter ended December 31, 2015. The initial equity capital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64" w:right="3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commitment to I-45 SLF LLC totaled $85.0 million, consisting of $68.0 million from CSWC and $17.0 million from Main Street Capital, all of which was funded as of June 30, 2019. CSWC owns 80% of I-45 SLF LLC and has a profits interest of 75.6%, while Main Street Capital owns 20% and has a profits interest of 24.4%. I-45 SLF LLC’s Board of Managers make all investment and operational decisions for the fund, and consists of equal representation from CSWC and Main Street Capital.</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2019 and March 31, 2019, I-45 SLF LLC had total assets of $244.6 million and $246.5 million, respectively. I-45 SLF LLC had approximately $234.7 million and $237.5 million of credit investments at fair value as of June 30, 2019 and March 31, 2019, respectively. The portfolio companies in I-45 SLF LLC are in industries similar to those in which CSWC may invest directly. As of June 30, 2019, approximately $4.8 million of the credit investments were unsettled trades. During the three months ended June 30, 2019, I-45 SLF LLC declared a total dividend of $3.8 million of which $2.9 million was paid to CSWC in July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Recovery, Inc.</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Media Recovery, Inc., dba SpotSee Holdings, through its subsidiary ShockWatch, provides solutions that currently enable over 3,000 customers and some 200 partners in 62 countries to detect mishandling that causes product damage and spoilage during transport and storage. The ShockWatch product portfolio includes impact, tilt, temperature, vibration, and humidity detection systems and is widely used in the energy, transportation, aerospace, defense, food, pharmaceutical, medical device, consumer goods and manufacturing sectors.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5"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stockholders may from time to time vote to allow us to issue common stock at a price below the NAV per share of our common stock. In such an approval, our stockholders may not specify a maximum discount below NAV at which we are able to issue our common stock. In order to sell shares pursuant to such a stockholder authorization:</w:t>
      </w:r>
    </w:p>
    <w:p>
      <w:pPr>
        <w:spacing w:after="0" w:line="21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23" w:lineRule="exact"/>
        <w:rPr>
          <w:rFonts w:ascii="Arial" w:cs="Arial" w:eastAsia="Arial" w:hAnsi="Arial"/>
          <w:sz w:val="18"/>
          <w:szCs w:val="18"/>
          <w:color w:val="auto"/>
        </w:rPr>
      </w:pPr>
    </w:p>
    <w:p>
      <w:pPr>
        <w:ind w:left="660" w:right="40" w:hanging="328"/>
        <w:spacing w:after="0" w:line="273"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majority of such directors, who are not interested persons of CSWC, in consultation with the underwriter or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offering of common stock below NAV per share will be designed to raise capital for investment in accordance with our investment objectives and business strategies.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making a determination that an offering below NAV per share is in our and our stockholders’ best interests, our board of directors would consider a variety of factors including:</w:t>
      </w:r>
    </w:p>
    <w:p>
      <w:pPr>
        <w:spacing w:after="0" w:line="170" w:lineRule="exact"/>
        <w:rPr>
          <w:sz w:val="20"/>
          <w:szCs w:val="20"/>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proposed offering price would closely approximate the market value of our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anticipated rate of return on and quality, type and availability of investments to be funded with the proceeds from the offering, if any;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any offering, and the terms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three headings and accompanying tables will explain and provide hypothetical examples on the impact of an offering at a price less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NAV per share on three different sets of investors:</w:t>
      </w:r>
    </w:p>
    <w:p>
      <w:pPr>
        <w:spacing w:after="0" w:line="21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Stockholders who do not Participate in the Offering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These stockholders will experience an immediate decrease (often called dilution) in the NAV of the shares they hold and their NAV per share. These stockholders will also experience a disproportionately greater decrease in their participation in our earnings and assets and their voting power than the increase we will experience in our assets, potential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891" w:right="339" w:bottom="1440" w:gutter="0" w:footer="0" w:header="0"/>
          <w:type w:val="continuous"/>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earning power and voting interests due to the offering. These stockholders may also experience a decline in the market price of their shares, which often reflects to some degree announced or potential decreases in NAV per share. This decrease could be more pronounced as the size of the offering and level of discount to NAV increases.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illustrates the level of NAV dilution that would be experienced by a nonparticipating stockholder in four different hypothetical offerings of different sizes and levels of discount from NAV per share. Actual sales prices and discounts may differ from the presentation below.</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examples assume that Company XYZ has 1,000,000 common shares outstanding, $15,000,000 in total assets and $5,000,000 in total liabilities. The current NAV and NAV per share are thus $10,000,000 and $10.00, respectively. The table illustrates the dilutive effect on nonparticipating Stockholder A of (1) an offering of 50,000 shares (5% of the outstanding shares) at $9.50 per share after offering expenses and commissions (a 5% discount from NAV),</w:t>
      </w:r>
    </w:p>
    <w:p>
      <w:pPr>
        <w:spacing w:after="0" w:line="2"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offering of 100,000 shares (10% of the outstanding shares) at $9.00 per share after offering expenses and commissions (a 10% discount from NAV),</w:t>
      </w:r>
    </w:p>
    <w:p>
      <w:pPr>
        <w:spacing w:after="0" w:line="32" w:lineRule="exact"/>
        <w:rPr>
          <w:rFonts w:ascii="Arial" w:cs="Arial" w:eastAsia="Arial" w:hAnsi="Arial"/>
          <w:sz w:val="16"/>
          <w:szCs w:val="16"/>
          <w:color w:val="auto"/>
        </w:rPr>
      </w:pPr>
    </w:p>
    <w:p>
      <w:pPr>
        <w:jc w:val="both"/>
        <w:ind w:firstLine="8"/>
        <w:spacing w:after="0" w:line="253" w:lineRule="auto"/>
        <w:tabs>
          <w:tab w:leader="none" w:pos="2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offering of 250,000 shares (25% of the outstanding shares) at $8.00 per share after offering expenses and commissions (a 20% discount from NAV) and (4) an offering of 250,000 shares (25% of the outstanding shares) at $0.01 per share after offering expenses and commissions (a 100% discount from NAV). The prospectus supplement pursuant to which any discounted offering is made will include a chart based on the actual number of shares in such offering and the actual discount to the most recently determined NAV.</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03" w:right="339" w:bottom="1440" w:gutter="0" w:footer="0" w:header="0"/>
        </w:sectPr>
      </w:pPr>
    </w:p>
    <w:bookmarkStart w:id="64" w:name="page65"/>
    <w:bookmarkEnd w:id="64"/>
    <w:tbl>
      <w:tblPr>
        <w:tblLayout w:type="fixed"/>
        <w:tblInd w:w="6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vMerge w:val="restart"/>
          </w:tcPr>
          <w:p>
            <w:pPr>
              <w:jc w:val="right"/>
              <w:ind w:right="553"/>
              <w:spacing w:after="0"/>
              <w:rPr>
                <w:sz w:val="20"/>
                <w:szCs w:val="20"/>
                <w:color w:val="auto"/>
              </w:rPr>
            </w:pPr>
            <w:r>
              <w:rPr>
                <w:rFonts w:ascii="Arial" w:cs="Arial" w:eastAsia="Arial" w:hAnsi="Arial"/>
                <w:sz w:val="14"/>
                <w:szCs w:val="14"/>
                <w:b w:val="1"/>
                <w:bCs w:val="1"/>
                <w:color w:val="auto"/>
              </w:rPr>
              <w:t>Example 1</w:t>
            </w:r>
          </w:p>
        </w:tc>
        <w:tc>
          <w:tcPr>
            <w:tcW w:w="240" w:type="dxa"/>
            <w:vAlign w:val="bottom"/>
          </w:tcPr>
          <w:p>
            <w:pPr>
              <w:spacing w:after="0"/>
              <w:rPr>
                <w:sz w:val="14"/>
                <w:szCs w:val="14"/>
                <w:color w:val="auto"/>
              </w:rPr>
            </w:pPr>
          </w:p>
        </w:tc>
        <w:tc>
          <w:tcPr>
            <w:tcW w:w="174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5"/>
              </w:rPr>
              <w:t>Example 2</w:t>
            </w:r>
          </w:p>
        </w:tc>
        <w:tc>
          <w:tcPr>
            <w:tcW w:w="240" w:type="dxa"/>
            <w:vAlign w:val="bottom"/>
          </w:tcPr>
          <w:p>
            <w:pPr>
              <w:spacing w:after="0"/>
              <w:rPr>
                <w:sz w:val="14"/>
                <w:szCs w:val="14"/>
                <w:color w:val="auto"/>
              </w:rPr>
            </w:pPr>
          </w:p>
        </w:tc>
        <w:tc>
          <w:tcPr>
            <w:tcW w:w="180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2"/>
              </w:rPr>
              <w:t>Example 3</w:t>
            </w:r>
          </w:p>
        </w:tc>
        <w:tc>
          <w:tcPr>
            <w:tcW w:w="220" w:type="dxa"/>
            <w:vAlign w:val="bottom"/>
          </w:tcPr>
          <w:p>
            <w:pPr>
              <w:spacing w:after="0"/>
              <w:rPr>
                <w:sz w:val="14"/>
                <w:szCs w:val="14"/>
                <w:color w:val="auto"/>
              </w:rPr>
            </w:pPr>
          </w:p>
        </w:tc>
        <w:tc>
          <w:tcPr>
            <w:tcW w:w="178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2"/>
          </w:tcPr>
          <w:p>
            <w:pPr>
              <w:jc w:val="center"/>
              <w:ind w:right="153"/>
              <w:spacing w:after="0" w:line="135" w:lineRule="exact"/>
              <w:rPr>
                <w:sz w:val="20"/>
                <w:szCs w:val="20"/>
                <w:color w:val="auto"/>
              </w:rPr>
            </w:pPr>
            <w:r>
              <w:rPr>
                <w:rFonts w:ascii="Arial" w:cs="Arial" w:eastAsia="Arial" w:hAnsi="Arial"/>
                <w:sz w:val="14"/>
                <w:szCs w:val="14"/>
                <w:b w:val="1"/>
                <w:bCs w:val="1"/>
                <w:color w:val="auto"/>
                <w:w w:val="99"/>
              </w:rPr>
              <w:t>10% Offering at 10%</w:t>
            </w:r>
          </w:p>
        </w:tc>
        <w:tc>
          <w:tcPr>
            <w:tcW w:w="240" w:type="dxa"/>
            <w:vAlign w:val="bottom"/>
          </w:tcPr>
          <w:p>
            <w:pPr>
              <w:spacing w:after="0"/>
              <w:rPr>
                <w:sz w:val="11"/>
                <w:szCs w:val="11"/>
                <w:color w:val="auto"/>
              </w:rPr>
            </w:pPr>
          </w:p>
        </w:tc>
        <w:tc>
          <w:tcPr>
            <w:tcW w:w="1800" w:type="dxa"/>
            <w:vAlign w:val="bottom"/>
            <w:gridSpan w:val="2"/>
          </w:tcPr>
          <w:p>
            <w:pPr>
              <w:jc w:val="center"/>
              <w:ind w:right="153"/>
              <w:spacing w:after="0" w:line="135" w:lineRule="exact"/>
              <w:rPr>
                <w:sz w:val="20"/>
                <w:szCs w:val="20"/>
                <w:color w:val="auto"/>
              </w:rPr>
            </w:pPr>
            <w:r>
              <w:rPr>
                <w:rFonts w:ascii="Arial" w:cs="Arial" w:eastAsia="Arial" w:hAnsi="Arial"/>
                <w:sz w:val="14"/>
                <w:szCs w:val="14"/>
                <w:b w:val="1"/>
                <w:bCs w:val="1"/>
                <w:color w:val="auto"/>
                <w:w w:val="98"/>
              </w:rPr>
              <w:t>25% Offering at 20%</w:t>
            </w:r>
          </w:p>
        </w:tc>
        <w:tc>
          <w:tcPr>
            <w:tcW w:w="220" w:type="dxa"/>
            <w:vAlign w:val="bottom"/>
          </w:tcPr>
          <w:p>
            <w:pPr>
              <w:spacing w:after="0"/>
              <w:rPr>
                <w:sz w:val="11"/>
                <w:szCs w:val="11"/>
                <w:color w:val="auto"/>
              </w:rPr>
            </w:pPr>
          </w:p>
        </w:tc>
        <w:tc>
          <w:tcPr>
            <w:tcW w:w="1780" w:type="dxa"/>
            <w:vAlign w:val="bottom"/>
            <w:gridSpan w:val="2"/>
          </w:tcPr>
          <w:p>
            <w:pPr>
              <w:jc w:val="center"/>
              <w:ind w:right="53"/>
              <w:spacing w:after="0" w:line="135" w:lineRule="exact"/>
              <w:rPr>
                <w:sz w:val="20"/>
                <w:szCs w:val="20"/>
                <w:color w:val="auto"/>
              </w:rPr>
            </w:pPr>
            <w:r>
              <w:rPr>
                <w:rFonts w:ascii="Arial" w:cs="Arial" w:eastAsia="Arial" w:hAnsi="Arial"/>
                <w:sz w:val="14"/>
                <w:szCs w:val="14"/>
                <w:b w:val="1"/>
                <w:bCs w:val="1"/>
                <w:color w:val="auto"/>
                <w:w w:val="98"/>
              </w:rPr>
              <w:t>25% Offering at 100%</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5% Offering at 5% Discount</w:t>
            </w:r>
          </w:p>
        </w:tc>
        <w:tc>
          <w:tcPr>
            <w:tcW w:w="240" w:type="dxa"/>
            <w:vAlign w:val="bottom"/>
          </w:tcPr>
          <w:p>
            <w:pPr>
              <w:spacing w:after="0"/>
              <w:rPr>
                <w:sz w:val="15"/>
                <w:szCs w:val="15"/>
                <w:color w:val="auto"/>
              </w:rPr>
            </w:pPr>
          </w:p>
        </w:tc>
        <w:tc>
          <w:tcPr>
            <w:tcW w:w="174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0"/>
              </w:rPr>
              <w:t>Discount</w:t>
            </w:r>
          </w:p>
        </w:tc>
        <w:tc>
          <w:tcPr>
            <w:tcW w:w="240" w:type="dxa"/>
            <w:vAlign w:val="bottom"/>
          </w:tcPr>
          <w:p>
            <w:pPr>
              <w:spacing w:after="0"/>
              <w:rPr>
                <w:sz w:val="15"/>
                <w:szCs w:val="15"/>
                <w:color w:val="auto"/>
              </w:rPr>
            </w:pPr>
          </w:p>
        </w:tc>
        <w:tc>
          <w:tcPr>
            <w:tcW w:w="1800" w:type="dxa"/>
            <w:vAlign w:val="bottom"/>
            <w:gridSpan w:val="2"/>
          </w:tcPr>
          <w:p>
            <w:pPr>
              <w:jc w:val="center"/>
              <w:ind w:right="133"/>
              <w:spacing w:after="0"/>
              <w:rPr>
                <w:sz w:val="20"/>
                <w:szCs w:val="20"/>
                <w:color w:val="auto"/>
              </w:rPr>
            </w:pPr>
            <w:r>
              <w:rPr>
                <w:rFonts w:ascii="Arial" w:cs="Arial" w:eastAsia="Arial" w:hAnsi="Arial"/>
                <w:sz w:val="14"/>
                <w:szCs w:val="14"/>
                <w:b w:val="1"/>
                <w:bCs w:val="1"/>
                <w:color w:val="auto"/>
                <w:w w:val="90"/>
              </w:rPr>
              <w:t>Discount</w:t>
            </w:r>
          </w:p>
        </w:tc>
        <w:tc>
          <w:tcPr>
            <w:tcW w:w="220" w:type="dxa"/>
            <w:vAlign w:val="bottom"/>
          </w:tcPr>
          <w:p>
            <w:pPr>
              <w:spacing w:after="0"/>
              <w:rPr>
                <w:sz w:val="15"/>
                <w:szCs w:val="15"/>
                <w:color w:val="auto"/>
              </w:rPr>
            </w:pPr>
          </w:p>
        </w:tc>
        <w:tc>
          <w:tcPr>
            <w:tcW w:w="178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14"/>
              <w:spacing w:after="0" w:line="145" w:lineRule="exact"/>
              <w:rPr>
                <w:sz w:val="20"/>
                <w:szCs w:val="20"/>
                <w:color w:val="auto"/>
              </w:rPr>
            </w:pPr>
            <w:r>
              <w:rPr>
                <w:rFonts w:ascii="Arial" w:cs="Arial" w:eastAsia="Arial" w:hAnsi="Arial"/>
                <w:sz w:val="14"/>
                <w:szCs w:val="14"/>
                <w:b w:val="1"/>
                <w:bCs w:val="1"/>
                <w:color w:val="auto"/>
                <w:w w:val="94"/>
              </w:rPr>
              <w:t>Prior to Sale</w:t>
            </w: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Following Sale</w:t>
            </w:r>
          </w:p>
        </w:tc>
        <w:tc>
          <w:tcPr>
            <w:tcW w:w="8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Following Sale</w:t>
            </w: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9"/>
              </w:rPr>
              <w:t>Following Sale</w:t>
            </w:r>
          </w:p>
        </w:tc>
        <w:tc>
          <w:tcPr>
            <w:tcW w:w="9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Following Sale</w:t>
            </w: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Below NAV</w:t>
            </w:r>
          </w:p>
        </w:tc>
        <w:tc>
          <w:tcPr>
            <w:tcW w:w="11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line="230" w:lineRule="exact"/>
              <w:rPr>
                <w:sz w:val="20"/>
                <w:szCs w:val="20"/>
                <w:color w:val="auto"/>
              </w:rPr>
            </w:pPr>
            <w:r>
              <w:rPr>
                <w:rFonts w:ascii="Arial" w:cs="Arial" w:eastAsia="Arial" w:hAnsi="Arial"/>
                <w:sz w:val="16"/>
                <w:szCs w:val="16"/>
                <w:color w:val="auto"/>
                <w:w w:val="92"/>
              </w:rPr>
              <w:t>Price per Share to Public</w:t>
            </w:r>
            <w:r>
              <w:rPr>
                <w:rFonts w:ascii="Arial" w:cs="Arial" w:eastAsia="Arial" w:hAnsi="Arial"/>
                <w:sz w:val="21"/>
                <w:szCs w:val="21"/>
                <w:color w:val="auto"/>
                <w:w w:val="92"/>
                <w:vertAlign w:val="superscript"/>
              </w:rPr>
              <w:t>(1)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9.47</w:t>
            </w:r>
          </w:p>
        </w:tc>
        <w:tc>
          <w:tcPr>
            <w:tcW w:w="8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8.42</w:t>
            </w: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0.01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4"/>
              </w:rPr>
              <w:t>Net Proceeds per Share to</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9.50</w:t>
            </w:r>
          </w:p>
        </w:tc>
        <w:tc>
          <w:tcPr>
            <w:tcW w:w="8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9.00</w:t>
            </w:r>
          </w:p>
        </w:tc>
        <w:tc>
          <w:tcPr>
            <w:tcW w:w="8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0.01</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rPr>
              <w:t>Increase in Shares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Decrease to NAV</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Total Shares Outstanding</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9"/>
              </w:rPr>
              <w:t>1,000,000</w:t>
            </w:r>
          </w:p>
        </w:tc>
        <w:tc>
          <w:tcPr>
            <w:tcW w:w="11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1,050,000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10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1,100,000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12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w w:val="99"/>
              </w:rPr>
              <w:t>1,250,000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12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1,250,000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Arial" w:cs="Arial" w:eastAsia="Arial" w:hAnsi="Arial"/>
                <w:sz w:val="16"/>
                <w:szCs w:val="16"/>
                <w:color w:val="auto"/>
              </w:rPr>
              <w:t>NAV per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10.00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9.98</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9.91</w:t>
            </w:r>
          </w:p>
        </w:tc>
        <w:tc>
          <w:tcPr>
            <w:tcW w:w="880" w:type="dxa"/>
            <w:vAlign w:val="bottom"/>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9.60</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8.00</w:t>
            </w:r>
          </w:p>
        </w:tc>
        <w:tc>
          <w:tcPr>
            <w:tcW w:w="880" w:type="dxa"/>
            <w:vAlign w:val="bottom"/>
          </w:tcPr>
          <w:p>
            <w:pPr>
              <w:jc w:val="right"/>
              <w:spacing w:after="0"/>
              <w:rPr>
                <w:sz w:val="20"/>
                <w:szCs w:val="20"/>
                <w:color w:val="auto"/>
              </w:rPr>
            </w:pPr>
            <w:r>
              <w:rPr>
                <w:rFonts w:ascii="Arial" w:cs="Arial" w:eastAsia="Arial" w:hAnsi="Arial"/>
                <w:sz w:val="18"/>
                <w:szCs w:val="18"/>
                <w:color w:val="auto"/>
              </w:rPr>
              <w:t>19.98 %</w:t>
            </w: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b w:val="1"/>
                <w:bCs w:val="1"/>
                <w:i w:val="1"/>
                <w:iCs w:val="1"/>
                <w:color w:val="auto"/>
              </w:rPr>
              <w:t>Dilution to</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i w:val="1"/>
                <w:iCs w:val="1"/>
                <w:color w:val="auto"/>
              </w:rPr>
              <w:t>Nonparticipating</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Stockholder 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b w:val="1"/>
                <w:bCs w:val="1"/>
                <w:color w:val="auto"/>
              </w:rPr>
              <w:t>Share Dilution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Shares Held by</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10,000</w:t>
            </w: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10,000</w:t>
            </w: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rPr>
              <w:t>10,000</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10,000</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 A</w:t>
            </w: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20"/>
              <w:spacing w:after="0" w:line="166" w:lineRule="exact"/>
              <w:rPr>
                <w:sz w:val="20"/>
                <w:szCs w:val="20"/>
                <w:color w:val="auto"/>
              </w:rPr>
            </w:pPr>
            <w:r>
              <w:rPr>
                <w:rFonts w:ascii="Arial" w:cs="Arial" w:eastAsia="Arial" w:hAnsi="Arial"/>
                <w:sz w:val="16"/>
                <w:szCs w:val="16"/>
                <w:color w:val="auto"/>
                <w:w w:val="99"/>
              </w:rPr>
              <w:t>Percentage Outstanding</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0.95 %</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0.91 %</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0.80 %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0.80 %</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2"/>
        </w:trPr>
        <w:tc>
          <w:tcPr>
            <w:tcW w:w="1960" w:type="dxa"/>
            <w:vAlign w:val="bottom"/>
          </w:tcPr>
          <w:p>
            <w:pPr>
              <w:ind w:left="220"/>
              <w:spacing w:after="0"/>
              <w:rPr>
                <w:sz w:val="20"/>
                <w:szCs w:val="20"/>
                <w:color w:val="auto"/>
              </w:rPr>
            </w:pPr>
            <w:r>
              <w:rPr>
                <w:rFonts w:ascii="Arial" w:cs="Arial" w:eastAsia="Arial" w:hAnsi="Arial"/>
                <w:sz w:val="16"/>
                <w:szCs w:val="16"/>
                <w:color w:val="auto"/>
              </w:rPr>
              <w:t>Held by Stockholder A</w:t>
            </w: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NAV Dilution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rPr>
              <w:t>Total NAV Held by</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100,000</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72"/>
              <w:spacing w:after="0"/>
              <w:rPr>
                <w:sz w:val="20"/>
                <w:szCs w:val="20"/>
                <w:color w:val="auto"/>
              </w:rPr>
            </w:pPr>
            <w:r>
              <w:rPr>
                <w:rFonts w:ascii="Arial" w:cs="Arial" w:eastAsia="Arial" w:hAnsi="Arial"/>
                <w:sz w:val="18"/>
                <w:szCs w:val="18"/>
                <w:color w:val="auto"/>
              </w:rPr>
              <w:t>99,762</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99,091</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214"/>
              <w:spacing w:after="0"/>
              <w:rPr>
                <w:sz w:val="20"/>
                <w:szCs w:val="20"/>
                <w:color w:val="auto"/>
              </w:rPr>
            </w:pPr>
            <w:r>
              <w:rPr>
                <w:rFonts w:ascii="Arial" w:cs="Arial" w:eastAsia="Arial" w:hAnsi="Arial"/>
                <w:sz w:val="18"/>
                <w:szCs w:val="18"/>
                <w:color w:val="auto"/>
              </w:rPr>
              <w:t>96,000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4"/>
              <w:spacing w:after="0"/>
              <w:rPr>
                <w:sz w:val="20"/>
                <w:szCs w:val="20"/>
                <w:color w:val="auto"/>
              </w:rPr>
            </w:pPr>
            <w:r>
              <w:rPr>
                <w:rFonts w:ascii="Arial" w:cs="Arial" w:eastAsia="Arial" w:hAnsi="Arial"/>
                <w:sz w:val="18"/>
                <w:szCs w:val="18"/>
                <w:color w:val="auto"/>
              </w:rPr>
              <w:t>80,020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2"/>
        </w:trPr>
        <w:tc>
          <w:tcPr>
            <w:tcW w:w="1960" w:type="dxa"/>
            <w:vAlign w:val="bottom"/>
          </w:tcPr>
          <w:p>
            <w:pPr>
              <w:ind w:left="140"/>
              <w:spacing w:after="0"/>
              <w:rPr>
                <w:sz w:val="20"/>
                <w:szCs w:val="20"/>
                <w:color w:val="auto"/>
              </w:rPr>
            </w:pPr>
            <w:r>
              <w:rPr>
                <w:rFonts w:ascii="Arial" w:cs="Arial" w:eastAsia="Arial" w:hAnsi="Arial"/>
                <w:sz w:val="16"/>
                <w:szCs w:val="16"/>
                <w:color w:val="auto"/>
              </w:rPr>
              <w:t>Stockholder A</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Total Investment by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Stockholder A (Assumed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100,000</w:t>
            </w:r>
          </w:p>
        </w:tc>
        <w:tc>
          <w:tcPr>
            <w:tcW w:w="1100" w:type="dxa"/>
            <w:vAlign w:val="bottom"/>
            <w:gridSpan w:val="2"/>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$ 100,000</w:t>
            </w:r>
          </w:p>
        </w:tc>
        <w:tc>
          <w:tcPr>
            <w:tcW w:w="8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$ 100,000</w:t>
            </w:r>
          </w:p>
        </w:tc>
        <w:tc>
          <w:tcPr>
            <w:tcW w:w="8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$ 100,000</w:t>
            </w:r>
          </w:p>
        </w:tc>
        <w:tc>
          <w:tcPr>
            <w:tcW w:w="9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$ 100,000</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 be $10 per Share)</w:t>
            </w: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rPr>
              <w:t>Total Dilution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w w:val="98"/>
              </w:rPr>
              <w:t>Stockholder A (Total NAV</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32"/>
              <w:spacing w:after="0"/>
              <w:rPr>
                <w:sz w:val="20"/>
                <w:szCs w:val="20"/>
                <w:color w:val="auto"/>
              </w:rPr>
            </w:pPr>
            <w:r>
              <w:rPr>
                <w:rFonts w:ascii="Arial" w:cs="Arial" w:eastAsia="Arial" w:hAnsi="Arial"/>
                <w:sz w:val="18"/>
                <w:szCs w:val="18"/>
                <w:color w:val="auto"/>
              </w:rPr>
              <w:t>(238)</w:t>
            </w:r>
          </w:p>
        </w:tc>
        <w:tc>
          <w:tcPr>
            <w:tcW w:w="8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8"/>
                <w:szCs w:val="18"/>
                <w:color w:val="auto"/>
              </w:rPr>
              <w:t>(909)</w:t>
            </w:r>
          </w:p>
        </w:tc>
        <w:tc>
          <w:tcPr>
            <w:tcW w:w="88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(4,000)</w:t>
            </w:r>
          </w:p>
        </w:tc>
        <w:tc>
          <w:tcPr>
            <w:tcW w:w="9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8"/>
                <w:szCs w:val="18"/>
                <w:color w:val="auto"/>
                <w:w w:val="95"/>
              </w:rPr>
              <w:t>(19,980)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140"/>
              <w:spacing w:after="0"/>
              <w:rPr>
                <w:sz w:val="20"/>
                <w:szCs w:val="20"/>
                <w:color w:val="auto"/>
              </w:rPr>
            </w:pPr>
            <w:r>
              <w:rPr>
                <w:rFonts w:ascii="Arial" w:cs="Arial" w:eastAsia="Arial" w:hAnsi="Arial"/>
                <w:sz w:val="16"/>
                <w:szCs w:val="16"/>
                <w:color w:val="auto"/>
              </w:rPr>
              <w:t>Less Total Investment)</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NAV Dilution per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rPr>
              <w:t>NAV per Share Held by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72"/>
              <w:spacing w:after="0"/>
              <w:rPr>
                <w:sz w:val="20"/>
                <w:szCs w:val="20"/>
                <w:color w:val="auto"/>
              </w:rPr>
            </w:pPr>
            <w:r>
              <w:rPr>
                <w:rFonts w:ascii="Arial" w:cs="Arial" w:eastAsia="Arial" w:hAnsi="Arial"/>
                <w:sz w:val="18"/>
                <w:szCs w:val="18"/>
                <w:color w:val="auto"/>
              </w:rPr>
              <w:t>9.98</w:t>
            </w:r>
          </w:p>
        </w:tc>
        <w:tc>
          <w:tcPr>
            <w:tcW w:w="8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9.91</w:t>
            </w:r>
          </w:p>
        </w:tc>
        <w:tc>
          <w:tcPr>
            <w:tcW w:w="88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214"/>
              <w:spacing w:after="0"/>
              <w:rPr>
                <w:sz w:val="20"/>
                <w:szCs w:val="20"/>
                <w:color w:val="auto"/>
              </w:rPr>
            </w:pPr>
            <w:r>
              <w:rPr>
                <w:rFonts w:ascii="Arial" w:cs="Arial" w:eastAsia="Arial" w:hAnsi="Arial"/>
                <w:sz w:val="18"/>
                <w:szCs w:val="18"/>
                <w:color w:val="auto"/>
              </w:rPr>
              <w:t>9.60</w:t>
            </w:r>
          </w:p>
        </w:tc>
        <w:tc>
          <w:tcPr>
            <w:tcW w:w="9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4"/>
              <w:spacing w:after="0"/>
              <w:rPr>
                <w:sz w:val="20"/>
                <w:szCs w:val="20"/>
                <w:color w:val="auto"/>
              </w:rPr>
            </w:pPr>
            <w:r>
              <w:rPr>
                <w:rFonts w:ascii="Arial" w:cs="Arial" w:eastAsia="Arial" w:hAnsi="Arial"/>
                <w:sz w:val="18"/>
                <w:szCs w:val="18"/>
                <w:color w:val="auto"/>
              </w:rPr>
              <w:t>8.00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140"/>
              <w:spacing w:after="0"/>
              <w:rPr>
                <w:sz w:val="20"/>
                <w:szCs w:val="20"/>
                <w:color w:val="auto"/>
              </w:rPr>
            </w:pPr>
            <w:r>
              <w:rPr>
                <w:rFonts w:ascii="Arial" w:cs="Arial" w:eastAsia="Arial" w:hAnsi="Arial"/>
                <w:sz w:val="16"/>
                <w:szCs w:val="16"/>
                <w:color w:val="auto"/>
              </w:rPr>
              <w:t>Stockholder 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4"/>
              </w:rPr>
              <w:t>Investment per Share Held</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by Stockholder A</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(Assumed to be $10 per</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Share on Shares Held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10.00</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to Sale)</w:t>
            </w: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rPr>
              <w:t>NAV Dilution per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Experienced by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Stockholder A (NAV per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w w:val="94"/>
              </w:rPr>
              <w:t>Share Less Investment per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32"/>
              <w:spacing w:after="0"/>
              <w:rPr>
                <w:sz w:val="20"/>
                <w:szCs w:val="20"/>
                <w:color w:val="auto"/>
              </w:rPr>
            </w:pPr>
            <w:r>
              <w:rPr>
                <w:rFonts w:ascii="Arial" w:cs="Arial" w:eastAsia="Arial" w:hAnsi="Arial"/>
                <w:sz w:val="18"/>
                <w:szCs w:val="18"/>
                <w:color w:val="auto"/>
              </w:rPr>
              <w:t>(0.02)</w:t>
            </w:r>
          </w:p>
        </w:tc>
        <w:tc>
          <w:tcPr>
            <w:tcW w:w="8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8"/>
                <w:szCs w:val="18"/>
                <w:color w:val="auto"/>
              </w:rPr>
              <w:t>(0.09)</w:t>
            </w:r>
          </w:p>
        </w:tc>
        <w:tc>
          <w:tcPr>
            <w:tcW w:w="88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(0.40)</w:t>
            </w:r>
          </w:p>
        </w:tc>
        <w:tc>
          <w:tcPr>
            <w:tcW w:w="9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14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Percentage NAV Dilution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7"/>
              </w:rPr>
              <w:t>per Share Experienced by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Stockholder A (NAV</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Dilution per Share</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7"/>
              </w:rPr>
              <w:t>Divided by Investment per</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Assumes 5% in selling compensation and expenses paid by us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Stockholders who do Participate in the Offering</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to such stockholders will decrease as the number of shares such stockholders purchase increases. Existing stockholders who buy more than their proportionate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stockholder increases. Even a</w:t>
      </w:r>
    </w:p>
    <w:p>
      <w:pPr>
        <w:sectPr>
          <w:pgSz w:w="11900" w:h="16838" w:orient="portrait"/>
          <w:cols w:equalWidth="0" w:num="1">
            <w:col w:w="11240"/>
          </w:cols>
          <w:pgMar w:left="320" w:top="12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21" w:right="339" w:bottom="1440" w:gutter="0" w:footer="0" w:header="0"/>
          <w:type w:val="continuous"/>
        </w:sectPr>
      </w:pPr>
    </w:p>
    <w:bookmarkStart w:id="65" w:name="page66"/>
    <w:bookmarkEnd w:id="65"/>
    <w:p>
      <w:pPr>
        <w:jc w:val="both"/>
        <w:spacing w:after="0" w:line="279" w:lineRule="auto"/>
        <w:rPr>
          <w:sz w:val="20"/>
          <w:szCs w:val="20"/>
          <w:color w:val="auto"/>
        </w:rPr>
      </w:pPr>
      <w:r>
        <w:rPr>
          <w:rFonts w:ascii="Arial" w:cs="Arial" w:eastAsia="Arial" w:hAnsi="Arial"/>
          <w:sz w:val="17"/>
          <w:szCs w:val="17"/>
          <w:color w:val="auto"/>
        </w:rPr>
        <w:t>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the level of discount to NAV increases.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chart illustrates the level of dilution and accretion in the hypothetical 25% offering at a 20% discount from the prior chart (Example 3) for a stockholder that acquires shares equal to (1) 50% of its proportionate share of the offering (i.e., 1,250 shares, which is 0.5% of an offering of 250,000 shares rather than its 1.0% proportionate share) and (2) 150% of such percentage (i.e., 3,750 shares, which is 1.5% of an offering of 250,000 shares rather than its 1.0%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6"/>
                <w:szCs w:val="16"/>
                <w:color w:val="auto"/>
              </w:rPr>
            </w:pPr>
          </w:p>
        </w:tc>
        <w:tc>
          <w:tcPr>
            <w:tcW w:w="232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74"/>
              <w:spacing w:after="0" w:line="147" w:lineRule="exact"/>
              <w:rPr>
                <w:sz w:val="20"/>
                <w:szCs w:val="20"/>
                <w:color w:val="auto"/>
              </w:rPr>
            </w:pPr>
            <w:r>
              <w:rPr>
                <w:rFonts w:ascii="Arial" w:cs="Arial" w:eastAsia="Arial" w:hAnsi="Arial"/>
                <w:sz w:val="14"/>
                <w:szCs w:val="14"/>
                <w:b w:val="1"/>
                <w:bCs w:val="1"/>
                <w:color w:val="auto"/>
                <w:w w:val="92"/>
              </w:rPr>
              <w:t>Prior to Sale Below</w:t>
            </w:r>
          </w:p>
        </w:tc>
        <w:tc>
          <w:tcPr>
            <w:tcW w:w="240" w:type="dxa"/>
            <w:vAlign w:val="bottom"/>
          </w:tcPr>
          <w:p>
            <w:pPr>
              <w:spacing w:after="0"/>
              <w:rPr>
                <w:sz w:val="12"/>
                <w:szCs w:val="12"/>
                <w:color w:val="auto"/>
              </w:rPr>
            </w:pPr>
          </w:p>
        </w:tc>
        <w:tc>
          <w:tcPr>
            <w:tcW w:w="13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5"/>
              </w:rPr>
              <w:t>Following Sale</w:t>
            </w:r>
          </w:p>
        </w:tc>
        <w:tc>
          <w:tcPr>
            <w:tcW w:w="10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13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7"/>
              </w:rPr>
              <w:t>Following Sale</w:t>
            </w:r>
          </w:p>
        </w:tc>
        <w:tc>
          <w:tcPr>
            <w:tcW w:w="9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534"/>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line="230" w:lineRule="exact"/>
              <w:rPr>
                <w:sz w:val="20"/>
                <w:szCs w:val="20"/>
                <w:color w:val="auto"/>
              </w:rPr>
            </w:pPr>
            <w:r>
              <w:rPr>
                <w:rFonts w:ascii="Arial" w:cs="Arial" w:eastAsia="Arial" w:hAnsi="Arial"/>
                <w:sz w:val="16"/>
                <w:szCs w:val="16"/>
                <w:color w:val="auto"/>
              </w:rPr>
              <w:t>Price per Share to Public</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8.42</w:t>
            </w: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3"/>
              <w:spacing w:after="0"/>
              <w:rPr>
                <w:sz w:val="20"/>
                <w:szCs w:val="20"/>
                <w:color w:val="auto"/>
              </w:rPr>
            </w:pPr>
            <w:r>
              <w:rPr>
                <w:rFonts w:ascii="Arial" w:cs="Arial" w:eastAsia="Arial" w:hAnsi="Arial"/>
                <w:sz w:val="18"/>
                <w:szCs w:val="18"/>
                <w:color w:val="auto"/>
              </w:rPr>
              <w:t>8.42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per Share to Issuer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8.00</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8.00</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b w:val="1"/>
                <w:bCs w:val="1"/>
                <w:i w:val="1"/>
                <w:iCs w:val="1"/>
                <w:color w:val="auto"/>
              </w:rPr>
              <w:t>Increase in Shares and Decrease to NAV</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Shares Outstanding</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1,250,000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6"/>
                <w:szCs w:val="16"/>
                <w:color w:val="auto"/>
              </w:rPr>
              <w:t>NAV per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4"/>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9.60</w:t>
            </w: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3"/>
              <w:spacing w:after="0"/>
              <w:rPr>
                <w:sz w:val="20"/>
                <w:szCs w:val="20"/>
                <w:color w:val="auto"/>
              </w:rPr>
            </w:pPr>
            <w:r>
              <w:rPr>
                <w:rFonts w:ascii="Arial" w:cs="Arial" w:eastAsia="Arial" w:hAnsi="Arial"/>
                <w:sz w:val="18"/>
                <w:szCs w:val="18"/>
                <w:color w:val="auto"/>
              </w:rPr>
              <w:t>9.60</w:t>
            </w: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Nonparticipating Stockholder 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20"/>
              <w:spacing w:after="0"/>
              <w:rPr>
                <w:sz w:val="20"/>
                <w:szCs w:val="20"/>
                <w:color w:val="auto"/>
              </w:rPr>
            </w:pPr>
            <w:r>
              <w:rPr>
                <w:rFonts w:ascii="Arial" w:cs="Arial" w:eastAsia="Arial" w:hAnsi="Arial"/>
                <w:sz w:val="16"/>
                <w:szCs w:val="16"/>
                <w:b w:val="1"/>
                <w:bCs w:val="1"/>
                <w:color w:val="auto"/>
              </w:rPr>
              <w:t>Share Dilution</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Held by Stockholder A</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11,250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12.50 %</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13,750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37.50 %</w:t>
            </w:r>
          </w:p>
        </w:tc>
        <w:tc>
          <w:tcPr>
            <w:tcW w:w="0" w:type="dxa"/>
            <w:vAlign w:val="bottom"/>
          </w:tcPr>
          <w:p>
            <w:pPr>
              <w:spacing w:after="0"/>
              <w:rPr>
                <w:sz w:val="1"/>
                <w:szCs w:val="1"/>
                <w:color w:val="auto"/>
              </w:rPr>
            </w:pPr>
          </w:p>
        </w:tc>
      </w:tr>
      <w:tr>
        <w:trPr>
          <w:trHeight w:val="229"/>
        </w:trPr>
        <w:tc>
          <w:tcPr>
            <w:tcW w:w="4500" w:type="dxa"/>
            <w:vAlign w:val="bottom"/>
          </w:tcPr>
          <w:p>
            <w:pPr>
              <w:ind w:left="200"/>
              <w:spacing w:after="0"/>
              <w:rPr>
                <w:sz w:val="20"/>
                <w:szCs w:val="20"/>
                <w:color w:val="auto"/>
              </w:rPr>
            </w:pPr>
            <w:r>
              <w:rPr>
                <w:rFonts w:ascii="Arial" w:cs="Arial" w:eastAsia="Arial" w:hAnsi="Arial"/>
                <w:sz w:val="16"/>
                <w:szCs w:val="16"/>
                <w:color w:val="auto"/>
              </w:rPr>
              <w:t>Percentage Outstanding Held by Stockholder A</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c>
          <w:tcPr>
            <w:tcW w:w="2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0.90 %</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1.10 %</w:t>
            </w:r>
          </w:p>
        </w:tc>
        <w:tc>
          <w:tcPr>
            <w:tcW w:w="9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NAV Dilution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4"/>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108,000</w:t>
            </w:r>
          </w:p>
        </w:tc>
        <w:tc>
          <w:tcPr>
            <w:tcW w:w="1020" w:type="dxa"/>
            <w:vAlign w:val="bottom"/>
          </w:tcPr>
          <w:p>
            <w:pPr>
              <w:jc w:val="right"/>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3"/>
              <w:spacing w:after="0"/>
              <w:rPr>
                <w:sz w:val="20"/>
                <w:szCs w:val="20"/>
                <w:color w:val="auto"/>
              </w:rPr>
            </w:pPr>
            <w:r>
              <w:rPr>
                <w:rFonts w:ascii="Arial" w:cs="Arial" w:eastAsia="Arial" w:hAnsi="Arial"/>
                <w:sz w:val="18"/>
                <w:szCs w:val="18"/>
                <w:color w:val="auto"/>
              </w:rPr>
              <w:t>132,000</w:t>
            </w:r>
          </w:p>
        </w:tc>
        <w:tc>
          <w:tcPr>
            <w:tcW w:w="980" w:type="dxa"/>
            <w:vAlign w:val="bottom"/>
          </w:tcPr>
          <w:p>
            <w:pPr>
              <w:jc w:val="right"/>
              <w:spacing w:after="0"/>
              <w:rPr>
                <w:sz w:val="20"/>
                <w:szCs w:val="20"/>
                <w:color w:val="auto"/>
              </w:rPr>
            </w:pPr>
            <w:r>
              <w:rPr>
                <w:rFonts w:ascii="Arial" w:cs="Arial" w:eastAsia="Arial" w:hAnsi="Arial"/>
                <w:sz w:val="18"/>
                <w:szCs w:val="18"/>
                <w:color w:val="auto"/>
              </w:rPr>
              <w:t>32.00 %</w:t>
            </w: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Total Investment by Stockholder A (Assumed to be $10 per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100,000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rPr>
              <w:t>110,525</w:t>
            </w:r>
          </w:p>
        </w:tc>
        <w:tc>
          <w:tcPr>
            <w:tcW w:w="10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rPr>
              <w:t>131,575</w:t>
            </w: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w:t>
            </w:r>
          </w:p>
        </w:tc>
        <w:tc>
          <w:tcPr>
            <w:tcW w:w="1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120"/>
              <w:spacing w:after="0" w:line="166" w:lineRule="exact"/>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194"/>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193"/>
              <w:spacing w:after="0"/>
              <w:rPr>
                <w:sz w:val="20"/>
                <w:szCs w:val="20"/>
                <w:color w:val="auto"/>
              </w:rPr>
            </w:pPr>
            <w:r>
              <w:rPr>
                <w:rFonts w:ascii="Arial" w:cs="Arial" w:eastAsia="Arial" w:hAnsi="Arial"/>
                <w:sz w:val="18"/>
                <w:szCs w:val="18"/>
                <w:color w:val="auto"/>
              </w:rPr>
              <w:t>(2,525)</w:t>
            </w:r>
          </w:p>
        </w:tc>
        <w:tc>
          <w:tcPr>
            <w:tcW w:w="102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33"/>
              <w:spacing w:after="0"/>
              <w:rPr>
                <w:sz w:val="20"/>
                <w:szCs w:val="20"/>
                <w:color w:val="auto"/>
              </w:rPr>
            </w:pPr>
            <w:r>
              <w:rPr>
                <w:rFonts w:ascii="Arial" w:cs="Arial" w:eastAsia="Arial" w:hAnsi="Arial"/>
                <w:sz w:val="18"/>
                <w:szCs w:val="18"/>
                <w:color w:val="auto"/>
              </w:rPr>
              <w:t>425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20"/>
              <w:spacing w:after="0"/>
              <w:rPr>
                <w:sz w:val="20"/>
                <w:szCs w:val="20"/>
                <w:color w:val="auto"/>
              </w:rPr>
            </w:pPr>
            <w:r>
              <w:rPr>
                <w:rFonts w:ascii="Arial" w:cs="Arial" w:eastAsia="Arial" w:hAnsi="Arial"/>
                <w:sz w:val="16"/>
                <w:szCs w:val="16"/>
                <w:color w:val="auto"/>
              </w:rPr>
              <w:t>Investment)</w:t>
            </w:r>
          </w:p>
        </w:tc>
        <w:tc>
          <w:tcPr>
            <w:tcW w:w="18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NAV Dilution per Share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9.60</w:t>
            </w: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3"/>
              <w:spacing w:after="0"/>
              <w:rPr>
                <w:sz w:val="20"/>
                <w:szCs w:val="20"/>
                <w:color w:val="auto"/>
              </w:rPr>
            </w:pPr>
            <w:r>
              <w:rPr>
                <w:rFonts w:ascii="Arial" w:cs="Arial" w:eastAsia="Arial" w:hAnsi="Arial"/>
                <w:sz w:val="18"/>
                <w:szCs w:val="18"/>
                <w:color w:val="auto"/>
              </w:rPr>
              <w:t>9.60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4"/>
              </w:rPr>
              <w:t>Investment per Share Held by Stockholder A (Assumed to be $10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10.00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rPr>
              <w:t>9.82</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rPr>
              <w:t>9.57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 SHare on Shares Held Prior to Sale)</w:t>
            </w:r>
          </w:p>
        </w:tc>
        <w:tc>
          <w:tcPr>
            <w:tcW w:w="1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120"/>
              <w:spacing w:after="0" w:line="166" w:lineRule="exact"/>
              <w:rPr>
                <w:sz w:val="20"/>
                <w:szCs w:val="20"/>
                <w:color w:val="auto"/>
              </w:rPr>
            </w:pPr>
            <w:r>
              <w:rPr>
                <w:rFonts w:ascii="Arial" w:cs="Arial" w:eastAsia="Arial" w:hAnsi="Arial"/>
                <w:sz w:val="16"/>
                <w:szCs w:val="16"/>
                <w:color w:val="auto"/>
                <w:w w:val="95"/>
              </w:rPr>
              <w:t>NAV Dilution per Share Experienced by Stockholder A (NAV per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193"/>
              <w:spacing w:after="0"/>
              <w:rPr>
                <w:sz w:val="20"/>
                <w:szCs w:val="20"/>
                <w:color w:val="auto"/>
              </w:rPr>
            </w:pPr>
            <w:r>
              <w:rPr>
                <w:rFonts w:ascii="Arial" w:cs="Arial" w:eastAsia="Arial" w:hAnsi="Arial"/>
                <w:sz w:val="18"/>
                <w:szCs w:val="18"/>
                <w:color w:val="auto"/>
              </w:rPr>
              <w:t>(0.22)</w:t>
            </w:r>
          </w:p>
        </w:tc>
        <w:tc>
          <w:tcPr>
            <w:tcW w:w="102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33"/>
              <w:spacing w:after="0"/>
              <w:rPr>
                <w:sz w:val="20"/>
                <w:szCs w:val="20"/>
                <w:color w:val="auto"/>
              </w:rPr>
            </w:pPr>
            <w:r>
              <w:rPr>
                <w:rFonts w:ascii="Arial" w:cs="Arial" w:eastAsia="Arial" w:hAnsi="Arial"/>
                <w:sz w:val="18"/>
                <w:szCs w:val="18"/>
                <w:color w:val="auto"/>
              </w:rPr>
              <w:t>0.03</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20"/>
              <w:spacing w:after="0"/>
              <w:rPr>
                <w:sz w:val="20"/>
                <w:szCs w:val="20"/>
                <w:color w:val="auto"/>
              </w:rPr>
            </w:pPr>
            <w:r>
              <w:rPr>
                <w:rFonts w:ascii="Arial" w:cs="Arial" w:eastAsia="Arial" w:hAnsi="Arial"/>
                <w:sz w:val="16"/>
                <w:szCs w:val="16"/>
                <w:color w:val="auto"/>
              </w:rPr>
              <w:t>Share Less Investment per Share)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5"/>
              </w:rPr>
              <w:t>Percentage NAV Dilution per Share Experienced by Stockholder</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0.32 %</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 (NAV Dilution per Share Divided by Investment per Share)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Assumes 5% in selling compensation and expenses paid by us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(Example 1 below). On the other hand, investors who are not currently stockholders, but who participate in an offering below NAV per share and whose investment per share is also less than the resulting NAV per share will experience an immediate increase in the NAV of their shares and their NAV per share compared to the price they pay for their shares (Examples 2, 3 and 4 below). These latter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03"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experience a decline in the market price of their shares, which often reflects to some degree announced or potential decreases in NAV per share. This decrease could be more pronounced as the size of the offering and level of discount to NAV increases.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(1.00%)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restart"/>
          </w:tcPr>
          <w:p>
            <w:pPr>
              <w:jc w:val="right"/>
              <w:ind w:right="595"/>
              <w:spacing w:after="0"/>
              <w:rPr>
                <w:sz w:val="20"/>
                <w:szCs w:val="20"/>
                <w:color w:val="auto"/>
              </w:rPr>
            </w:pPr>
            <w:r>
              <w:rPr>
                <w:rFonts w:ascii="Arial" w:cs="Arial" w:eastAsia="Arial" w:hAnsi="Arial"/>
                <w:sz w:val="14"/>
                <w:szCs w:val="14"/>
                <w:b w:val="1"/>
                <w:bCs w:val="1"/>
                <w:color w:val="auto"/>
              </w:rPr>
              <w:t>Example 1</w:t>
            </w:r>
          </w:p>
        </w:tc>
        <w:tc>
          <w:tcPr>
            <w:tcW w:w="160" w:type="dxa"/>
            <w:vAlign w:val="bottom"/>
          </w:tcPr>
          <w:p>
            <w:pPr>
              <w:spacing w:after="0"/>
              <w:rPr>
                <w:sz w:val="14"/>
                <w:szCs w:val="14"/>
                <w:color w:val="auto"/>
              </w:rPr>
            </w:pPr>
          </w:p>
        </w:tc>
        <w:tc>
          <w:tcPr>
            <w:tcW w:w="1820" w:type="dxa"/>
            <w:vAlign w:val="bottom"/>
            <w:gridSpan w:val="2"/>
          </w:tcPr>
          <w:p>
            <w:pPr>
              <w:jc w:val="center"/>
              <w:ind w:right="95"/>
              <w:spacing w:after="0"/>
              <w:rPr>
                <w:sz w:val="20"/>
                <w:szCs w:val="20"/>
                <w:color w:val="auto"/>
              </w:rPr>
            </w:pPr>
            <w:r>
              <w:rPr>
                <w:rFonts w:ascii="Arial" w:cs="Arial" w:eastAsia="Arial" w:hAnsi="Arial"/>
                <w:sz w:val="14"/>
                <w:szCs w:val="14"/>
                <w:b w:val="1"/>
                <w:bCs w:val="1"/>
                <w:color w:val="auto"/>
                <w:w w:val="92"/>
              </w:rPr>
              <w:t>Example 2</w:t>
            </w:r>
          </w:p>
        </w:tc>
        <w:tc>
          <w:tcPr>
            <w:tcW w:w="180" w:type="dxa"/>
            <w:vAlign w:val="bottom"/>
          </w:tcPr>
          <w:p>
            <w:pPr>
              <w:spacing w:after="0"/>
              <w:rPr>
                <w:sz w:val="14"/>
                <w:szCs w:val="14"/>
                <w:color w:val="auto"/>
              </w:rPr>
            </w:pPr>
          </w:p>
        </w:tc>
        <w:tc>
          <w:tcPr>
            <w:tcW w:w="1820" w:type="dxa"/>
            <w:vAlign w:val="bottom"/>
            <w:gridSpan w:val="2"/>
          </w:tcPr>
          <w:p>
            <w:pPr>
              <w:jc w:val="center"/>
              <w:ind w:right="95"/>
              <w:spacing w:after="0"/>
              <w:rPr>
                <w:sz w:val="20"/>
                <w:szCs w:val="20"/>
                <w:color w:val="auto"/>
              </w:rPr>
            </w:pPr>
            <w:r>
              <w:rPr>
                <w:rFonts w:ascii="Arial" w:cs="Arial" w:eastAsia="Arial" w:hAnsi="Arial"/>
                <w:sz w:val="14"/>
                <w:szCs w:val="14"/>
                <w:b w:val="1"/>
                <w:bCs w:val="1"/>
                <w:color w:val="auto"/>
                <w:w w:val="92"/>
              </w:rPr>
              <w:t>Example 3</w:t>
            </w:r>
          </w:p>
        </w:tc>
        <w:tc>
          <w:tcPr>
            <w:tcW w:w="260" w:type="dxa"/>
            <w:vAlign w:val="bottom"/>
          </w:tcPr>
          <w:p>
            <w:pPr>
              <w:spacing w:after="0"/>
              <w:rPr>
                <w:sz w:val="14"/>
                <w:szCs w:val="14"/>
                <w:color w:val="auto"/>
              </w:rPr>
            </w:pPr>
          </w:p>
        </w:tc>
        <w:tc>
          <w:tcPr>
            <w:tcW w:w="176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jc w:val="center"/>
              <w:ind w:right="95"/>
              <w:spacing w:after="0" w:line="135" w:lineRule="exact"/>
              <w:rPr>
                <w:sz w:val="20"/>
                <w:szCs w:val="20"/>
                <w:color w:val="auto"/>
              </w:rPr>
            </w:pPr>
            <w:r>
              <w:rPr>
                <w:rFonts w:ascii="Arial" w:cs="Arial" w:eastAsia="Arial" w:hAnsi="Arial"/>
                <w:sz w:val="14"/>
                <w:szCs w:val="14"/>
                <w:b w:val="1"/>
                <w:bCs w:val="1"/>
                <w:color w:val="auto"/>
                <w:w w:val="98"/>
              </w:rPr>
              <w:t>10% Offering at 10%</w:t>
            </w:r>
          </w:p>
        </w:tc>
        <w:tc>
          <w:tcPr>
            <w:tcW w:w="180" w:type="dxa"/>
            <w:vAlign w:val="bottom"/>
          </w:tcPr>
          <w:p>
            <w:pPr>
              <w:spacing w:after="0"/>
              <w:rPr>
                <w:sz w:val="11"/>
                <w:szCs w:val="11"/>
                <w:color w:val="auto"/>
              </w:rPr>
            </w:pPr>
          </w:p>
        </w:tc>
        <w:tc>
          <w:tcPr>
            <w:tcW w:w="1820" w:type="dxa"/>
            <w:vAlign w:val="bottom"/>
            <w:gridSpan w:val="2"/>
          </w:tcPr>
          <w:p>
            <w:pPr>
              <w:jc w:val="center"/>
              <w:ind w:right="95"/>
              <w:spacing w:after="0" w:line="135" w:lineRule="exact"/>
              <w:rPr>
                <w:sz w:val="20"/>
                <w:szCs w:val="20"/>
                <w:color w:val="auto"/>
              </w:rPr>
            </w:pPr>
            <w:r>
              <w:rPr>
                <w:rFonts w:ascii="Arial" w:cs="Arial" w:eastAsia="Arial" w:hAnsi="Arial"/>
                <w:sz w:val="14"/>
                <w:szCs w:val="14"/>
                <w:b w:val="1"/>
                <w:bCs w:val="1"/>
                <w:color w:val="auto"/>
                <w:w w:val="98"/>
              </w:rPr>
              <w:t>25% Offering at 20%</w:t>
            </w:r>
          </w:p>
        </w:tc>
        <w:tc>
          <w:tcPr>
            <w:tcW w:w="260" w:type="dxa"/>
            <w:vAlign w:val="bottom"/>
          </w:tcPr>
          <w:p>
            <w:pPr>
              <w:spacing w:after="0"/>
              <w:rPr>
                <w:sz w:val="11"/>
                <w:szCs w:val="11"/>
                <w:color w:val="auto"/>
              </w:rPr>
            </w:pPr>
          </w:p>
        </w:tc>
        <w:tc>
          <w:tcPr>
            <w:tcW w:w="1760" w:type="dxa"/>
            <w:vAlign w:val="bottom"/>
            <w:gridSpan w:val="2"/>
          </w:tcPr>
          <w:p>
            <w:pPr>
              <w:jc w:val="center"/>
              <w:ind w:right="115"/>
              <w:spacing w:after="0" w:line="135" w:lineRule="exact"/>
              <w:rPr>
                <w:sz w:val="20"/>
                <w:szCs w:val="20"/>
                <w:color w:val="auto"/>
              </w:rPr>
            </w:pPr>
            <w:r>
              <w:rPr>
                <w:rFonts w:ascii="Arial" w:cs="Arial" w:eastAsia="Arial" w:hAnsi="Arial"/>
                <w:sz w:val="14"/>
                <w:szCs w:val="14"/>
                <w:b w:val="1"/>
                <w:bCs w:val="1"/>
                <w:color w:val="auto"/>
                <w:w w:val="98"/>
              </w:rPr>
              <w:t>25% Offering at 100%</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5% Offering at 5% Discount</w:t>
            </w:r>
          </w:p>
        </w:tc>
        <w:tc>
          <w:tcPr>
            <w:tcW w:w="160" w:type="dxa"/>
            <w:vAlign w:val="bottom"/>
          </w:tcPr>
          <w:p>
            <w:pPr>
              <w:spacing w:after="0"/>
              <w:rPr>
                <w:sz w:val="15"/>
                <w:szCs w:val="15"/>
                <w:color w:val="auto"/>
              </w:rPr>
            </w:pPr>
          </w:p>
        </w:tc>
        <w:tc>
          <w:tcPr>
            <w:tcW w:w="182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w w:val="90"/>
              </w:rPr>
              <w:t>Discount</w:t>
            </w:r>
          </w:p>
        </w:tc>
        <w:tc>
          <w:tcPr>
            <w:tcW w:w="180" w:type="dxa"/>
            <w:vAlign w:val="bottom"/>
          </w:tcPr>
          <w:p>
            <w:pPr>
              <w:spacing w:after="0"/>
              <w:rPr>
                <w:sz w:val="15"/>
                <w:szCs w:val="15"/>
                <w:color w:val="auto"/>
              </w:rPr>
            </w:pPr>
          </w:p>
        </w:tc>
        <w:tc>
          <w:tcPr>
            <w:tcW w:w="182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5"/>
                <w:szCs w:val="15"/>
                <w:color w:val="auto"/>
              </w:rPr>
            </w:pPr>
          </w:p>
        </w:tc>
        <w:tc>
          <w:tcPr>
            <w:tcW w:w="176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3"/>
              </w:rPr>
              <w:t>Discount</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14"/>
              <w:spacing w:after="0" w:line="145" w:lineRule="exact"/>
              <w:rPr>
                <w:sz w:val="20"/>
                <w:szCs w:val="20"/>
                <w:color w:val="auto"/>
              </w:rPr>
            </w:pPr>
            <w:r>
              <w:rPr>
                <w:rFonts w:ascii="Arial" w:cs="Arial" w:eastAsia="Arial" w:hAnsi="Arial"/>
                <w:sz w:val="14"/>
                <w:szCs w:val="14"/>
                <w:b w:val="1"/>
                <w:bCs w:val="1"/>
                <w:color w:val="auto"/>
                <w:w w:val="94"/>
              </w:rPr>
              <w:t>Prior to Sale</w:t>
            </w: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Following Sale</w:t>
            </w:r>
          </w:p>
        </w:tc>
        <w:tc>
          <w:tcPr>
            <w:tcW w:w="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Following Sale</w:t>
            </w:r>
          </w:p>
        </w:tc>
        <w:tc>
          <w:tcPr>
            <w:tcW w:w="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Following Sale</w:t>
            </w:r>
          </w:p>
        </w:tc>
        <w:tc>
          <w:tcPr>
            <w:tcW w:w="8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Following Sale</w:t>
            </w:r>
          </w:p>
        </w:tc>
        <w:tc>
          <w:tcPr>
            <w:tcW w:w="9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Below NAV</w:t>
            </w:r>
          </w:p>
        </w:tc>
        <w:tc>
          <w:tcPr>
            <w:tcW w:w="11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Pr>
          <w:p>
            <w:pPr>
              <w:ind w:left="120"/>
              <w:spacing w:after="0" w:line="230" w:lineRule="exact"/>
              <w:rPr>
                <w:sz w:val="20"/>
                <w:szCs w:val="20"/>
                <w:color w:val="auto"/>
              </w:rPr>
            </w:pPr>
            <w:r>
              <w:rPr>
                <w:rFonts w:ascii="Arial" w:cs="Arial" w:eastAsia="Arial" w:hAnsi="Arial"/>
                <w:sz w:val="16"/>
                <w:szCs w:val="16"/>
                <w:color w:val="auto"/>
                <w:w w:val="92"/>
              </w:rPr>
              <w:t>Price per Share to Public</w:t>
            </w:r>
            <w:r>
              <w:rPr>
                <w:rFonts w:ascii="Arial" w:cs="Arial" w:eastAsia="Arial" w:hAnsi="Arial"/>
                <w:sz w:val="21"/>
                <w:szCs w:val="21"/>
                <w:color w:val="auto"/>
                <w:w w:val="92"/>
                <w:vertAlign w:val="superscript"/>
              </w:rPr>
              <w:t>(1)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9.47</w:t>
            </w: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8.42</w:t>
            </w:r>
          </w:p>
        </w:tc>
        <w:tc>
          <w:tcPr>
            <w:tcW w:w="820" w:type="dxa"/>
            <w:vAlign w:val="bottom"/>
          </w:tcPr>
          <w:p>
            <w:pPr>
              <w:spacing w:after="0"/>
              <w:rPr>
                <w:sz w:val="19"/>
                <w:szCs w:val="19"/>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4"/>
              </w:rPr>
              <w:t>Net Proceeds per Share to</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9.50</w:t>
            </w:r>
          </w:p>
        </w:tc>
        <w:tc>
          <w:tcPr>
            <w:tcW w:w="8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9.00</w:t>
            </w:r>
          </w:p>
        </w:tc>
        <w:tc>
          <w:tcPr>
            <w:tcW w:w="8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8.00</w:t>
            </w:r>
          </w:p>
        </w:tc>
        <w:tc>
          <w:tcPr>
            <w:tcW w:w="8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spacing w:after="0" w:line="166" w:lineRule="exact"/>
              <w:rPr>
                <w:sz w:val="20"/>
                <w:szCs w:val="20"/>
                <w:color w:val="auto"/>
              </w:rPr>
            </w:pPr>
            <w:r>
              <w:rPr>
                <w:rFonts w:ascii="Arial" w:cs="Arial" w:eastAsia="Arial" w:hAnsi="Arial"/>
                <w:sz w:val="16"/>
                <w:szCs w:val="16"/>
                <w:b w:val="1"/>
                <w:bCs w:val="1"/>
                <w:i w:val="1"/>
                <w:iCs w:val="1"/>
                <w:color w:val="auto"/>
              </w:rPr>
              <w:t>Increase in Shares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Total Shares Outstanding</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7"/>
              </w:rPr>
              <w:t>1,000,000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1,050,000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1,100,000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9"/>
              </w:rPr>
              <w:t>1,250,000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1,250,000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30"/>
        </w:trPr>
        <w:tc>
          <w:tcPr>
            <w:tcW w:w="1940" w:type="dxa"/>
            <w:vAlign w:val="bottom"/>
          </w:tcPr>
          <w:p>
            <w:pPr>
              <w:ind w:left="120"/>
              <w:spacing w:after="0"/>
              <w:rPr>
                <w:sz w:val="20"/>
                <w:szCs w:val="20"/>
                <w:color w:val="auto"/>
              </w:rPr>
            </w:pPr>
            <w:r>
              <w:rPr>
                <w:rFonts w:ascii="Arial" w:cs="Arial" w:eastAsia="Arial" w:hAnsi="Arial"/>
                <w:sz w:val="16"/>
                <w:szCs w:val="16"/>
                <w:color w:val="auto"/>
              </w:rPr>
              <w:t>NAV per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4"/>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9.98</w:t>
            </w: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9.91</w:t>
            </w:r>
          </w:p>
        </w:tc>
        <w:tc>
          <w:tcPr>
            <w:tcW w:w="840" w:type="dxa"/>
            <w:vAlign w:val="bottom"/>
          </w:tcPr>
          <w:p>
            <w:pPr>
              <w:jc w:val="right"/>
              <w:spacing w:after="0"/>
              <w:rPr>
                <w:sz w:val="20"/>
                <w:szCs w:val="20"/>
                <w:color w:val="auto"/>
              </w:rPr>
            </w:pPr>
            <w:r>
              <w:rPr>
                <w:rFonts w:ascii="Arial" w:cs="Arial" w:eastAsia="Arial" w:hAnsi="Arial"/>
                <w:sz w:val="18"/>
                <w:szCs w:val="18"/>
                <w:color w:val="auto"/>
              </w:rPr>
              <w:t>(0.91)%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9.60</w:t>
            </w: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8.00</w:t>
            </w:r>
          </w:p>
        </w:tc>
        <w:tc>
          <w:tcPr>
            <w:tcW w:w="94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i w:val="1"/>
                <w:iCs w:val="1"/>
                <w:color w:val="auto"/>
              </w:rPr>
              <w:t>Dilution to</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i w:val="1"/>
                <w:iCs w:val="1"/>
                <w:color w:val="auto"/>
              </w:rPr>
              <w:t>Nonparticipating</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Stockholder 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Pr>
          <w:p>
            <w:pPr>
              <w:ind w:left="120"/>
              <w:spacing w:after="0"/>
              <w:rPr>
                <w:sz w:val="20"/>
                <w:szCs w:val="20"/>
                <w:color w:val="auto"/>
              </w:rPr>
            </w:pPr>
            <w:r>
              <w:rPr>
                <w:rFonts w:ascii="Arial" w:cs="Arial" w:eastAsia="Arial" w:hAnsi="Arial"/>
                <w:sz w:val="16"/>
                <w:szCs w:val="16"/>
                <w:b w:val="1"/>
                <w:bCs w:val="1"/>
                <w:color w:val="auto"/>
              </w:rPr>
              <w:t>Share Dilution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200"/>
              <w:spacing w:after="0" w:line="168" w:lineRule="exact"/>
              <w:rPr>
                <w:sz w:val="20"/>
                <w:szCs w:val="20"/>
                <w:color w:val="auto"/>
              </w:rPr>
            </w:pPr>
            <w:r>
              <w:rPr>
                <w:rFonts w:ascii="Arial" w:cs="Arial" w:eastAsia="Arial" w:hAnsi="Arial"/>
                <w:sz w:val="16"/>
                <w:szCs w:val="16"/>
                <w:color w:val="auto"/>
              </w:rPr>
              <w:t>Shares Held by</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500</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2,500</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2,500</w:t>
            </w: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 A</w:t>
            </w: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200"/>
              <w:spacing w:after="0" w:line="166" w:lineRule="exact"/>
              <w:rPr>
                <w:sz w:val="20"/>
                <w:szCs w:val="20"/>
                <w:color w:val="auto"/>
              </w:rPr>
            </w:pPr>
            <w:r>
              <w:rPr>
                <w:rFonts w:ascii="Arial" w:cs="Arial" w:eastAsia="Arial" w:hAnsi="Arial"/>
                <w:sz w:val="16"/>
                <w:szCs w:val="16"/>
                <w:color w:val="auto"/>
                <w:w w:val="99"/>
              </w:rPr>
              <w:t>Percentage Outstanding</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0.05 %</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0.09 %</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0.20 %</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0.20 %</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200"/>
              <w:spacing w:after="0"/>
              <w:rPr>
                <w:sz w:val="20"/>
                <w:szCs w:val="20"/>
                <w:color w:val="auto"/>
              </w:rPr>
            </w:pPr>
            <w:r>
              <w:rPr>
                <w:rFonts w:ascii="Arial" w:cs="Arial" w:eastAsia="Arial" w:hAnsi="Arial"/>
                <w:sz w:val="16"/>
                <w:szCs w:val="16"/>
                <w:color w:val="auto"/>
              </w:rPr>
              <w:t>Held by Stockholder A</w:t>
            </w: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NAV Dilution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20"/>
              <w:spacing w:after="0" w:line="166" w:lineRule="exact"/>
              <w:rPr>
                <w:sz w:val="20"/>
                <w:szCs w:val="20"/>
                <w:color w:val="auto"/>
              </w:rPr>
            </w:pPr>
            <w:r>
              <w:rPr>
                <w:rFonts w:ascii="Arial" w:cs="Arial" w:eastAsia="Arial" w:hAnsi="Arial"/>
                <w:sz w:val="16"/>
                <w:szCs w:val="16"/>
                <w:color w:val="auto"/>
              </w:rPr>
              <w:t>Total NAV Held by</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8"/>
                <w:szCs w:val="18"/>
                <w:color w:val="auto"/>
              </w:rPr>
              <w:t>4,988</w:t>
            </w:r>
          </w:p>
        </w:tc>
        <w:tc>
          <w:tcPr>
            <w:tcW w:w="8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4"/>
              <w:spacing w:after="0"/>
              <w:rPr>
                <w:sz w:val="20"/>
                <w:szCs w:val="20"/>
                <w:color w:val="auto"/>
              </w:rPr>
            </w:pPr>
            <w:r>
              <w:rPr>
                <w:rFonts w:ascii="Arial" w:cs="Arial" w:eastAsia="Arial" w:hAnsi="Arial"/>
                <w:sz w:val="18"/>
                <w:szCs w:val="18"/>
                <w:color w:val="auto"/>
              </w:rPr>
              <w:t>9,909</w:t>
            </w:r>
          </w:p>
        </w:tc>
        <w:tc>
          <w:tcPr>
            <w:tcW w:w="8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24,000</w:t>
            </w:r>
          </w:p>
        </w:tc>
        <w:tc>
          <w:tcPr>
            <w:tcW w:w="820" w:type="dxa"/>
            <w:vAlign w:val="bottom"/>
          </w:tcPr>
          <w:p>
            <w:pPr>
              <w:spacing w:after="0"/>
              <w:rPr>
                <w:sz w:val="14"/>
                <w:szCs w:val="14"/>
                <w:color w:val="auto"/>
              </w:rPr>
            </w:pPr>
          </w:p>
        </w:tc>
        <w:tc>
          <w:tcPr>
            <w:tcW w:w="2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4"/>
              <w:spacing w:after="0"/>
              <w:rPr>
                <w:sz w:val="20"/>
                <w:szCs w:val="20"/>
                <w:color w:val="auto"/>
              </w:rPr>
            </w:pPr>
            <w:r>
              <w:rPr>
                <w:rFonts w:ascii="Arial" w:cs="Arial" w:eastAsia="Arial" w:hAnsi="Arial"/>
                <w:sz w:val="18"/>
                <w:szCs w:val="18"/>
                <w:color w:val="auto"/>
              </w:rPr>
              <w:t>20,005</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120"/>
              <w:spacing w:after="0"/>
              <w:rPr>
                <w:sz w:val="20"/>
                <w:szCs w:val="20"/>
                <w:color w:val="auto"/>
              </w:rPr>
            </w:pPr>
            <w:r>
              <w:rPr>
                <w:rFonts w:ascii="Arial" w:cs="Arial" w:eastAsia="Arial" w:hAnsi="Arial"/>
                <w:sz w:val="16"/>
                <w:szCs w:val="16"/>
                <w:color w:val="auto"/>
              </w:rPr>
              <w:t>Stockholder A</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Total Investment by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Stockholder A (Assumed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5,000</w:t>
            </w:r>
          </w:p>
        </w:tc>
        <w:tc>
          <w:tcPr>
            <w:tcW w:w="8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9,470</w:t>
            </w:r>
          </w:p>
        </w:tc>
        <w:tc>
          <w:tcPr>
            <w:tcW w:w="8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21,050</w:t>
            </w:r>
          </w:p>
        </w:tc>
        <w:tc>
          <w:tcPr>
            <w:tcW w:w="8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be $10 per Share)</w:t>
            </w: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20"/>
              <w:spacing w:after="0" w:line="166" w:lineRule="exact"/>
              <w:rPr>
                <w:sz w:val="20"/>
                <w:szCs w:val="20"/>
                <w:color w:val="auto"/>
              </w:rPr>
            </w:pPr>
            <w:r>
              <w:rPr>
                <w:rFonts w:ascii="Arial" w:cs="Arial" w:eastAsia="Arial" w:hAnsi="Arial"/>
                <w:sz w:val="16"/>
                <w:szCs w:val="16"/>
                <w:color w:val="auto"/>
              </w:rPr>
              <w:t>Total Dilution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line="162" w:lineRule="exact"/>
              <w:rPr>
                <w:sz w:val="20"/>
                <w:szCs w:val="20"/>
                <w:color w:val="auto"/>
              </w:rPr>
            </w:pPr>
            <w:r>
              <w:rPr>
                <w:rFonts w:ascii="Arial" w:cs="Arial" w:eastAsia="Arial" w:hAnsi="Arial"/>
                <w:sz w:val="16"/>
                <w:szCs w:val="16"/>
                <w:color w:val="auto"/>
                <w:w w:val="98"/>
              </w:rPr>
              <w:t>Stockholder A (Total NAV</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4"/>
              <w:spacing w:after="0"/>
              <w:rPr>
                <w:sz w:val="20"/>
                <w:szCs w:val="20"/>
                <w:color w:val="auto"/>
              </w:rPr>
            </w:pPr>
            <w:r>
              <w:rPr>
                <w:rFonts w:ascii="Arial" w:cs="Arial" w:eastAsia="Arial" w:hAnsi="Arial"/>
                <w:sz w:val="18"/>
                <w:szCs w:val="18"/>
                <w:color w:val="auto"/>
              </w:rPr>
              <w:t>439</w:t>
            </w:r>
          </w:p>
        </w:tc>
        <w:tc>
          <w:tcPr>
            <w:tcW w:w="8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2,950</w:t>
            </w:r>
          </w:p>
        </w:tc>
        <w:tc>
          <w:tcPr>
            <w:tcW w:w="820" w:type="dxa"/>
            <w:vAlign w:val="bottom"/>
          </w:tcPr>
          <w:p>
            <w:pPr>
              <w:spacing w:after="0"/>
              <w:rPr>
                <w:sz w:val="14"/>
                <w:szCs w:val="14"/>
                <w:color w:val="auto"/>
              </w:rPr>
            </w:pPr>
          </w:p>
        </w:tc>
        <w:tc>
          <w:tcPr>
            <w:tcW w:w="2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4"/>
              <w:spacing w:after="0"/>
              <w:rPr>
                <w:sz w:val="20"/>
                <w:szCs w:val="20"/>
                <w:color w:val="auto"/>
              </w:rPr>
            </w:pPr>
            <w:r>
              <w:rPr>
                <w:rFonts w:ascii="Arial" w:cs="Arial" w:eastAsia="Arial" w:hAnsi="Arial"/>
                <w:sz w:val="18"/>
                <w:szCs w:val="18"/>
                <w:color w:val="auto"/>
              </w:rPr>
              <w:t>19,980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120"/>
              <w:spacing w:after="0"/>
              <w:rPr>
                <w:sz w:val="20"/>
                <w:szCs w:val="20"/>
                <w:color w:val="auto"/>
              </w:rPr>
            </w:pPr>
            <w:r>
              <w:rPr>
                <w:rFonts w:ascii="Arial" w:cs="Arial" w:eastAsia="Arial" w:hAnsi="Arial"/>
                <w:sz w:val="16"/>
                <w:szCs w:val="16"/>
                <w:color w:val="auto"/>
              </w:rPr>
              <w:t>Less Total Investment)</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NAV Dilution per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20"/>
              <w:spacing w:after="0" w:line="166" w:lineRule="exact"/>
              <w:rPr>
                <w:sz w:val="20"/>
                <w:szCs w:val="20"/>
                <w:color w:val="auto"/>
              </w:rPr>
            </w:pPr>
            <w:r>
              <w:rPr>
                <w:rFonts w:ascii="Arial" w:cs="Arial" w:eastAsia="Arial" w:hAnsi="Arial"/>
                <w:sz w:val="16"/>
                <w:szCs w:val="16"/>
                <w:color w:val="auto"/>
              </w:rPr>
              <w:t>NAV per Share Held by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8"/>
                <w:szCs w:val="18"/>
                <w:color w:val="auto"/>
              </w:rPr>
              <w:t>9.98</w:t>
            </w:r>
          </w:p>
        </w:tc>
        <w:tc>
          <w:tcPr>
            <w:tcW w:w="8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4"/>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9.60</w:t>
            </w:r>
          </w:p>
        </w:tc>
        <w:tc>
          <w:tcPr>
            <w:tcW w:w="820" w:type="dxa"/>
            <w:vAlign w:val="bottom"/>
          </w:tcPr>
          <w:p>
            <w:pPr>
              <w:spacing w:after="0"/>
              <w:rPr>
                <w:sz w:val="14"/>
                <w:szCs w:val="14"/>
                <w:color w:val="auto"/>
              </w:rPr>
            </w:pPr>
          </w:p>
        </w:tc>
        <w:tc>
          <w:tcPr>
            <w:tcW w:w="2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4"/>
              <w:spacing w:after="0"/>
              <w:rPr>
                <w:sz w:val="20"/>
                <w:szCs w:val="20"/>
                <w:color w:val="auto"/>
              </w:rPr>
            </w:pPr>
            <w:r>
              <w:rPr>
                <w:rFonts w:ascii="Arial" w:cs="Arial" w:eastAsia="Arial" w:hAnsi="Arial"/>
                <w:sz w:val="18"/>
                <w:szCs w:val="18"/>
                <w:color w:val="auto"/>
              </w:rPr>
              <w:t>8.00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120"/>
              <w:spacing w:after="0"/>
              <w:rPr>
                <w:sz w:val="20"/>
                <w:szCs w:val="20"/>
                <w:color w:val="auto"/>
              </w:rPr>
            </w:pPr>
            <w:r>
              <w:rPr>
                <w:rFonts w:ascii="Arial" w:cs="Arial" w:eastAsia="Arial" w:hAnsi="Arial"/>
                <w:sz w:val="16"/>
                <w:szCs w:val="16"/>
                <w:color w:val="auto"/>
              </w:rPr>
              <w:t>Stockholder 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4"/>
              </w:rPr>
              <w:t>Investment per Share Held</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by Stockholder A</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(Assumed to be $10 per</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Share on Shares Held</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9.47</w:t>
            </w:r>
          </w:p>
        </w:tc>
        <w:tc>
          <w:tcPr>
            <w:tcW w:w="8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8.42</w:t>
            </w:r>
          </w:p>
        </w:tc>
        <w:tc>
          <w:tcPr>
            <w:tcW w:w="8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Prior to Sale)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20"/>
              <w:spacing w:after="0" w:line="166" w:lineRule="exact"/>
              <w:rPr>
                <w:sz w:val="20"/>
                <w:szCs w:val="20"/>
                <w:color w:val="auto"/>
              </w:rPr>
            </w:pPr>
            <w:r>
              <w:rPr>
                <w:rFonts w:ascii="Arial" w:cs="Arial" w:eastAsia="Arial" w:hAnsi="Arial"/>
                <w:sz w:val="16"/>
                <w:szCs w:val="16"/>
                <w:color w:val="auto"/>
              </w:rPr>
              <w:t>NAV Dilution per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line="162" w:lineRule="exact"/>
              <w:rPr>
                <w:sz w:val="20"/>
                <w:szCs w:val="20"/>
                <w:color w:val="auto"/>
              </w:rPr>
            </w:pPr>
            <w:r>
              <w:rPr>
                <w:rFonts w:ascii="Arial" w:cs="Arial" w:eastAsia="Arial" w:hAnsi="Arial"/>
                <w:sz w:val="16"/>
                <w:szCs w:val="16"/>
                <w:color w:val="auto"/>
              </w:rPr>
              <w:t>Experienced by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line="162" w:lineRule="exact"/>
              <w:rPr>
                <w:sz w:val="20"/>
                <w:szCs w:val="20"/>
                <w:color w:val="auto"/>
              </w:rPr>
            </w:pPr>
            <w:r>
              <w:rPr>
                <w:rFonts w:ascii="Arial" w:cs="Arial" w:eastAsia="Arial" w:hAnsi="Arial"/>
                <w:sz w:val="16"/>
                <w:szCs w:val="16"/>
                <w:color w:val="auto"/>
              </w:rPr>
              <w:t>Stockholder A (NAV per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line="162" w:lineRule="exact"/>
              <w:rPr>
                <w:sz w:val="20"/>
                <w:szCs w:val="20"/>
                <w:color w:val="auto"/>
              </w:rPr>
            </w:pPr>
            <w:r>
              <w:rPr>
                <w:rFonts w:ascii="Arial" w:cs="Arial" w:eastAsia="Arial" w:hAnsi="Arial"/>
                <w:sz w:val="16"/>
                <w:szCs w:val="16"/>
                <w:color w:val="auto"/>
                <w:w w:val="94"/>
              </w:rPr>
              <w:t>Share Less Investment per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color w:val="auto"/>
              </w:rPr>
              <w:t>(0.02)</w:t>
            </w:r>
          </w:p>
        </w:tc>
        <w:tc>
          <w:tcPr>
            <w:tcW w:w="8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54"/>
              <w:spacing w:after="0"/>
              <w:rPr>
                <w:sz w:val="20"/>
                <w:szCs w:val="20"/>
                <w:color w:val="auto"/>
              </w:rPr>
            </w:pPr>
            <w:r>
              <w:rPr>
                <w:rFonts w:ascii="Arial" w:cs="Arial" w:eastAsia="Arial" w:hAnsi="Arial"/>
                <w:sz w:val="18"/>
                <w:szCs w:val="18"/>
                <w:color w:val="auto"/>
              </w:rPr>
              <w:t>0.44</w:t>
            </w:r>
          </w:p>
        </w:tc>
        <w:tc>
          <w:tcPr>
            <w:tcW w:w="8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4"/>
              <w:spacing w:after="0"/>
              <w:rPr>
                <w:sz w:val="20"/>
                <w:szCs w:val="20"/>
                <w:color w:val="auto"/>
              </w:rPr>
            </w:pPr>
            <w:r>
              <w:rPr>
                <w:rFonts w:ascii="Arial" w:cs="Arial" w:eastAsia="Arial" w:hAnsi="Arial"/>
                <w:sz w:val="18"/>
                <w:szCs w:val="18"/>
                <w:color w:val="auto"/>
              </w:rPr>
              <w:t>1.18</w:t>
            </w:r>
          </w:p>
        </w:tc>
        <w:tc>
          <w:tcPr>
            <w:tcW w:w="820" w:type="dxa"/>
            <w:vAlign w:val="bottom"/>
          </w:tcPr>
          <w:p>
            <w:pPr>
              <w:spacing w:after="0"/>
              <w:rPr>
                <w:sz w:val="14"/>
                <w:szCs w:val="14"/>
                <w:color w:val="auto"/>
              </w:rPr>
            </w:pPr>
          </w:p>
        </w:tc>
        <w:tc>
          <w:tcPr>
            <w:tcW w:w="2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4"/>
              <w:spacing w:after="0"/>
              <w:rPr>
                <w:sz w:val="20"/>
                <w:szCs w:val="20"/>
                <w:color w:val="auto"/>
              </w:rPr>
            </w:pPr>
            <w:r>
              <w:rPr>
                <w:rFonts w:ascii="Arial" w:cs="Arial" w:eastAsia="Arial" w:hAnsi="Arial"/>
                <w:sz w:val="18"/>
                <w:szCs w:val="18"/>
                <w:color w:val="auto"/>
              </w:rPr>
              <w:t>7.99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12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Percentage NAV Dilution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7"/>
              </w:rPr>
              <w:t>per Share Experienced by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Stockholder A (NAV</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Dilution per Share</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7"/>
              </w:rPr>
              <w:t>Divided by Investment per</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14.01 %</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79,920.00 %</w:t>
            </w: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Assumes 5% in selling compensation and expenses paid by us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003" w:right="339" w:bottom="1440" w:gutter="0" w:footer="0" w:header="0"/>
          <w:type w:val="continuous"/>
        </w:sectPr>
      </w:pPr>
    </w:p>
    <w:bookmarkStart w:id="67" w:name="page68"/>
    <w:bookmarkEnd w:id="67"/>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440"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DRIP that provides for the reinvestment of dividends on behalf of our registered stockholders who hold their shares with American Stock Transfer and Trust Company, LLC, the plan administrator and our transfer agent and registrar. As a result, if we declare a cash dividend, our registered stockholders who have “opted in” to our DRIP by the dividend record date will have their cash dividend automatically reinvested into additional shares of our common stock.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reinvestment of dividends, participating stockholders have the option of purchasing additional shares of common stock on a periodic basis through our DRIP. A participating stockholder may elect to invest from $100 to $10,000 in any calendar month into the plan by sending occasional cash payments or by authorizing monthly automatic cash withdrawals from the participants checking, savings or other bank accounts.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order to participate in the DRIP, a holder of record of 25 or more shares must sign and return an authorization form to the plan administrator.</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 requirements of our DRIP may be satisfied through open market purchases of common stock by the plan administrator. Shares purchased in the open market to satisfy the DRIP requirements will be valued based upon the average price of the applicable shares purchased by the plan administrator, before any associated brokerage or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the DRIP will only pay their share of brokerage costs. We will pay the plan administrator’s fees under the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Stockholders who receive dividends in the form of stock generally are subject to the same U.S. federal, state and local tax consequences as are stockholders who elect to receive their dividends in cash. A stockholder’s basis for determining gain or loss upon the sale of stock received in a dividend from us will be equal to the total dollar amount of the dividend payable to the stockholder. Any stock received in a dividend will have a holding period for tax purposes commencing on the day following the day on which the shares are credited to the U.S. stockholder’s account.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the bottom of their statement and sending it to the plan administrator at American Stock Transfer &amp; Trust Company, LLC, Dividend Reinvestment Dept., Wall Street Station, P.O. Box 922, New York, NY 10269-0560 or by calling the plan administrators at (888) 666-0141. If notice of termination is received less than five (5) business days before a dividend record date, the plan administrator may not be able to process participant’s notice until after the reinvestment of that dividend.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terminate the plan upon notice in writing mailed to each participant at least 30 days prior to any record date for the payment of any dividend by us. All correspondence concerning the plan should be directed to the plan administrator by mail at American Stock Transfer &amp; Trust Company, LLC, Dividend Reinvestment Dept., Wall Street Station, P.O. Box 922, New York, NY 10269-0560 or by telephone at (888) 666-0141.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9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description is based on relevant portions of the Texas Business Organizations Code, or TBOC, and our articles of incorporation, as amended, which we refer to as our charter, and our amended and restated bylaws, as amended, which we refer to as our bylaws. This summary may not contain all of the information that is important to you, and we refer you to the TBOC, our charter and bylaws for a more detailed description of the provisions summarized below. We urge you to read the applicable prospectus supplement and any related free writing prospectus that we may authorize to be provided to you related to any shares of our capital stock being offered.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40,000,000 shares of common stock, par value $0.25 per share. Set forth below is a chart describing the classes of our common stock outstanding as of August 9, 2019:</w:t>
      </w: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214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21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135"/>
        </w:trPr>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Title of Class</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Amount Authorized</w:t>
            </w:r>
          </w:p>
        </w:tc>
        <w:tc>
          <w:tcPr>
            <w:tcW w:w="2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Amount Held by us or for Our</w:t>
            </w: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88"/>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Account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5"/>
              </w:rPr>
              <w:t>Amount Under Column 3</w:t>
            </w:r>
          </w:p>
        </w:tc>
        <w:tc>
          <w:tcPr>
            <w:tcW w:w="0" w:type="dxa"/>
            <w:vAlign w:val="bottom"/>
          </w:tcPr>
          <w:p>
            <w:pPr>
              <w:spacing w:after="0"/>
              <w:rPr>
                <w:sz w:val="1"/>
                <w:szCs w:val="1"/>
                <w:color w:val="auto"/>
              </w:rPr>
            </w:pPr>
          </w:p>
        </w:tc>
      </w:tr>
      <w:tr>
        <w:trPr>
          <w:trHeight w:val="224"/>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40,000,000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2,339,512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17,697,057</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Shares Outstanding. </w:t>
      </w:r>
      <w:r>
        <w:rPr>
          <w:rFonts w:ascii="Arial" w:cs="Arial" w:eastAsia="Arial" w:hAnsi="Arial"/>
          <w:sz w:val="18"/>
          <w:szCs w:val="18"/>
          <w:color w:val="auto"/>
        </w:rPr>
        <w:t>As of August 9, 2019, we had 20,036,569 issued and 17,697,057 outstanding shares of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Holders of our common stock are entitled to dividends or other distributions, as declared by our board of directors from time to time, in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or common stock subject to the provisions of Texas law, our charter or our bylaws.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holders of our common stock are entitled to one vote for each share held of record on all matters submitted to a vote at a meeting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In matters other than the election of directors, stockholder approval requires the affirmative vote of a majority of the voting power of our common stock present in person or represented by proxy at the meeting and entitled to vote on the matter, voting as a single class, unless the matter is one upon which, by express provision of Texas law, our charter or our bylaws, a different vote is required.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Liquidation Rights: </w:t>
      </w:r>
      <w:r>
        <w:rPr>
          <w:rFonts w:ascii="Arial" w:cs="Arial" w:eastAsia="Arial" w:hAnsi="Arial"/>
          <w:sz w:val="18"/>
          <w:szCs w:val="18"/>
          <w:color w:val="auto"/>
        </w:rPr>
        <w:t>In the event of our liquidation, the holders of our common stock will be entitled to share ratably in any assets remaining after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 debts and other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Our common stock has no preemptive or conversion rights and is not entitled to the benefits of any redemption or sinking fund provision.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our common stock are fully paid and non-assessable.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Law, Our Charter and Our Bylaws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Amendment of Articles of Incorporation: </w:t>
      </w:r>
      <w:r>
        <w:rPr>
          <w:rFonts w:ascii="Arial" w:cs="Arial" w:eastAsia="Arial" w:hAnsi="Arial"/>
          <w:sz w:val="18"/>
          <w:szCs w:val="18"/>
          <w:color w:val="auto"/>
        </w:rPr>
        <w:t>The TBOC provides that an amendment to the charter must be recommended by the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by the affirmative vote of the holders of at least two-thirds of the outstanding shares of the corporation, unless a different threshold, not less than a majority, is specified in the charter. Our charter does not provide for a different threshold.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Amendment of Bylaws: </w:t>
      </w:r>
      <w:r>
        <w:rPr>
          <w:rFonts w:ascii="Arial" w:cs="Arial" w:eastAsia="Arial" w:hAnsi="Arial"/>
          <w:sz w:val="18"/>
          <w:szCs w:val="18"/>
          <w:color w:val="auto"/>
        </w:rPr>
        <w:t>The TBOC, our charter and bylaws provide that our bylaws may be amended by action of the shareholders or action of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Director Elections: </w:t>
      </w:r>
      <w:r>
        <w:rPr>
          <w:rFonts w:ascii="Arial" w:cs="Arial" w:eastAsia="Arial" w:hAnsi="Arial"/>
          <w:sz w:val="16"/>
          <w:szCs w:val="16"/>
          <w:color w:val="auto"/>
        </w:rPr>
        <w:t>Our bylaws provide that directors are elected by a majority of the votes cast at a meeting of stockholders at which a quorum is present.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charter does not permit cumulative voting for the election of directors.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Term of Directors: </w:t>
      </w:r>
      <w:r>
        <w:rPr>
          <w:rFonts w:ascii="Arial" w:cs="Arial" w:eastAsia="Arial" w:hAnsi="Arial"/>
          <w:sz w:val="17"/>
          <w:szCs w:val="17"/>
          <w:color w:val="auto"/>
        </w:rPr>
        <w:t>Our bylaws provide that directors are elected at each annual meeting of shareholders and hold office until the next succeeding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meeting, and until such director’s successor is elected and qualified, or until the earlier death, resignation, or removal of such director.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91"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Number of Directors: </w:t>
      </w:r>
      <w:r>
        <w:rPr>
          <w:rFonts w:ascii="Arial" w:cs="Arial" w:eastAsia="Arial" w:hAnsi="Arial"/>
          <w:sz w:val="18"/>
          <w:szCs w:val="18"/>
          <w:color w:val="auto"/>
        </w:rPr>
        <w:t>Our bylaws provide that the number of directors is determined by resolution of the board of directors, except that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may not fill more than two directorships resulting from an increase in the size of the board during the period between any two successive annual meetings of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Our charter provides that shareholders may remove directors only for cause by the affirmative vote of two-thirds of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entitled to vote.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Board Vacancies: </w:t>
      </w:r>
      <w:r>
        <w:rPr>
          <w:rFonts w:ascii="Arial" w:cs="Arial" w:eastAsia="Arial" w:hAnsi="Arial"/>
          <w:sz w:val="18"/>
          <w:szCs w:val="18"/>
          <w:color w:val="auto"/>
        </w:rPr>
        <w:t>Our bylaws provide that vacancies may be filled by an election at an annual or special meeting of the shareholders or by the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remaining directors although less than a quorum.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Shareholder Vote - Nature of the Business: </w:t>
      </w:r>
      <w:r>
        <w:rPr>
          <w:rFonts w:ascii="Arial" w:cs="Arial" w:eastAsia="Arial" w:hAnsi="Arial"/>
          <w:sz w:val="18"/>
          <w:szCs w:val="18"/>
          <w:color w:val="auto"/>
        </w:rPr>
        <w:t>Our charter provides that CSWC is organized and chartered expressly for the purpose of operating either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investment company under the 1940 Act or as a business development company under the 1940 Act. The affirmative vote of the holders of at least two-thirds of the outstanding shares of common stock are necessary to change the nature of the business of the Company so that it will cease to be either a management investment company or a business development company.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The TBOC provides that shareholders may act by written consent if all of the shareholders execute a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setting forth the action, unless the charter provides the shareholders may act by less than unanimous written consent. Our charter does not vary from the TBOC in this regard.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Special Meeting of Shareholders: </w:t>
      </w:r>
      <w:r>
        <w:rPr>
          <w:rFonts w:ascii="Arial" w:cs="Arial" w:eastAsia="Arial" w:hAnsi="Arial"/>
          <w:sz w:val="17"/>
          <w:szCs w:val="17"/>
          <w:color w:val="auto"/>
        </w:rPr>
        <w:t>Our bylaws provide that the Chairman of the board of directors, the president, the board of directors, or the holders of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least 10% of all the outstanding shares entitled to vote at the proposed special meeting may call a special meeting of shareholders.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Classification of Stock: </w:t>
      </w:r>
      <w:r>
        <w:rPr>
          <w:rFonts w:ascii="Arial" w:cs="Arial" w:eastAsia="Arial" w:hAnsi="Arial"/>
          <w:sz w:val="18"/>
          <w:szCs w:val="18"/>
          <w:color w:val="auto"/>
        </w:rPr>
        <w:t>None of the TBOC, our charter or our bylaws contain any provisions authorizing the board of directors to classify unissued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Business Combination Statute: </w:t>
      </w:r>
      <w:r>
        <w:rPr>
          <w:rFonts w:ascii="Arial" w:cs="Arial" w:eastAsia="Arial" w:hAnsi="Arial"/>
          <w:sz w:val="17"/>
          <w:szCs w:val="17"/>
          <w:color w:val="auto"/>
        </w:rPr>
        <w:t>Section 21.606 of the TBOC restricts certain business combinations between us and an affiliated shareholder (beneficial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20% or more of the voting power of our stock entitled to vote for directors) for three years after the shareholder becomes an affiliated shareholder. The restrictions do not apply if the board of directors approved the transaction that caused the shareholder to become an affiliated shareholder or if the business combination is approved by the affirmative vote of two-thirds of our voting stock that is not beneficially owned by the affiliated shareholder at a meeting of shareholders called for that purpose within six months of the affiliated shareholder’s acquiring the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charter further provides that the above referenced statute shall not be applicable if:</w:t>
      </w:r>
    </w:p>
    <w:p>
      <w:pPr>
        <w:spacing w:after="0" w:line="23" w:lineRule="exact"/>
        <w:rPr>
          <w:sz w:val="20"/>
          <w:szCs w:val="20"/>
          <w:color w:val="auto"/>
        </w:rPr>
      </w:pPr>
    </w:p>
    <w:p>
      <w:pPr>
        <w:jc w:val="both"/>
        <w:ind w:left="660" w:hanging="328"/>
        <w:spacing w:after="0" w:line="250"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combination is solely between the Company and another corporation, fifty percent or more of the voting stock of which is owned, directly or indirectly, by the corporation and none of the voting stock of which is owned, directly or indirectly by a “Related Person” (as defined in our charter) with whom the combination is proposed; or</w:t>
      </w:r>
    </w:p>
    <w:p>
      <w:pPr>
        <w:spacing w:after="0" w:line="1" w:lineRule="exact"/>
        <w:rPr>
          <w:rFonts w:ascii="Arial" w:cs="Arial" w:eastAsia="Arial" w:hAnsi="Arial"/>
          <w:sz w:val="18"/>
          <w:szCs w:val="18"/>
          <w:color w:val="auto"/>
        </w:rPr>
      </w:pPr>
    </w:p>
    <w:p>
      <w:pPr>
        <w:ind w:left="660" w:hanging="328"/>
        <w:spacing w:after="0" w:line="323"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certain fair price and terms conditions are met, (b) the shareholder has not received any loans, financial assistance or tax advantages from the Company and (c) a proxy statement is mailed 40 days prior to the meeting that includes a board recommendation and fairness opinion.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charter, as amended, provides for indemnification for persons who are or were a director, officer or employee of CSWC or CSMC against any and all judgments, penalties (including excise and similar taxes), fines, settlements and reasonable expenses actually incurred by such person in connection with any threatened, pending or completed action, suit or proceeding, whether civil, criminal, administrative, arbitrative or investigative, any appeal in such action, suit or proceeding, and any inquiry or investigation that could lead to such action, suit or proceeding, on account of such person’s service as a director officer or employee of CSWC or CSMC, or service at the request of CSWC or CSMC as a director, officer, partner, venturer, proprietor, trustee, employee, agent or similar functionary of another foreign or domestic corporation, partnership, joint venture, sole proprietorship, trust, employee benefit plan or other enterprise all to the fullest extent permitted by Texas law. The charter provides that we must not provide indemnification to the extent not prohibited by the 1940 Act.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Texas law requires a corporation to indemnify a director or officer against reasonable expenses actually incurred by him or her in connection with a threatened, pending, or completed action or other proceeding in which he or she is a named defendant or respondent because he or she is or was a director or officer if he or she has been wholly successful, on the merits or otherwise,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11"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7"/>
          <w:szCs w:val="17"/>
          <w:color w:val="auto"/>
        </w:rPr>
        <w:t>in the defense of the action or proceeding. Texas law permits a corporation to indemnify a director or former director against judgments and expenses reasonably and actually incurred by the person in connection with a proceeding if the person (i) acted in good faith, (ii) reasonably believed, in the case of conduct in the person’s official capacity, that the person’s conduct was in the corporation’s best interests, and otherwise, that the person’s conduct was not opposed to the corporation’s best interests, and (iii) in the case of a criminal proceeding, did not have a reasonable cause to believe the person’s conduct was unlawful. If, however, the person is found liable to the corporation, or is found liable on the basis that such person received an improper personal benefit, then indemnification under Texas law is limited to the reimbursement of reasonable expenses actually incurred, and no indemnification will be available if the person is found liable for (i) willful or intentional misconduct in the performance of the person’s duty to the corporation, (ii) breach of the person’s duty of loyalty owed to the corporation, or (iii) an act or omission not committed in good faith that constitutes a breach of a duty owed by the person to the corporation. In addition, Texas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charter authorizes us to purchase or maintain insurance against any liability asserted against a director, officer or employee of the Company. We have obtained primary and excess insurance policies insuring our directors and officers against certain liabilities they may incur in their capacity as directors and officers. Under such policies, the insurer, on our behalf, may also pay amounts for which we have granted indemnification to the directors or officers.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under the ticker symbol “CSWC.”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1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required by U.S.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the debt securities.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attached to the registration statement of which this prospectus is a part. We urge you to read the indenture, including any supplemental indenture applicable to the debt securities, because it, and not this description, defines rights of a holder of debt securities. See “Available Information” for information on how to obtain a copy of the indenture.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by including, among other things:</w:t>
      </w:r>
    </w:p>
    <w:p>
      <w:pPr>
        <w:spacing w:after="0" w:line="62"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$2,000 and integral multiple of $1,000 thereof);</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for defeasance, covenant defeasance or discharge;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special U.S. federal income tax implications, including, if applicable, U.S. federal income tax considerations relating to original issue discount;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91" w:right="339" w:bottom="1440" w:gutter="0" w:footer="0" w:header="0"/>
        </w:sectPr>
      </w:pPr>
    </w:p>
    <w:bookmarkStart w:id="73" w:name="page74"/>
    <w:bookmarkEnd w:id="73"/>
    <w:p>
      <w:pPr>
        <w:ind w:left="660" w:hanging="328"/>
        <w:spacing w:after="0" w:line="308"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our asset coverage, as defined in the 1940 Act, equals at least 200% (or 150% if, pursuant to the 1940 Act, certain requirements are met) after each issuance of debt. In accordance with the 1940 Act, on April 25, 2018, our Board of Directors, including a “required majority” (as such term is defined in Section 57(o) of the 1940 Act) of our Board of Directors, approved the application of the modified asset coverage requirements set forth in Section 61(a)(2) of the 1940 Act. As a result, the minimum asset coverage ratio applicable to the Company was decreased from 200% to 150%, which became effective on April 25, 2019. The Board also approved a resolution which limits the Company’s issuance of senior securities such that the asset coverage ratio, taking into account such issuance, would not be less than 166%, at any time after the effective date. For a discussion of the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may be issued under the indenture in one or more series.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you to the applicable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usually issue debt securities in book entry only form represented by global securities and will specify the method of issuance in the applicable prospectus supplement.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003" w:right="339" w:bottom="1440" w:gutter="0" w:footer="0" w:header="0"/>
        </w:sectPr>
      </w:pPr>
    </w:p>
    <w:bookmarkStart w:id="74" w:name="page75"/>
    <w:bookmarkEnd w:id="74"/>
    <w:p>
      <w:pPr>
        <w:jc w:val="both"/>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specified in the prospectus supplement, we will pay interest to the person listed in the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the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Securities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You will have rights if an Event of Default occurs in respect of the debt securities of your series and is not cured, as described later in this subsection.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applicable prospectus supplement or supplemental indenture relating to such debt securities states otherwise):</w:t>
      </w:r>
    </w:p>
    <w:p>
      <w:pPr>
        <w:spacing w:after="0" w:line="6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within 2 business days of its due date;</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5"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file for bankruptcy or certain other events of bankruptcy, insolvency or reorganization occur and, in the case of certain orders or decrees entered against us under any bankruptcy law, such order or decree remains undischarged or unstayed for a period of 60 days;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03" w:right="339" w:bottom="1440" w:gutter="0" w:footer="0" w:header="0"/>
        </w:sectPr>
      </w:pPr>
    </w:p>
    <w:bookmarkStart w:id="75" w:name="page76"/>
    <w:bookmarkEnd w:id="75"/>
    <w:p>
      <w:pPr>
        <w:ind w:left="660" w:right="20" w:hanging="328"/>
        <w:spacing w:after="0" w:line="342"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series of debt securities issued under the indenture has an asset coverage, as such term is defined in the 1940 Act, of less than 100 per centum on the last business day of each of twenty-four consecutive calendar months; giving effect to any exemptive relief granted to us by the SEC; or</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the prospectus supplement specifies otherwise, if an Event of Default has occurred and has not been cured, the trustee or the holders of at least 25% in principal amount of the debt securities of the affected series may (and the trustee shall at the request of such holders) declare the entire principal amount of all the debt securities of that series to be due and immediately payable, but does not entitle any holder to any redemption payout or redemption premium. This is called a declaration of acceleration of maturity. A declaration of acceleration of maturity may be canceled by the holders of a majority in principal amount of the debt securities of the affected series if (1) we have deposited with the trustee all amounts due and owing with respect to the securities (other than principal or payments that have become due solely by reason of such acceleration) and certain other amounts, and (2) all Events of Default have been cured or waived.</w:t>
      </w:r>
    </w:p>
    <w:p>
      <w:pPr>
        <w:spacing w:after="0" w:line="3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2" w:lineRule="exact"/>
        <w:rPr>
          <w:sz w:val="20"/>
          <w:szCs w:val="20"/>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with respect to the relevant series of debt securities has occurred and remains uncured;</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of that series must not have given the trustee a direction inconsistent with the above notice during that 60-day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1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respect of the payment of principal, any premium or interest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003" w:right="3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2" w:lineRule="exact"/>
        <w:rPr>
          <w:sz w:val="20"/>
          <w:szCs w:val="20"/>
          <w:color w:val="auto"/>
        </w:rPr>
      </w:pPr>
    </w:p>
    <w:p>
      <w:pPr>
        <w:ind w:left="660" w:right="2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of our assets, the resulting entity must agree to be legally responsible for our obligations under the debt securities;</w:t>
      </w:r>
    </w:p>
    <w:p>
      <w:pPr>
        <w:spacing w:after="0" w:line="6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any of the foregoing,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(3) any conversion by us or a subsidiary from a limited liability company, corporation, limited partnership or similar entity to a limited liability company, corporation, limited partnership or similar entity, whether the converting entity and converted entity are formed under the laws of the same state or a different state; or (4) any combination of (1) through (3)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First, there are changes that we cannot make to your debt securities without your specific approval. The following is a list of those types of changes:</w:t>
      </w:r>
    </w:p>
    <w:p>
      <w:pPr>
        <w:spacing w:after="0" w:line="35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or the terms of any sinking fund with respect to any security;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holders of the outstanding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17" w:lineRule="exact"/>
        <w:rPr>
          <w:rFonts w:ascii="Arial" w:cs="Arial" w:eastAsia="Arial" w:hAnsi="Arial"/>
          <w:sz w:val="18"/>
          <w:szCs w:val="18"/>
          <w:color w:val="auto"/>
        </w:rPr>
      </w:pPr>
    </w:p>
    <w:p>
      <w:pPr>
        <w:jc w:val="both"/>
        <w:ind w:left="660" w:right="3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w:t>
      </w:r>
    </w:p>
    <w:p>
      <w:pPr>
        <w:spacing w:after="0" w:line="75"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with the consent of holders, waiver of past defaults, or the waiver of certain covenants;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003" w:right="339" w:bottom="1440" w:gutter="0" w:footer="0" w:header="0"/>
        </w:sectPr>
      </w:pPr>
    </w:p>
    <w:bookmarkStart w:id="77" w:name="page78"/>
    <w:bookmarkEnd w:id="77"/>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corrections in the indenture to match this “Description of our Debt Securities” or a similar section in any prospectus supplement,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28"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“-Changes Requiring Your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17" w:lineRule="exact"/>
        <w:rPr>
          <w:sz w:val="20"/>
          <w:szCs w:val="20"/>
          <w:color w:val="auto"/>
        </w:rPr>
      </w:pPr>
    </w:p>
    <w:p>
      <w:pPr>
        <w:ind w:left="660" w:right="24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the principal face amount at original issuance or a special rule for that debt security described in the prospectus supplement.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“Defeasance-Full Defeasance.”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current U.S. federal tax law and the indenture, we can make the deposit described below and be released from some of the restrictive covenants in the indenture under which the particular series was issued. This is called “covenant defeasance”.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03" w:right="339" w:bottom="1440" w:gutter="0" w:footer="0" w:header="0"/>
        </w:sectPr>
      </w:pPr>
    </w:p>
    <w:bookmarkStart w:id="78" w:name="page79"/>
    <w:bookmarkEnd w:id="78"/>
    <w:p>
      <w:pPr>
        <w:jc w:val="both"/>
        <w:spacing w:after="0" w:line="263" w:lineRule="auto"/>
        <w:rPr>
          <w:sz w:val="20"/>
          <w:szCs w:val="20"/>
          <w:color w:val="auto"/>
        </w:rPr>
      </w:pPr>
      <w:r>
        <w:rPr>
          <w:rFonts w:ascii="Arial" w:cs="Arial" w:eastAsia="Arial" w:hAnsi="Arial"/>
          <w:sz w:val="18"/>
          <w:szCs w:val="18"/>
          <w:color w:val="auto"/>
        </w:rPr>
        <w:t>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76" w:lineRule="exact"/>
        <w:rPr>
          <w:sz w:val="20"/>
          <w:szCs w:val="20"/>
          <w:color w:val="auto"/>
        </w:rPr>
      </w:pPr>
    </w:p>
    <w:p>
      <w:pPr>
        <w:jc w:val="both"/>
        <w:ind w:left="660" w:hanging="328"/>
        <w:spacing w:after="0" w:line="301"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4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and officers’ certificate stating that all conditions precedent to covenant defeasance have been complied with.</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the indenture or any of our other material agreements or instruments.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debt securities shall have occurred and be continuing and no defaults or events of default related to bankruptcy, insolvency or reorganization shall occur during the next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Satisfy the conditions for covenant defeasance contained in any supplemental indentures.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there is a change in U.S. federal tax law or we obtain ruling from the U.S. Internal Revenue Service (the "IRS"), as described below, we can legally release ourselves from all payment and other obligations on the debt securities of a particular series (called “full defeasance”) if we put in place the following other arrangements for you to be repaid:</w:t>
      </w:r>
    </w:p>
    <w:p>
      <w:pPr>
        <w:spacing w:after="0" w:line="76" w:lineRule="exact"/>
        <w:rPr>
          <w:sz w:val="20"/>
          <w:szCs w:val="20"/>
          <w:color w:val="auto"/>
        </w:rPr>
      </w:pPr>
    </w:p>
    <w:p>
      <w:pPr>
        <w:jc w:val="both"/>
        <w:ind w:left="660" w:hanging="328"/>
        <w:spacing w:after="0" w:line="301"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49"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and officers’ certificate stating that all conditions precedent to defeasance have been complied with.</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the indenture or any of our other material agreements or instruments.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debt securities shall have occurred and be continuing and no defaults or events of default related to bankruptcy, insolvency or reorganization shall occur during the next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Satisfy the conditions for full defeasance contained in any supplemental indentures.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If applicable, you would also be released from the subordination provisions described later under “Indenture Provisions-Subordination.”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1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minimum denominations of $2,000 and increased amounts that are multiples of $1,000.</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 and Senior Indebtedness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on)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111" w:right="339" w:bottom="1440" w:gutter="0" w:footer="0" w:header="0"/>
          <w:type w:val="continuous"/>
        </w:sectPr>
      </w:pPr>
    </w:p>
    <w:bookmarkStart w:id="80" w:name="page81"/>
    <w:bookmarkEnd w:id="80"/>
    <w:p>
      <w:pPr>
        <w:jc w:val="both"/>
        <w:spacing w:after="0" w:line="257" w:lineRule="auto"/>
        <w:rPr>
          <w:sz w:val="20"/>
          <w:szCs w:val="20"/>
          <w:color w:val="auto"/>
        </w:rPr>
      </w:pPr>
      <w:r>
        <w:rPr>
          <w:rFonts w:ascii="Arial" w:cs="Arial" w:eastAsia="Arial" w:hAnsi="Arial"/>
          <w:sz w:val="18"/>
          <w:szCs w:val="18"/>
          <w:color w:val="auto"/>
        </w:rPr>
        <w:t>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17" w:lineRule="exact"/>
        <w:rPr>
          <w:sz w:val="20"/>
          <w:szCs w:val="20"/>
          <w:color w:val="auto"/>
        </w:rPr>
      </w:pPr>
    </w:p>
    <w:p>
      <w:pPr>
        <w:jc w:val="both"/>
        <w:ind w:left="660" w:hanging="328"/>
        <w:spacing w:after="0" w:line="25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In the event of a distribution of our assets upon our insolvency, the holders of unsecured indenture securities may recover less, ratably, than holders of any of our secured indebtedness.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Depository Trust Company, or DTC, will act as securities depositary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11" w:right="3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both U.S. and non-U.S. securities brokers and dealers, banks, trust companies, clearing corporations, and certain other organizations. DTC is a wholly-owned subsidiary of The Depository Trust &amp; Clearing Corporation, or DTCC.</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Standard &amp; Poor’s Ratings Services’ highest rating: AAA. The DTC Rules applicable to its participants are on file with the SEC. More information about DTC can be found at </w:t>
      </w:r>
      <w:r>
        <w:rPr>
          <w:rFonts w:ascii="Arial" w:cs="Arial" w:eastAsia="Arial" w:hAnsi="Arial"/>
          <w:sz w:val="17"/>
          <w:szCs w:val="17"/>
          <w:i w:val="1"/>
          <w:iCs w:val="1"/>
          <w:color w:val="auto"/>
        </w:rPr>
        <w:t>www.dtcc.com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www.dtc.org</w:t>
      </w:r>
      <w:r>
        <w:rPr>
          <w:rFonts w:ascii="Arial" w:cs="Arial" w:eastAsia="Arial" w:hAnsi="Arial"/>
          <w:sz w:val="17"/>
          <w:szCs w:val="17"/>
          <w:color w:val="auto"/>
        </w:rPr>
        <w:t>.</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111"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019"/>
          </w:cols>
          <w:pgMar w:left="1440" w:top="1440"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discussion is a general summary of certain U.S. federal income tax considerations applicable to us and to an investment in our shares.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shareholders subject to the alternative minimum tax, tax-exempt organizations, insurance companies, dealers in securities, pension plans and trusts, financial institutions, U.S. shareholders (as defined below) whose functional currency is not the U.S. dollar, persons who mark-to-market our shares and persons who hold our shares as part of a “straddle,” “hedge” or “conversion” transaction. This summary assumes that investors hold shares of our common stock as capital assets (within the meaning of the Code). This discussion also does not address the U.S. federal income tax consequences to holders subject to the special tax accounting rules under Section 451(b)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our discussion, a “U.S. shareholder” means a beneficial owner of shares of our common stock that is for U.S. federal income tax purposes:</w:t>
      </w:r>
    </w:p>
    <w:p>
      <w:pPr>
        <w:spacing w:after="0" w:line="140" w:lineRule="exact"/>
        <w:rPr>
          <w:sz w:val="20"/>
          <w:szCs w:val="20"/>
          <w:color w:val="auto"/>
        </w:rPr>
      </w:pPr>
    </w:p>
    <w:p>
      <w:pPr>
        <w:ind w:left="480" w:hanging="310"/>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of the District of Columbia;</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the authority to control all substantial decisions of the trust or (2) it has a valid election in place to be treated as a U.S. person.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our discussion, a “Non-U.S. shareholder” means a beneficial owner of shares of our common stock that is neither a U.S. shareholder nor a partnership (including an entity treated as a partnership for U.S. federal income tax purposes).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(a “partnership”) holds shares of our common stock, the tax treatment of a partner or member of the partnership generally will depend upon the status of the partner or member and the activities of the partnership. A prospective shareholder that is a partner or member in a partnership holding shares of our common stock should consult his, her or its tax advisors with respect to the purchase, ownership and disposition of shares of our common stock.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to be Taxed as a RIC</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be treated as a RIC under Subchapter M of the Code. As a RIC, we generally are not subject to corporate-level U.S. federal income taxes on any income that we distribute to our shareholders from our tax earnings and profits. To qualify as a RIC, we must, among other things, meet certain source-of-income and asset diversification requirements (as described below). In addition, in order to obtain RIC tax treatment, we must distribute to our shareholders, for each taxable year, at least 90.0% of our “investment company taxable income,” which is generally our net ordinary income plus the excess, if any, of realized net short-term capital gain over realized net long-term capital loss, or the Annual Distribution Requirement. Even if we qualify as a RIC, we generally will be subject to corporate-level U.S. federal income tax on our undistributed taxable income and could be subject to U.S. federal excise, state, local and foreign taxes.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as a RIC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891" w:right="339" w:bottom="1440" w:gutter="0" w:footer="0" w:header="0"/>
        </w:sectPr>
      </w:pPr>
    </w:p>
    <w:bookmarkStart w:id="84" w:name="page85"/>
    <w:bookmarkEnd w:id="84"/>
    <w:p>
      <w:pPr>
        <w:jc w:val="both"/>
        <w:spacing w:after="0" w:line="311" w:lineRule="auto"/>
        <w:rPr>
          <w:sz w:val="20"/>
          <w:szCs w:val="20"/>
          <w:color w:val="auto"/>
        </w:rPr>
      </w:pPr>
      <w:r>
        <w:rPr>
          <w:rFonts w:ascii="Arial" w:cs="Arial" w:eastAsia="Arial" w:hAnsi="Arial"/>
          <w:sz w:val="16"/>
          <w:szCs w:val="16"/>
          <w:color w:val="auto"/>
        </w:rPr>
        <w:t>Provided that we qualify as a RIC, we will not be subject to U.S. federal income tax on the portion of our investment company taxable income and net capital gain (which we define as net long-term capital gain in excess of net short-term capital loss) that we timely distribute to shareholders. We will be subject to U.S. federal income tax at the regular corporate rates on any income or capital gain not distributed (or deemed distributed) to our shareholders.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be subject to a 4.0% nondeductible U.S. federal excise tax on certain undistributed income unless we distribute in a timely manner an amount at least equal to the sum of (1) 98.0% of our ordinary income for each calendar year, (2) 98.2% of our capital gain net income for the one year period ended October 31 and (3) any income and gains recognized, but not distributed, in preceding years and on which we paid no U.S. federal income tax.</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225" w:lineRule="exact"/>
        <w:rPr>
          <w:sz w:val="20"/>
          <w:szCs w:val="20"/>
          <w:color w:val="auto"/>
        </w:rPr>
      </w:pPr>
    </w:p>
    <w:p>
      <w:pPr>
        <w:ind w:left="940" w:hanging="325"/>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Meet the Annual Distribution Requirement;</w:t>
      </w:r>
    </w:p>
    <w:p>
      <w:pPr>
        <w:spacing w:after="0" w:line="23" w:lineRule="exact"/>
        <w:rPr>
          <w:rFonts w:ascii="Arial" w:cs="Arial" w:eastAsia="Arial" w:hAnsi="Arial"/>
          <w:sz w:val="18"/>
          <w:szCs w:val="18"/>
          <w:color w:val="auto"/>
        </w:rPr>
      </w:pPr>
    </w:p>
    <w:p>
      <w:pPr>
        <w:ind w:left="940" w:hanging="325"/>
        <w:spacing w:after="0" w:line="250" w:lineRule="auto"/>
        <w:tabs>
          <w:tab w:leader="none" w:pos="9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Qualify to be treated as a BDC or be registered as a management investment company under the 1940 Act at all times during each taxable year;</w:t>
      </w:r>
    </w:p>
    <w:p>
      <w:pPr>
        <w:jc w:val="both"/>
        <w:ind w:left="940" w:hanging="325"/>
        <w:spacing w:after="0" w:line="250" w:lineRule="auto"/>
        <w:tabs>
          <w:tab w:leader="none" w:pos="9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or other disposition of stock or other securities or foreign currencies or other income derived with respect to our business of investing in such stock, securities or currencies and net income derived from an interest in a “qualified publicly traded partnership” (as defined in the Code), or the 90% Income Test; and</w:t>
      </w:r>
    </w:p>
    <w:p>
      <w:pPr>
        <w:spacing w:after="0" w:line="1" w:lineRule="exact"/>
        <w:rPr>
          <w:rFonts w:ascii="Arial" w:cs="Arial" w:eastAsia="Arial" w:hAnsi="Arial"/>
          <w:sz w:val="18"/>
          <w:szCs w:val="18"/>
          <w:color w:val="auto"/>
        </w:rPr>
      </w:pPr>
    </w:p>
    <w:p>
      <w:pPr>
        <w:ind w:left="940" w:hanging="325"/>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 w:lineRule="exact"/>
        <w:rPr>
          <w:rFonts w:ascii="Arial" w:cs="Arial" w:eastAsia="Arial" w:hAnsi="Arial"/>
          <w:sz w:val="18"/>
          <w:szCs w:val="18"/>
          <w:color w:val="auto"/>
        </w:rPr>
      </w:pPr>
    </w:p>
    <w:p>
      <w:pPr>
        <w:jc w:val="both"/>
        <w:ind w:left="1580" w:hanging="317"/>
        <w:spacing w:after="0" w:line="250" w:lineRule="auto"/>
        <w:tabs>
          <w:tab w:leader="none" w:pos="1576"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spacing w:after="0" w:line="1" w:lineRule="exact"/>
        <w:rPr>
          <w:rFonts w:ascii="Arial" w:cs="Arial" w:eastAsia="Arial" w:hAnsi="Arial"/>
          <w:sz w:val="18"/>
          <w:szCs w:val="18"/>
          <w:color w:val="auto"/>
        </w:rPr>
      </w:pPr>
    </w:p>
    <w:p>
      <w:pPr>
        <w:jc w:val="both"/>
        <w:ind w:left="1580" w:hanging="317"/>
        <w:spacing w:after="0" w:line="253" w:lineRule="auto"/>
        <w:tabs>
          <w:tab w:leader="none" w:pos="1576"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(1) of one issuer (2) of two or more issuers that are controlled, as determined under applicable tax rules, by us and that are engaged in the same or similar or related trades or businesses or (3) of one or more “qualified publicly traded partnerships,” or the Diversification Tests.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we invest in entities treated as partnerships for U.S. federal income tax purposes (other than a “qualified publicly traded partnership”),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meet the 90% Income Test, we have established a wholly-owned subsidiary to hold assets from which we do not anticipate earning dividend, interest or other income under the 90% Income Test (the “Taxable Subsidiary”). We may establish additional subsidiaries for the same purpose in the future. Any investments held through a Taxable Subsidiary generally are subject to U.S. federal income and other taxes, and therefore we can expect to achieve a reduced after-tax yield on such investments.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a corresponding payment in cash. For example, if we hold debt obligations that are treated under applicable tax rules as having original issue discount (including debt instruments with payment-in-kind interest or, in certain cases, increasing interest rates or issued with warrants), we must include in income each year a portion of the original issue discount or payment-in-kind interest that accrues over the life of the obligation, regardless of whether cash representing such income is received by us in the same taxable year. We anticipate that a portion of our income may constitute original issue discount or other income required to be included in taxable income prior to receipt of cash.</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03"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capital or forgo new investment opportunities for this purpose. If we are not able to obtain cash from other sources, we may fail to qualify for RIC tax treatment and thus become subject to corporate-level U.S. federal income tax.</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with the work-out of a leveraged investment (which, while not free from doubt, may be treated as non-qualifying income) or the receipt of other non-qualifying income.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Investments by us in non-U.S. securities may be subject to non-U.S. income, withholding and other taxes, and therefore, our yield on any such securities may be reduced by such non-U.S. taxes. Shareholders generally will not be entitled to claim a credit or deduction with respect to non-U.S. taxes paid by us.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authorized to borrow funds and to sell assets in order to satisfy distribution requirements. Under the 1940 Act, we are not permitted to make distributions to our shareholders while our debt obligations and other senior securities are outstanding unless certain “asset coverage” tests are met. See “Regulation as a Business Development Company” in our most recently filed Annual Report on Form 10-K, as well as in subsequent filings we make with the SEC. Moreover, our ability to dispose of assets to meet our distribution requirements may be limited by (1) the illiquid nature of our portfolio and/or</w:t>
      </w:r>
    </w:p>
    <w:p>
      <w:pPr>
        <w:spacing w:after="0" w:line="1" w:lineRule="exact"/>
        <w:rPr>
          <w:sz w:val="20"/>
          <w:szCs w:val="20"/>
          <w:color w:val="auto"/>
        </w:rPr>
      </w:pPr>
    </w:p>
    <w:p>
      <w:pPr>
        <w:ind w:firstLine="8"/>
        <w:spacing w:after="0" w:line="323" w:lineRule="auto"/>
        <w:tabs>
          <w:tab w:leader="none" w:pos="263" w:val="left"/>
        </w:tabs>
        <w:numPr>
          <w:ilvl w:val="0"/>
          <w:numId w:val="74"/>
        </w:numPr>
        <w:rPr>
          <w:rFonts w:ascii="Arial" w:cs="Arial" w:eastAsia="Arial" w:hAnsi="Arial"/>
          <w:sz w:val="16"/>
          <w:szCs w:val="16"/>
          <w:color w:val="auto"/>
        </w:rPr>
      </w:pPr>
      <w:r>
        <w:rPr>
          <w:rFonts w:ascii="Arial" w:cs="Arial" w:eastAsia="Arial" w:hAnsi="Arial"/>
          <w:sz w:val="16"/>
          <w:szCs w:val="16"/>
          <w:color w:val="auto"/>
        </w:rPr>
        <w:t>other requirements relating to our status as a RIC, including the Diversification Tests. If we dispose of assets in order to meet the Annual Distribution Requirement or to avoid the excise tax, we may make such dispositions at times that, from an investment standpoint, are not advantageous.</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fail to satisfy the Annual Distribution Requirement or otherwise fail to qualify as a RIC in any taxable year, we will be subject to tax in that year on all of our taxable income, regardless of whether we make any distributions to our shareholders. In that case, all of such income will be subject to corporate-level U.S. federal income tax, reducing the amount available to be distributed to our shareholders. See “Failure To Obtain RIC Tax Treatment” below.</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a RIC, we are not allowed to carry forward or carry back a net operating loss for purposes of computing our investment company taxable income in other taxable years. U.S. federal income tax law generally permits a RIC to carry forward (1) the excess of its net short-term capital loss over its net long-term capital gain for a given year as a short-term capital loss arising on the first day of the following year and (2) the excess of its net long-term capital loss over its net short-term capital gain for a given year as a long-term capital loss arising on the first day of the following year. Future transactions we engage in may cause our ability to use any capital loss carryforwards, and unrealized losses once realized, to be limited under Section 382 of the Code. Certain of our investment practices may be subject to special and complex U.S. federal income tax provisions that may, among other things, (1) disallow, suspend or otherwise limit the allowance of certain losses or deductions, (2) convert lower taxed long-term capital gain and qualified dividend income into higher taxed short-term capital gain or ordinary income, (3) convert an ordinary loss or a deduction into a capital loss (the deductibility of which is more limited),</w:t>
      </w:r>
    </w:p>
    <w:p>
      <w:pPr>
        <w:spacing w:after="0" w:line="1" w:lineRule="exact"/>
        <w:rPr>
          <w:sz w:val="20"/>
          <w:szCs w:val="20"/>
          <w:color w:val="auto"/>
        </w:rPr>
      </w:pPr>
    </w:p>
    <w:p>
      <w:pPr>
        <w:jc w:val="both"/>
        <w:ind w:firstLine="8"/>
        <w:spacing w:after="0" w:line="253" w:lineRule="auto"/>
        <w:tabs>
          <w:tab w:leader="none" w:pos="2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be qualifying income for purposes of the 90% Income Test. We will monitor our transactions and may make certain tax elections in order to mitigate the effect of these provisions.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entity is a “qualified publicly traded partnership,” the net income derived from such investments will be qualifying income for purposes of the 90% Income Test and will be “securities” for purposes of the Diversification Tests. If the entity is not treated as a “qualified publicly traded partnership,” however,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qualification as a RIC. We intend to monitor our investments in equity securities of entities that are treated as partnerships for U.S. federal income tax purposes to prevent our disqualification as a RIC.</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invest in preferred securities or other securities the U.S. federal income tax treatment of which may not be clear or may be subject to recharacterization by the IRS. To the extent the tax treatment of such securities or the income from such securities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1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differs from the expected tax treatment, it could affect the timing or character of income recognized, requiring us to purchase or sell securities, or otherwise change our portfolio, in order to comply with the tax rules applicable to RICs under the Code.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shareholder. Under certain applicable provisions of the Code and the Treasury regulations, distributions payable in cash or in shares of stock at the election of shareholders are treated as taxable dividends. The IRS has issued a revenue procedure indicating that this rule will apply where the total amount of cash to be distributed is not less than 20.0% of the total distribution. Under this revenue procedure, if too many shareholders elect to receive their distributions in cash, each such shareholder would receive a pro rata share of the total cash to be distributed and would receive the remainder of their distribution in shares of stock. If we decide to make any distributions consistent with this revenue procedure that are payable in part in our stock, taxable shareholders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in order to pay this tax, the sales proceeds may be less than the amount included in income with respect to the dividend, depending on the market price of our stock at the time of the sale. Furthermore, with respect to Non-U.S. shareholders, we may be required to withhold U.S. tax with respect to such dividends, including in respect of all or a portion of such dividend that is payable in stock. If a significant number of our shareholders determine to sell shares of our stock in order to pay taxes owed on dividends, it may put downward pressure on the trading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Maintain RIC Tax Treatment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that year if certain relief provisions are applicable (which may, among other things, require us to pay certain corporate-level U.S. federal income taxes or to dispose of certain assets).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were unable to maintain tax treatment as a RIC, we would be subject to tax on all of our taxable income at regular corporate rates. We would not be able to deduct distributions to shareholders, nor would they be required to be made. Distributions would generally be taxable to our shareholders as dividend income to the extent of our current and accumulated earnings and profits (in the case of non-corporate U.S. shareholders, generally at a maximum U.S. federal income tax rate applicable to qualified dividend income of 20.0%). Subject to certain limitations under the Code, corporate distributees would be eligible for the dividends-received deduction. Distributions in excess of our current and accumulated earnings and profits would be treated first as a return of capital to the extent of the shareholder’s tax basis, and any remaining distributions would be treated as a capital gain.</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fail to meet the RIC requirements for more than two consecutive years and then, seek to re-qualify as a RIC, we would be subject to corporate-level U.S. federal income taxation on any built-in gain recognized during the succeeding 5-year period unless we made a special election to recognize all that built-in gain upon our re-qualification as a RIC and to pay the corporate-level U.S. federal income tax on that built-in gain.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Shareholders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Whether an investment in shares of our common stock is appropriate for a U.S. shareholder will depend upon that person’s particular circumstances. An investment in shares of our common stock by a U.S. shareholder may have adverse tax consequences. The following summary generally describes certain U.S. federal income tax consequences of an investment in shares of our common stock by taxable U.S. shareholders and not by U.S. shareholders that are generally exempt from U.S. federal income taxation. U.S. shareholders should consult their own tax advisors before making an investment in our common stock.</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Distributions by us generally are taxable to U.S. shareholders as ordinary income or capital gain. Distributions of our “investment company taxable income” (which generally is our ordinary income excluding net capital gain) will be taxable as ordinary income to U.S. shareholders to the extent of our current or accumulated earnings and profits, whether paid in cash or reinvested in additional common stock. To the extent such distributions paid by us to non-corporate U.S. shareholders (including individuals) are attributable to dividends from U.S. corporations and certain qualified foreign corporations, such distributions generally will be eligible for taxation at rates applicable to “qualifying dividends” at a maximum U.S. federal income tax rate of 20.0% provided that we properly report such distribution as “qualified dividend income” in a written statement furnished to our shareholders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111" w:right="339" w:bottom="1440" w:gutter="0" w:footer="0" w:header="0"/>
        </w:sectPr>
      </w:pPr>
    </w:p>
    <w:bookmarkStart w:id="87" w:name="page88"/>
    <w:bookmarkEnd w:id="87"/>
    <w:p>
      <w:pPr>
        <w:jc w:val="both"/>
        <w:spacing w:after="0" w:line="296" w:lineRule="auto"/>
        <w:rPr>
          <w:sz w:val="20"/>
          <w:szCs w:val="20"/>
          <w:color w:val="auto"/>
        </w:rPr>
      </w:pPr>
      <w:r>
        <w:rPr>
          <w:rFonts w:ascii="Arial" w:cs="Arial" w:eastAsia="Arial" w:hAnsi="Arial"/>
          <w:sz w:val="16"/>
          <w:szCs w:val="16"/>
          <w:color w:val="auto"/>
        </w:rPr>
        <w:t>capital gain (which generally is our net long-term capital gain in excess of net short-term capital loss) properly designated by us as “capital gain dividends” will be taxable to a U.S. shareholder as long-term capital gain (at a maximum U.S. federal income tax rate of 20.0% in the case of individuals, trusts or estates), regardless of the U.S. shareholder’s holding period for his, her or its common stock and regardless of whether paid in cash or reinvested in additional common stock. Distributions in excess of our current and accumulated earnings and profits first will reduce a U.S. shareholder’s adjusted tax basis in such shareholder’s common stock and, after the adjusted basis is reduced to zero, will constitute capital gain to such U.S. shareholder.</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lieu of actually distributing our realized net capital gains, we may retain some or all of our long-term capital gain and elect to be deemed to have made a distribution of the retained portion to our shareholders (a “deemed distribution”) under the “designated undistributed capital gains” rule of the Code. In that case, among other consequences, we will pay tax on the retained amount, each U.S. shareholder will be required to include his, her or its proportionate share of the deemed distribution in income as if it had been actually distributed to the U.S. shareholder, and the U.S. shareholder will be entitled to claim a credit equal to his, her or its allocable share of the tax paid thereon by us. The amount of the deemed distribution net of such tax will be added to the U.S. shareholder’s tax basis for his, her or its common stock. We expect to pay tax on any retained capital gain at our regular corporate tax rate. If the amount of tax that we pay and for which a shareholder receives a credit exceeds the tax a shareholder owes on the retained net capital gain, such excess generally may be claimed as a credit against the U.S. shareholder’s other U.S. federal income tax obligations or may be refunded to the extent it exceeds a shareholder’s liability for U.S. federal income tax. A shareholder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shareholders prior to the expiration of 60 days after the close of the relevant taxable year. We cannot treat any of our investment company taxable income as a “deemed distribution.”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However, any dividend declared by us in October, November or December of any calendar year, payable to shareholders of record on a specified date in any such month and actually paid during January of the following year, will be treated as if it had been received by our U.S. shareholders on December 31 of the year in which the dividend was declared.</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U.S. shareholder generally will recognize taxable gain or loss if the shareholder sells or otherwise disposes of his, her or its shares of our common stock. The amount of gain or loss will be measured by the difference between such shareholder’s adjusted tax basis in the common stock sold and the amount of the proceeds received in exchange. Any gain arising from such sale or disposition generally will be treated as long-term capital gain or loss if the shareholder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non-corporate U.S. shareholders, including individuals, trusts and estates, are subject to U.S. federal income tax at a maximum rate of 20.0%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shareholders currently are subject to U.S. federal income tax on net capital gain at the maximum 21.0% rate also applied to ordinary income. Non-corporate shareholders with net capital loss for a year (which we define as capital loss in excess of capital gain) generally may deduct up to $3,000 of such losses against their ordinary income each year; any net capital loss of a noncorporate shareholder in excess of $3,000 generally may be carried forward and used in subsequent years as provided in the Code. Corporate shareholders generally may not deduct any net capital loss for a year, but may carry back such losses for three years or carry forward such losses for five years.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U.S. shareholders who are individuals, estates or trusts generally are subject to a 3.8% Medicare surtax on the lesser of (1) the U.S. shareholder’s “net investment income” (or “undistributed net investment income” in the case of an estate or trust)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111" w:right="3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7"/>
          <w:szCs w:val="17"/>
          <w:color w:val="auto"/>
        </w:rPr>
        <w:t>for the relevant taxable year and (2) the excess of the U.S shareholder’s modified adjusted gross income for the taxable year over a certain threshold (which in the case of individuals is between $125,000 and $250,000, depending on the individual’s circumstances). A U.S. shareholder’s net investment income generally includes its dividends on, and capital gain from the sale or other disposition of, shares of our common stock.</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“publicly offered” RIC is a RIC whose shares are either (1) continuously offered pursuant to a public offering, (2) regularly traded on an established securities market or (3) held by at least 500 persons at all times during the taxable year. If we are not a publicly offered RIC for any period, a non-corporate shareholder’s pro rata portion of our affected expenses, including our management fees, will be treated as an additional dividend to the shareholder and will be deductible by such shareholder only to the extent permitted under the limitations described below. For non-corporate shareholders,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2.0% of such a shareholder’s adjusted gross income, and are not deductible for AMT purposes. Because we anticipate that shares of our common stock will continue to be regularly traded on an established securities market, we believe that we will continue to qualify as a “publicly offered regulated investment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or the applicable withholding agent will send to each of our U.S. shareholders, as promptly as possible after the end of each calendar year, a written statement detailing, the amounts includible in such U.S. shareholder’s taxable income for such year as ordinary income and as long-term capital gain. In addition, the U.S. federal tax status of each year’s distributions generally will be reported to the IRS. Distributions paid by us generally will not be eligible for the dividends-received deduction or the preferential tax rate applicable to qualifying dividends. Distributions may also be subject to additional state, local and foreign taxes depending on a U.S. shareholder’s particular situation.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required to withhold U.S. federal income tax, or backup withholding, from all taxable distributions to any U.S. shareholder (1) who fails to furnish us with a correct taxpayer identification number or a certificate that such shareholder is exempt from backup withholding (e.g., because it is a corporation) or (2) with respect to whom the IRS notifies us that such shareholder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shareholder’s U.S. federal income tax liability, provided that proper information is timely provided to the IRS.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U.S. Treasury regulations, if a shareholder recognizes a loss with respect to shares of our stock of $2.0 million or more for an individual, S corporation, trust or a partnership with at least one non-corporate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partner or $10.0 million or more for a shareholder that is either a corporation or a partnership with only corporate partners in any single taxable year (or a greater loss over a combination of years), the shareholder must file with the IRS a disclosure statement on IRS Form 8886 (or successor form). Direct shareholders of portfolio securities in many cases are exempted from this reporting requirement, but under current guidance, shareholders of a RIC are not exempted. Future guidance may extend the current exception from this reporting requirement to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Shareholders should consult their own tax advisors to determine the applicability of these regulations in light of their individual circumstances.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Whether an investment in the shares is appropriate for a Non-U.S. shareholder will depend upon that person’s particular circumstances. An investment in the shares by a Non-U.S. shareholder may have adverse tax consequences. Non-U.S. shareholders should consult their tax advisers before investing in our common stock.</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Distributions of our “investment company taxable income” to Non-U.S. shareholders that are not “effectively connected” with a U.S. trade or business carried on by the Non-U.S. shareholder, generally will be subject to withholding of U.S. federal income tax at a rate of 30.0% (or lower rate provided by an applicable treaty) to the extent of our current and accumulated earnings and profits, unless an applicable exception applies. An exception will apply to any dividends that are properly reported by us as “interest-related dividends” or “short-term capital gain dividends.” In general, we may report a dividend as an interest-related dividend to the extent it is attributable to our ‘‘qualified net interest income’’ (generally, our U.S. source interest income, other than certain contingent interest and interest from obligations of a corporation or partnership in which we are at least a 10% stockholder, reduced by expenses that are allocable to such income), or a short-term capital gain dividend to the extent it is attributable to our ‘‘qualified short-term capital gains’’ (generally, the excess of our realized net short-term capital gain over our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111" w:right="339" w:bottom="1440" w:gutter="0" w:footer="0" w:header="0"/>
        </w:sectPr>
      </w:pPr>
    </w:p>
    <w:bookmarkStart w:id="89" w:name="page90"/>
    <w:bookmarkEnd w:id="89"/>
    <w:p>
      <w:pPr>
        <w:jc w:val="both"/>
        <w:spacing w:after="0" w:line="275" w:lineRule="auto"/>
        <w:rPr>
          <w:sz w:val="20"/>
          <w:szCs w:val="20"/>
          <w:color w:val="auto"/>
        </w:rPr>
      </w:pPr>
      <w:r>
        <w:rPr>
          <w:rFonts w:ascii="Arial" w:cs="Arial" w:eastAsia="Arial" w:hAnsi="Arial"/>
          <w:sz w:val="17"/>
          <w:szCs w:val="17"/>
          <w:color w:val="auto"/>
        </w:rPr>
        <w:t>realized net long-term capital loss for such taxable year). Depending on the circumstances, we may report all, some or none of our potentially eligible dividends as interest-related dividends or short-term capital gain dividends. However, we cannot determine what portion of our distributions (if any) will be eligible for this exemption until after the end of our taxable year. No certainty can be provided that any of our distributions will be reported as eligible for this exemption. In the case of shares held through an intermediary, the intermediary could withhold even if we report the payment as eligible for this exemption. Non-U.S. stockholders should contact their intermediaries with respect to the application of these rules to their accounts.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Actual or deemed distributions of our net capital gain to a Non-U.S. shareholder, and gains realized by a Non-U.S. shareholder upon the sale of our common stock, that are not effectively connected with a U.S. trade or business carried on by the Non-U.S. shareholder, generally will not be subject to U.S. federal withholding tax and generally will not be subject to U.S. federal income tax unless the Non-U.S. shareholder is a nonresident alien individual and is physically present in the United States for more than 182 days during the taxable year and meets certain other requirements. However, withholding of U.S. federal income tax at a rate of 30.0% on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resident for U.S. income tax purposes; in that case, he or she would be subject to U.S. income tax on his or her worldwide income at the graduated rates applicable to U.S. citizens, rather than the 30.0% U.S. federal withholding tax.</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distribute our net capital gain in the form of deemed rather than actual distributions (which we may do in the future), a Non-U.S. shareholder will be entitled to a U.S. federal income tax credit or tax refund equal to the shareholder’s allocable share of the tax we pay on the capital gain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Accordingly, investment in the shares may not be appropriate for a Non-U.S. shareholder.</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Distributions of our “investment company taxable income” and net capital gain (including deemed distributions) to Non-U.S. shareholders, and gain realized by Non-U.S. shareholders upon the sale of our common stock that is “effectively connected” with a U.S. trade or business carried on by the Non-U.S. shareholder (or if an income tax treaty applies, attributable to a “permanent establishment” in the U.S.), will be subject to U.S. federal income tax at the graduated rates applicable to U.S. citizens, residents and domestic corporations. Corporate Non-U.S. shareholders may also be subject to an additional branch profits tax at a rate of 30.0% imposed by the Code (or lower rate provided by an applicable treaty). In the case of a non-corporate Non-U.S. shareholder, we may be required to withhold U.S. federal income tax from distributions that are otherwise exempt from withholding tax (or taxable at a reduced rate) unless the Non-U.S. shareholder certifies his or her foreign status under penalties of perjury or otherwise establishes an exemption.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tax consequences to a Non-U.S. shareholder entitled to claim the benefits of an applicable tax treaty may differ from those described herein. Non-U.S.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shareholders are advised to consult their own tax advisers with respect to the particular tax consequences to them of an investment in our shares.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Non-U.S. shareholder who is a nonresident alien individual may be subject to information reporting and backup withholding of U.S. federal income tax on dividends unless the Non-U.S. shareholder provides us or the dividend paying agent with an IRS Form W-8BEN or IRS Form W-8BEN-E, as applicable (or an acceptable substitute form) or otherwise meets documentary evidence requirements for establishing that it is a Non-U.S. shareholder or otherwise establishes an exemption from backup withholding.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The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111" w:right="339" w:bottom="1440" w:gutter="0" w:footer="0" w:header="0"/>
        </w:sectPr>
      </w:pPr>
    </w:p>
    <w:bookmarkStart w:id="90" w:name="page91"/>
    <w:bookmarkEnd w:id="90"/>
    <w:p>
      <w:pPr>
        <w:jc w:val="both"/>
        <w:spacing w:after="0" w:line="293" w:lineRule="auto"/>
        <w:rPr>
          <w:sz w:val="20"/>
          <w:szCs w:val="20"/>
          <w:color w:val="auto"/>
        </w:rPr>
      </w:pPr>
      <w:r>
        <w:rPr>
          <w:rFonts w:ascii="Arial" w:cs="Arial" w:eastAsia="Arial" w:hAnsi="Arial"/>
          <w:sz w:val="16"/>
          <w:szCs w:val="16"/>
          <w:color w:val="auto"/>
        </w:rPr>
        <w:t>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shareholder and the status of the intermediaries through which they hold their shares, Non-U.S. shareholders could be subject to this 30% withholding tax with respect to distributions on their shares and potentially proceeds from the sale of their shares. Under certain circumstances, a Non-U.S. shareholder might be eligible for refunds or credits of such taxes.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Legislative or Other Actions Affecting Tax Considerations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affect the tax consequences of an investment in our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 Treatment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state and local tax treatment may differ from U.S. federal income tax treatment.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set forth herein does not constitute tax advice, and potential investors should consult their own tax advisors concerning the tax considerations relevant to their particular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00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offer, from time to time, in one or more offerings, up to $500,000,000 of our common stock or debt securities in one or more underwritten public offerings, “at the market offerings” to or through a market maker or into an existing trading market for the securities, on an exchange, or otherwise negotiated transactions, block trades, best efforts, auctions or a combination of these methods. The holders of our common stock will indirectly bear any fees and expenses in connection with any such offerings. We may sell the securities through underwriters or dealers, directly to one or more purchasers.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In addition, we may enter into registration rights agreements or other similar agreements in the future pursuant to which certain of our stockholders may resell our securities under this prospectus and as described in any related prospectus supplement.</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NAV per share of our common stock except</w:t>
      </w:r>
    </w:p>
    <w:p>
      <w:pPr>
        <w:spacing w:after="0" w:line="2" w:lineRule="exact"/>
        <w:rPr>
          <w:sz w:val="20"/>
          <w:szCs w:val="20"/>
          <w:color w:val="auto"/>
        </w:rPr>
      </w:pPr>
    </w:p>
    <w:p>
      <w:pPr>
        <w:ind w:firstLine="8"/>
        <w:spacing w:after="0" w:line="260" w:lineRule="auto"/>
        <w:tabs>
          <w:tab w:leader="none" w:pos="2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the consent of the majority of our voting securities or (ii) under such other circumstances as the SEC may permit. We did not seek stockholder authorization to issue common stock at a price below NAV per share at our 2019 annual meeting of stockholders.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underwriters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our securities may be entitled to indemnification by us against certain liabilities, including liabilities under the Securities Act. Underwriters, dealers and agents may engage in transactions with, or perform services for, us in the ordinary course of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891" w:right="339" w:bottom="1440" w:gutter="0" w:footer="0" w:header="0"/>
        </w:sectPr>
      </w:pPr>
    </w:p>
    <w:bookmarkStart w:id="92" w:name="page93"/>
    <w:bookmarkEnd w:id="92"/>
    <w:p>
      <w:pPr>
        <w:jc w:val="both"/>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Agents, dealers and underwriters may be entitled to indemnification by us against certain civil liabilities, including liabilities under the Securities Act or to contribution with respect to payments which the agents or underwriters may be required to make in respect thereof. Agents, dealers and underwriters may be customers of, engage in transactions with, or perform services for us in the ordinary course of business.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amount of any compensation to be received by any member of the Financial Industry Regulatory Authority, Inc. will not be greater than 10% for the sale of any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11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CUSTODIAN, TRANSFER AND DISTRIBUTION PAYING AGENT AND REGISTRAR</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are held under custody agreements by U.S. Bank, whose address is 8 Greenway Plaza, Suite 1100, Houston, Texas 77046. American Stock Transfer &amp; Trust Company, LLC acts as our transfer agent, distribution paying agent and registrar. The principal business address of our transfer agent is 6201 15th Avenue, Brooklyn, New York 11219, telephone number: (800) 937-5449.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Our investment team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 We did not pay any brokerage commissions during the three years ended March 31, 2019.</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the securities offered hereby will be passed upon for us by Eversheds Sutherland (US) LLP, Washington, D.C.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will be passed upon for underwriters, if any, by the counsel named in the prospectus supplement, if 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audited consolidated financial statements for the year ended March 31, 2017 of Capital Southwest Corporation and subsidiaries incorporated by reference in this prospectus and elsewhere in the registration statement have been so included in reliance upon the report of Grant Thornton LLP, independent registered public accountants, as stated in their report incorporated by reference. The senior securities table as of March 31, 2017 of Capital Southwest Corporation and subsidiaries included in this prospectus and elsewhere in the registration statement have been so included in reliance upon the report of Grant Thornton LLP, independent registered public accountants, as stated in their report appearing herein. Grant Thornton LLP’s principal business address is 171 N. Clark Street, Chicago, Illinois, 60601.</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consolidated financial statements of Capital Southwest Corporation and its subsidiaries as of March 31, 2019 and 2018 and for each of the years in the two-year period ended March 31, 2019, the related Schedule of Investments in and Advances to Affiliates in Schedule 12-14 and the effectiveness of internal control over financial reporting as of March 31, 2019 incorporated in this Prospectus by reference from the Capital Southwest Corporation Annual Report on Form 10-K for the year ended March 31, 2019 have been audited by RSM US LLP, an independent registered public accounting firm, as stated in their reports thereon (which report expresses an unqualified opinion) incorporated herein by reference, and have been incorporated in this Prospectus and Registration Statement in reliance upon such reports and upon the authority of such firm as experts in accounting and auditing. The senior securities table as of March 31, 2019 and 2018 of Capital Southwest Corporation and subsidiaries, included in this prospectus and elsewhere in the registration statement, has been so included in reliance upon the report of RSM US LLP, an independent registered public accounting firm. The audited consolidated financial statements of I-45 SLF LLC and its subsidiary as of and for the year ended March 31, 2019 and for each of the three years in the period ended March 31, 2019 appearing in our Annual Report on Form 10-K for the fiscal year ended March 31, 2019 and incorporated in this prospectus by reference have been audited by RSM US LLP, independent auditors. RSM US LLP’s principal business address is 1 South Wacker, Chicago, Illinois 60606.</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audited consolidated financial statements of Media Recovery, Inc. as of and for the year ended September 30, 2018 and for each of the three years in the period ended September 30, 2018 appearing in our Amendment No. 1 to the Annual Report on Form 10-K for the fiscal year ended March 31, 2018 and incorporated in this prospectus by reference have been audited by Whitley Penn LLP, independent registered public accountants. Whitley Penn LLP’s principal business address is 8343 Douglas Avenue, Suite 400, Dallas, Texas 75225.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91" w:right="33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The audited financial statements of TitanLiner, Inc. as of and for the year ended December 31, 2017 and for each of the three years in the period ended December 31, 2017 appearing in our Annual Report on Form 10-K for the fiscal year ended March 31, 2018 and incorporated in this prospectus by reference have been audited by Weaver and Tidwell, LLP, independent auditors. Weaver and Tidwell LLP’s principal business address is 2821 W. Seventh Street, Suite 700, Fort Worth, Texas 76107.</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spacing w:after="0" w:line="13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incorporate by reference the documents listed below, and any reports and other documents we subsequently file pursuant to Sections 13(a), 13(c), 14 or 15(d) of the Exchange Act prior to the termination of the offering of the securities covered by this prospectus, including all such documents we may file with the SEC after the date of this registration statement and prior to its effectiveness, will also be incorporated by reference into this prospectus and deemed to be part of this prospectus from the date of the filing of such reports and documents; provided, however, that information “furnished” under Item 2.02 or Item 7.01 of Form 8-K, or other information “furnished” to the SEC, which is not deemed filed is not and will not be incorporated by reference:</w:t>
      </w:r>
    </w:p>
    <w:p>
      <w:pPr>
        <w:spacing w:after="0" w:line="53"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March 31, 2019, filed with the SEC on June 4,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2019, filed with the SEC on August 6,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25, 2019, May 23, 2019, and August 1, 2019;</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audited consolidated financial statements of Media Recovery, Inc. as of and for the year ended September 30, 2018 and 2017 and for each of the three years in the period ended September 30, 2018, filed as Exhibit 99.1 to our Amendment No. 1 to the Annual Report on Form 10-K for the fiscal year ended March 31, 2018, filed with the SEC on December 13, 2018;</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audited financial statements of TitanLiner, Inc. as of and for the year ended December 31, 2017 and for each of the three years in the period ended December 31, 2017, filed as Exhibit 99.3 to our Annual Report on Form 10-K for the fiscal year ended March 31, 2018, filed with the SEC on June 5, 2018;</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June 14, 2019; and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description of our Common Stock referenced in our Registration Statement on Form 8-A, as filed with the SEC on April 28, 1961, including any amendment or report filed for the purpose of updating such description prior to the termination of the offering of the common stock registered hereby.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with or submit to the SEC annual, quarterly and current reports, proxy statements and other information meeting the informational requirements of the Exchange Act. This information is available free of charge by calling us at (214) 238-5700 or on our website at www.capitalsouthwest.com. Information contained on our website is not incorporated into this prospectus and you should not consider such information to be part of this document. The SEC maintains an Internet site that contains reports, proxy and information statements and other information filed electronically by us with the SEC, which are available on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111" w:right="339" w:bottom="1440" w:gutter="0" w:footer="0" w:header="0"/>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t>SEC’s website at www.sec.gov. You can request a copy of any of our SEC filings, including those incorporated by reference herein, at no cost, by writing or telephoning us at the address or telephone number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895"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2163445</wp:posOffset>
            </wp:positionV>
            <wp:extent cx="1619885" cy="66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198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 Notes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753110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PRELIMINARY PROSPECTUS SUPPLEMENT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Raymond James</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Letter"/>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2"/>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lowerRoman"/>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bullet"/>
      <w:start w:val="1"/>
    </w:lvl>
  </w:abstractNum>
  <w:abstractNum w:abstractNumId="39">
    <w:nsid w:val="47398C89"/>
    <w:multiLevelType w:val="hybridMultilevel"/>
    <w:lvl w:ilvl="0">
      <w:lvlJc w:val="left"/>
      <w:lvlText w:val="2"/>
      <w:numFmt w:val="bullet"/>
      <w:start w:val="1"/>
    </w:lvl>
  </w:abstractNum>
  <w:abstractNum w:abstractNumId="40">
    <w:nsid w:val="354FE9F9"/>
    <w:multiLevelType w:val="hybridMultilevel"/>
    <w:lvl w:ilvl="0">
      <w:lvlJc w:val="left"/>
      <w:lvlText w:val="3"/>
      <w:numFmt w:val="bullet"/>
      <w:start w:val="1"/>
    </w:lvl>
  </w:abstractNum>
  <w:abstractNum w:abstractNumId="41">
    <w:nsid w:val="15B5AF5C"/>
    <w:multiLevelType w:val="hybridMultilevel"/>
    <w:lvl w:ilvl="0">
      <w:lvlJc w:val="left"/>
      <w:lvlText w:val="4"/>
      <w:numFmt w:val="bullet"/>
      <w:start w:val="1"/>
    </w:lvl>
  </w:abstractNum>
  <w:abstractNum w:abstractNumId="42">
    <w:nsid w:val="741226BB"/>
    <w:multiLevelType w:val="hybridMultilevel"/>
    <w:lvl w:ilvl="0">
      <w:lvlJc w:val="left"/>
      <w:lvlText w:val="5"/>
      <w:numFmt w:val="bullet"/>
      <w:start w:val="1"/>
    </w:lvl>
  </w:abstractNum>
  <w:abstractNum w:abstractNumId="43">
    <w:nsid w:val="D34B6A8"/>
    <w:multiLevelType w:val="hybridMultilevel"/>
    <w:lvl w:ilvl="0">
      <w:lvlJc w:val="left"/>
      <w:lvlText w:val="6"/>
      <w:numFmt w:val="bullet"/>
      <w:start w:val="1"/>
    </w:lvl>
  </w:abstractNum>
  <w:abstractNum w:abstractNumId="44">
    <w:nsid w:val="10233C99"/>
    <w:multiLevelType w:val="hybridMultilevel"/>
    <w:lvl w:ilvl="0">
      <w:lvlJc w:val="left"/>
      <w:lvlText w:val="7"/>
      <w:numFmt w:val="bullet"/>
      <w:start w:val="1"/>
    </w:lvl>
  </w:abstractNum>
  <w:abstractNum w:abstractNumId="45">
    <w:nsid w:val="3F6AB60F"/>
    <w:multiLevelType w:val="hybridMultilevel"/>
    <w:lvl w:ilvl="0">
      <w:lvlJc w:val="left"/>
      <w:lvlText w:val="8"/>
      <w:numFmt w:val="bullet"/>
      <w:start w:val="1"/>
    </w:lvl>
  </w:abstractNum>
  <w:abstractNum w:abstractNumId="46">
    <w:nsid w:val="61574095"/>
    <w:multiLevelType w:val="hybridMultilevel"/>
    <w:lvl w:ilvl="0">
      <w:lvlJc w:val="left"/>
      <w:lvlText w:val="9"/>
      <w:numFmt w:val="bullet"/>
      <w:start w:val="1"/>
    </w:lvl>
  </w:abstractNum>
  <w:abstractNum w:abstractNumId="47">
    <w:nsid w:val="7E0C57B1"/>
    <w:multiLevelType w:val="hybridMultilevel"/>
    <w:lvl w:ilvl="0">
      <w:lvlJc w:val="left"/>
      <w:lvlText w:val="%1"/>
      <w:numFmt w:val="decimal"/>
      <w:start w:val="10"/>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decimal"/>
      <w:start w:val="2"/>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lvl w:ilvl="1">
      <w:lvlJc w:val="left"/>
      <w:lvlText w:val="◦"/>
      <w:numFmt w:val="bullet"/>
      <w:start w:val="1"/>
    </w:lvl>
  </w:abstractNum>
  <w:abstractNum w:abstractNumId="73">
    <w:nsid w:val="51D9C564"/>
    <w:multiLevelType w:val="hybridMultilevel"/>
    <w:lvl w:ilvl="0">
      <w:lvlJc w:val="left"/>
      <w:lvlText w:val="(%1)"/>
      <w:numFmt w:val="decimal"/>
      <w:start w:val="2"/>
    </w:lvl>
  </w:abstractNum>
  <w:abstractNum w:abstractNumId="74">
    <w:nsid w:val="613EFDC5"/>
    <w:multiLevelType w:val="hybridMultilevel"/>
    <w:lvl w:ilvl="0">
      <w:lvlJc w:val="left"/>
      <w:lvlText w:val="(%1)"/>
      <w:numFmt w:val="decimal"/>
      <w:start w:val="4"/>
    </w:lvl>
  </w:abstractNum>
  <w:abstractNum w:abstractNumId="75">
    <w:nsid w:val="BF72B14"/>
    <w:multiLevelType w:val="hybridMultilevel"/>
    <w:lvl w:ilvl="0">
      <w:lvlJc w:val="left"/>
      <w:lvlText w:val="(%1)"/>
      <w:numFmt w:val="lowerRoman"/>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png"/><Relationship Id="rId37" Type="http://schemas.openxmlformats.org/officeDocument/2006/relationships/image" Target="media/image18.jpeg"/><Relationship Id="rId38" Type="http://schemas.openxmlformats.org/officeDocument/2006/relationships/image" Target="media/image19.png"/><Relationship Id="rId39" Type="http://schemas.openxmlformats.org/officeDocument/2006/relationships/image" Target="media/image20.png"/><Relationship Id="rId20" Type="http://schemas.openxmlformats.org/officeDocument/2006/relationships/hyperlink" Target="http://www.sec.gov/Archives/edgar/data/17313/000001731319000024/cswc3311910-k.htm" TargetMode="External"/><Relationship Id="rId23" Type="http://schemas.openxmlformats.org/officeDocument/2006/relationships/hyperlink" Target="https://www.sec.gov/Archives/edgar/data/17313/000001731320000051/cswc3312010-k.htm" TargetMode="External"/><Relationship Id="rId24" Type="http://schemas.openxmlformats.org/officeDocument/2006/relationships/hyperlink" Target="https://www.sec.gov/Archives/edgar/data/17313/000001731320000079/cswc6302010q.htm" TargetMode="External"/><Relationship Id="rId25" Type="http://schemas.openxmlformats.org/officeDocument/2006/relationships/hyperlink" Target="https://www.sec.gov/Archives/edgar/data/17313/000001731320000105/cswc9302010q.htm" TargetMode="External"/><Relationship Id="rId26" Type="http://schemas.openxmlformats.org/officeDocument/2006/relationships/hyperlink" Target="https://www.sec.gov/Archives/edgar/data/17313/000001731320000046/dividenddeclaration8-kapril.htm" TargetMode="External"/><Relationship Id="rId27" Type="http://schemas.openxmlformats.org/officeDocument/2006/relationships/hyperlink" Target="https://www.sec.gov/Archives/edgar/data/17313/000001731320000068/a2020annualmeeting8-k.htm" TargetMode="External"/><Relationship Id="rId28" Type="http://schemas.openxmlformats.org/officeDocument/2006/relationships/hyperlink" Target="https://www.sec.gov/Archives/edgar/data/17313/000001731320000072/cswcsbagreenlight8-k.htm" TargetMode="External"/><Relationship Id="rId29" Type="http://schemas.openxmlformats.org/officeDocument/2006/relationships/hyperlink" Target="https://www.sec.gov/Archives/edgar/data/17313/000001731320000092/cswc8-kbondofferingaug.htm" TargetMode="External"/><Relationship Id="rId30" Type="http://schemas.openxmlformats.org/officeDocument/2006/relationships/hyperlink" Target="https://www.sec.gov/Archives/edgar/data/17313/000001731320000096/cswc8-kbondredemptiona.htm" TargetMode="External"/><Relationship Id="rId31" Type="http://schemas.openxmlformats.org/officeDocument/2006/relationships/hyperlink" Target="https://www.sec.gov/Archives/edgar/data/17313/000001731320000110/cswcbondredemptiondec2020.htm" TargetMode="External"/><Relationship Id="rId32" Type="http://schemas.openxmlformats.org/officeDocument/2006/relationships/hyperlink" Target="https://www.sec.gov/Archives/edgar/data/17313/000001731320000117/creditfacilityupsizede.htm" TargetMode="External"/><Relationship Id="rId33" Type="http://schemas.openxmlformats.org/officeDocument/2006/relationships/hyperlink" Target="https://www.sec.gov/Archives/edgar/data/17313/000001731320000055/a2020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2020-12-22T08:40:24Z</dcterms:created>
  <dcterms:modified xsi:type="dcterms:W3CDTF">2020-12-22T08:40:24Z</dcterms:modified>
</cp:coreProperties>
</file>