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424(b)(2)</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File No. 333-282873 </w:t>
      </w:r>
    </w:p>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PROSPECTUS SUPPLEMENT</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(to Prospectus dated October 29, 2024)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drawing>
          <wp:inline distT="0" distB="0" distL="0" distR="0">
            <wp:extent cx="180975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9750" cy="742950"/>
                    </a:xfrm>
                    <a:prstGeom prst="rect">
                      <a:avLst/>
                    </a:prstGeom>
                  </pic:spPr>
                </pic:pic>
              </a:graphicData>
            </a:graphic>
          </wp:inline>
        </w:drawing>
      </w:r>
      <w:bookmarkStart w:id="0" w:name="i-1"/>
      <w:bookmarkEnd w:id="0"/>
    </w:p>
    <w:p>
      <w:pPr>
        <w:pStyle w:val="TextBody"/>
        <w:bidi w:val="0"/>
        <w:spacing w:lineRule="auto" w:line="333" w:before="100" w:after="283"/>
        <w:jc w:val="center"/>
        <w:rPr>
          <w:rFonts w:ascii="Times New Roman;serif" w:hAnsi="Times New Roman;serif"/>
          <w:b/>
          <w:color w:val="000000"/>
          <w:sz w:val="18"/>
        </w:rPr>
      </w:pPr>
      <w:r>
        <w:rPr>
          <w:rFonts w:ascii="Times New Roman;serif" w:hAnsi="Times New Roman;serif"/>
          <w:b/>
          <w:color w:val="000000"/>
          <w:sz w:val="18"/>
        </w:rPr>
        <w:t xml:space="preserve">$350,000,000 </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 xml:space="preserve">6.750% Notes due 2031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We are an internally managed, closed-end, non-diversified investment company that has elected to be treated as a business development company (“BDC”) under the Investment Company Act of 1940, as amended (the “1940 Act”). Our business strategy is to achieve our investment objective of producing attractive risk-adjusted returns by generating current income from our debt investments and capital appreciation from our equity and equity related investments.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We are offering $350.0 million in aggregate principal amount of 6.750% notes due 2031, which we refer to as the Notes. The Notes will mature on September 15, 2031. We will pay interest on the Notes on March 15 and September 15 of each year, beginning March 15, 2027.</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We may redeem the Notes in whole or in part at any time or from time to time, at the redemption price set forth under the section titled “Description of the Notes - Optional Redemption” in this prospectus supplement. In addition, holders of the Notes can require us to repurchase some or all of the Notes at a purchase price equal to 100% of their principal amount, plus accrued and unpaid interest to, but not including, the repurchase date upon the occurrence of a “Change of Control Repurchase Event” (as defined herein). The Notes will be issued in minimum denominations of $2,000 and integral multiples of $1,000 in excess thereof.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Notes will be our direct unsecured obligations and rank pari passu, which means equal in right of payment, with all outstanding and future unsecured unsubordinated indebtedness issued by us, including, without limitation, our 5.125% Convertible Notes due November 15, 2029 (the “2029 Convertible Notes”) and our 5.950% Notes due 2030 (the “2030 Notes”). As of September 9, 2026, the aggregate principal amounts outstanding under the 2029 Convertible Notes and the 2030 Notes were $230.0 million and $350.0 million, respectively. Because the Notes will not be secured by any of our assets, they are effectively subordinated to all of our existing and future secured indebtedness (or any indebtedness that is initially unsecured as to which we subsequently grant security), to the extent of the value of the assets securing such indebtedness, including, without limitation, borrowings under our senior secured revolving credit facility (the “Corporate Credit Facility”), of which we had $351.0 million outstanding as of September 9, 2026. The Notes will be structurally subordinated to all existing and future indebtedness and other obligations of any of our subsidiaries, including, without limitation, borrowings under our special purpose vehicle financing credit facility (the “SPV Credit Facility”), of which we had $151.0 million outstanding as of September 9, 2026, and the debentures guaranteed by the U.S. Small Business Administration (the “SBA”) issued by Capital Southwest SBIC I, LP and Capital Southwest SBIC II, LP (the “SBA Debentures”), of which $159.0 million and $122.0 million, respectively, were outstanding as of September 9, 2026. The Notes are obligations exclusively of Capital Southwest Corporation and not of any of our subsidiaries. None of our subsidiaries is a guarantor of the Notes and the Notes will not be required to be guaranteed by any subsidiary we may acquire or create in the future. In any liquidation, dissolution, bankruptcy or other similar proceeding, the holders of any of our existing or future secured indebtedness may assert rights against the assets pledged to secure that indebtedness in order to receive full payment of their indebtedness before the assets may be used to pay other creditors, including the holders of the Notes, and any assets of our subsidiaries will not be directly available to satisfy the claims of our creditors, including holders of the Notes. For further discussion, see the section titled “Description of the Notes” in this prospectus supplement.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The Notes will rank pari passu with, or equal to, our general liabilities (other than amounts outstanding under the Corporate Credit Facility, the SPV Credit Facility, and the SBA Debentures). In total, these general liabilities were $35.9 million as of June 30, 2026. We currently do not have outstanding debt that is subordinated to the Notes and do not currently intend to issue indebtedness that expressly provides that it is subordinated to the Notes. Therefore, the Notes will not be senior to any of our indebtedness or obligations.</w:t>
      </w:r>
    </w:p>
    <w:p>
      <w:pPr>
        <w:pStyle w:val="TextBody"/>
        <w:bidi w:val="0"/>
        <w:spacing w:lineRule="auto" w:line="288" w:before="120" w:after="100"/>
        <w:jc w:val="both"/>
        <w:rPr>
          <w:rFonts w:ascii="Times New Roman;serif" w:hAnsi="Times New Roman;serif"/>
          <w:b w:val="false"/>
          <w:color w:val="000000"/>
          <w:sz w:val="16"/>
        </w:rPr>
      </w:pPr>
      <w:r>
        <w:rPr>
          <w:rFonts w:ascii="Times New Roman;serif" w:hAnsi="Times New Roman;serif"/>
          <w:b w:val="false"/>
          <w:color w:val="000000"/>
          <w:sz w:val="16"/>
        </w:rPr>
        <w:t xml:space="preserve">This prospectus supplement and the accompanying prospectus, including the information incorporated by reference herein and therein, contain important information about us that a prospective investor should know before investing in the Notes. We also may authorize one or more free writing prospectuses to be provided to you in connection with this offering. You should carefully read this prospectus supplement, the accompanying prospectus, and any related free writing prospectus, and the documents incorporated by reference, before investing in the Notes. We file annual, quarterly and current reports, proxy statements and other information with the Securities and Exchange Commission (the “SEC”). This information is available free of charge by contacting us at 8333 Douglas Avenue, Suite 1100, Dallas, Texas 75225, or by telephone at (214) 238-5700 or on our website at www.capitalsouthwest.com. Information contained on our website is not incorporated by reference into this prospectus supplement or the accompanying prospectus, and you should not consider that information to be part of this prospectus supplement or the accompanying prospectus. The SEC also maintains a website at www.sec.gov that contains information about us. </w:t>
      </w:r>
    </w:p>
    <w:p>
      <w:pPr>
        <w:pStyle w:val="TextBody"/>
        <w:bidi w:val="0"/>
        <w:spacing w:lineRule="atLeast" w:line="192" w:before="40" w:after="40"/>
        <w:jc w:val="both"/>
        <w:rPr/>
      </w:pPr>
      <w:r>
        <w:rPr>
          <w:rFonts w:ascii="Times New Roman;serif" w:hAnsi="Times New Roman;serif"/>
          <w:b/>
          <w:color w:val="000000"/>
          <w:sz w:val="16"/>
        </w:rPr>
        <w:t xml:space="preserve">Investing in the Notes involves a high degree of risk, and should be considered highly speculative. See “Supplementary Risk Factors” beginning on page </w:t>
      </w:r>
      <w:hyperlink w:anchor="i1eae46a6a985469e9685af81f3769400_19">
        <w:r>
          <w:rPr>
            <w:rStyle w:val="InternetLink"/>
            <w:rFonts w:ascii="Times New Roman;serif" w:hAnsi="Times New Roman;serif"/>
            <w:b/>
            <w:color w:val="0000FF"/>
            <w:sz w:val="16"/>
            <w:u w:val="single"/>
          </w:rPr>
          <w:t>S-9</w:t>
        </w:r>
      </w:hyperlink>
      <w:r>
        <w:rPr>
          <w:color w:val="000000"/>
        </w:rPr>
        <w:t xml:space="preserve"> </w:t>
      </w:r>
      <w:r>
        <w:rPr>
          <w:rFonts w:ascii="Times New Roman;serif" w:hAnsi="Times New Roman;serif"/>
          <w:b/>
          <w:color w:val="000000"/>
          <w:sz w:val="16"/>
        </w:rPr>
        <w:t xml:space="preserve">of this prospectus supplement and “Risk Factors” beginning on page </w:t>
      </w:r>
      <w:hyperlink w:anchor="i1eae46a6a985469e9685af81f3769400_67">
        <w:r>
          <w:rPr>
            <w:rStyle w:val="InternetLink"/>
            <w:rFonts w:ascii="Times New Roman;serif" w:hAnsi="Times New Roman;serif"/>
            <w:b/>
            <w:color w:val="0000FF"/>
            <w:sz w:val="16"/>
            <w:u w:val="single"/>
          </w:rPr>
          <w:t>10</w:t>
        </w:r>
      </w:hyperlink>
      <w:r>
        <w:rPr>
          <w:color w:val="000000"/>
        </w:rPr>
        <w:t xml:space="preserve"> </w:t>
      </w:r>
      <w:r>
        <w:rPr>
          <w:rFonts w:ascii="Times New Roman;serif" w:hAnsi="Times New Roman;serif"/>
          <w:b/>
          <w:color w:val="000000"/>
          <w:sz w:val="16"/>
        </w:rPr>
        <w:t xml:space="preserve">of the accompanying prospectus and in our most recent Annual Report on Form 10-K and our most recent Quarterly Report on Form 10-Q, and under similar headings in the other documents that are filed after the date hereof and incorporated by reference into this prospectus supplement and the accompanying prospectus to read about factors you should consider, including the risk of leverage, before investing in the Notes.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 xml:space="preserve">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054" w:type="dxa"/>
        <w:jc w:val="left"/>
        <w:tblInd w:w="0" w:type="dxa"/>
        <w:tblLayout w:type="fixed"/>
        <w:tblCellMar>
          <w:top w:w="28" w:type="dxa"/>
          <w:left w:w="28" w:type="dxa"/>
          <w:bottom w:w="28" w:type="dxa"/>
          <w:right w:w="28" w:type="dxa"/>
        </w:tblCellMar>
      </w:tblPr>
      <w:tblGrid>
        <w:gridCol w:w="2383"/>
        <w:gridCol w:w="2090"/>
        <w:gridCol w:w="2112"/>
        <w:gridCol w:w="109"/>
        <w:gridCol w:w="109"/>
        <w:gridCol w:w="109"/>
        <w:gridCol w:w="204"/>
        <w:gridCol w:w="204"/>
        <w:gridCol w:w="206"/>
        <w:gridCol w:w="148"/>
        <w:gridCol w:w="148"/>
        <w:gridCol w:w="150"/>
        <w:gridCol w:w="196"/>
        <w:gridCol w:w="366"/>
        <w:gridCol w:w="520"/>
      </w:tblGrid>
      <w:tr>
        <w:trPr/>
        <w:tc>
          <w:tcPr>
            <w:tcW w:w="2383"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lineRule="atLeast" w:line="142" w:before="53" w:after="30"/>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tLeast" w:line="142" w:before="53" w:after="30"/>
              <w:jc w:val="center"/>
              <w:rPr>
                <w:color w:val="000000"/>
              </w:rPr>
            </w:pPr>
            <w:r>
              <w:rPr>
                <w:color w:val="000000"/>
              </w:rPr>
              <w:t> </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Note</w:t>
            </w:r>
          </w:p>
        </w:tc>
        <w:tc>
          <w:tcPr>
            <w:tcW w:w="446" w:type="dxa"/>
            <w:gridSpan w:val="3"/>
            <w:tcBorders/>
            <w:tcMar>
              <w:top w:w="0" w:type="dxa"/>
              <w:left w:w="0" w:type="dxa"/>
              <w:bottom w:w="0" w:type="dxa"/>
              <w:right w:w="0" w:type="dxa"/>
            </w:tcMar>
            <w:vAlign w:val="center"/>
          </w:tcPr>
          <w:p>
            <w:pPr>
              <w:pStyle w:val="TableContents"/>
              <w:bidi w:val="0"/>
              <w:spacing w:lineRule="atLeast" w:line="142" w:before="53" w:after="30"/>
              <w:jc w:val="center"/>
              <w:rPr>
                <w:color w:val="000000"/>
              </w:rPr>
            </w:pPr>
            <w:r>
              <w:rPr>
                <w:color w:val="000000"/>
              </w:rPr>
              <w:t> </w:t>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Public 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6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98.985%</w:t>
            </w:r>
          </w:p>
        </w:tc>
        <w:tc>
          <w:tcPr>
            <w:tcW w:w="446" w:type="dxa"/>
            <w:gridSpan w:val="3"/>
            <w:tcBorders/>
            <w:shd w:fill="CCEEFF" w:val="clear"/>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346,447,500</w:t>
            </w:r>
          </w:p>
        </w:tc>
      </w:tr>
      <w:tr>
        <w:trPr/>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Underwriting discount (sales load)</w:t>
            </w:r>
          </w:p>
        </w:tc>
        <w:tc>
          <w:tcPr>
            <w:tcW w:w="327" w:type="dxa"/>
            <w:gridSpan w:val="3"/>
            <w:tcBorders/>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w:t>
            </w:r>
          </w:p>
        </w:tc>
        <w:tc>
          <w:tcPr>
            <w:tcW w:w="446" w:type="dxa"/>
            <w:gridSpan w:val="3"/>
            <w:tcBorders/>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3,500,000</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33" w:after="30"/>
              <w:jc w:val="left"/>
              <w:rPr/>
            </w:pPr>
            <w:r>
              <w:rPr>
                <w:rFonts w:ascii="Times New Roman;serif" w:hAnsi="Times New Roman;serif"/>
                <w:b w:val="false"/>
                <w:color w:val="000000"/>
                <w:sz w:val="14"/>
              </w:rPr>
              <w:t>Proceeds to Capital Southwest Corporation (before estimated offering expenses of approximately $0.9 million)</w:t>
            </w:r>
            <w:r>
              <w:rPr>
                <w:rFonts w:ascii="Times New Roman;serif" w:hAnsi="Times New Roman;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97.985%</w:t>
            </w:r>
          </w:p>
        </w:tc>
        <w:tc>
          <w:tcPr>
            <w:tcW w:w="446" w:type="dxa"/>
            <w:gridSpan w:val="3"/>
            <w:tcBorders/>
            <w:shd w:fill="CCEEFF" w:val="clear"/>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342,947,500</w:t>
            </w:r>
          </w:p>
        </w:tc>
      </w:tr>
    </w:tbl>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(1)The public offering price set forth above does not include accrued interest, if any. Interest on the Notes will accrue from September 15, 2026 and must be paid by the purchaser if the Notes are delivered after September 15, 2026. </w:t>
      </w:r>
    </w:p>
    <w:p>
      <w:pPr>
        <w:pStyle w:val="TextBody"/>
        <w:bidi w:val="0"/>
        <w:spacing w:before="0" w:after="0"/>
        <w:jc w:val="left"/>
        <w:rPr/>
      </w:pPr>
      <w:r>
        <w:rPr/>
      </w:r>
    </w:p>
    <w:p>
      <w:pPr>
        <w:pStyle w:val="TextBody"/>
        <w:bidi w:val="0"/>
        <w:spacing w:lineRule="auto" w:line="333" w:before="40" w:after="140"/>
        <w:jc w:val="both"/>
        <w:rPr>
          <w:rFonts w:ascii="Times New Roman;serif" w:hAnsi="Times New Roman;serif"/>
          <w:b/>
          <w:color w:val="000000"/>
          <w:sz w:val="16"/>
        </w:rPr>
      </w:pPr>
      <w:r>
        <w:rPr>
          <w:rFonts w:ascii="Times New Roman;serif" w:hAnsi="Times New Roman;serif"/>
          <w:b/>
          <w:color w:val="000000"/>
          <w:sz w:val="16"/>
        </w:rPr>
        <w:t xml:space="preserve">THE NOTES ARE NOT DEPOSITS OR OTHER OBLIGATIONS OF A BANK AND ARE NOT INSURED BY THE FEDERAL DEPOSIT INSURANCE CORPORATION OR ANY OTHER GOVERNMENT AGENCY.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40" w:after="283"/>
        <w:jc w:val="both"/>
        <w:rPr>
          <w:rFonts w:ascii="Times New Roman;serif" w:hAnsi="Times New Roman;serif"/>
          <w:b w:val="false"/>
          <w:color w:val="000000"/>
          <w:sz w:val="16"/>
        </w:rPr>
      </w:pPr>
      <w:r>
        <w:rPr>
          <w:rFonts w:ascii="Times New Roman;serif" w:hAnsi="Times New Roman;serif"/>
          <w:b w:val="false"/>
          <w:color w:val="000000"/>
          <w:sz w:val="16"/>
        </w:rPr>
        <w:t>Delivery of the Notes in book-entry form only through The Depository Trust Company, or DTC, for the accounts of its participants, including Euroclear Bank</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S.A./N.V., as operator of the Euroclear System, and Clearstream Banking S.A.,will be made on or about September 15, 2026. </w:t>
      </w:r>
    </w:p>
    <w:p>
      <w:pPr>
        <w:pStyle w:val="TextBody"/>
        <w:bidi w:val="0"/>
        <w:spacing w:before="40" w:after="283"/>
        <w:jc w:val="both"/>
        <w:rPr/>
      </w:pPr>
      <w:r>
        <w:rPr/>
      </w:r>
    </w:p>
    <w:tbl>
      <w:tblPr>
        <w:tblW w:w="1808" w:type="dxa"/>
        <w:jc w:val="center"/>
        <w:tblInd w:w="0" w:type="dxa"/>
        <w:tblLayout w:type="fixed"/>
        <w:tblCellMar>
          <w:top w:w="28" w:type="dxa"/>
          <w:left w:w="28" w:type="dxa"/>
          <w:bottom w:w="28" w:type="dxa"/>
          <w:right w:w="28" w:type="dxa"/>
        </w:tblCellMar>
      </w:tblPr>
      <w:tblGrid>
        <w:gridCol w:w="164"/>
        <w:gridCol w:w="144"/>
        <w:gridCol w:w="144"/>
        <w:gridCol w:w="144"/>
        <w:gridCol w:w="144"/>
        <w:gridCol w:w="144"/>
        <w:gridCol w:w="144"/>
        <w:gridCol w:w="144"/>
        <w:gridCol w:w="144"/>
        <w:gridCol w:w="144"/>
        <w:gridCol w:w="144"/>
        <w:gridCol w:w="204"/>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808"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i/>
                <w:color w:val="000000"/>
                <w:sz w:val="20"/>
              </w:rPr>
            </w:pPr>
            <w:r>
              <w:rPr>
                <w:rFonts w:ascii="Times New Roman;serif" w:hAnsi="Times New Roman;serif"/>
                <w:b/>
                <w:i/>
                <w:color w:val="000000"/>
                <w:sz w:val="20"/>
              </w:rPr>
              <w:t>Active Bookrunners</w:t>
            </w:r>
          </w:p>
        </w:tc>
      </w:tr>
    </w:tbl>
    <w:tbl>
      <w:tblPr>
        <w:tblW w:w="10205" w:type="dxa"/>
        <w:jc w:val="center"/>
        <w:tblInd w:w="0" w:type="dxa"/>
        <w:tblLayout w:type="fixed"/>
        <w:tblCellMar>
          <w:top w:w="28" w:type="dxa"/>
          <w:left w:w="28" w:type="dxa"/>
          <w:bottom w:w="28" w:type="dxa"/>
          <w:right w:w="28" w:type="dxa"/>
        </w:tblCellMar>
      </w:tblPr>
      <w:tblGrid>
        <w:gridCol w:w="769"/>
        <w:gridCol w:w="677"/>
        <w:gridCol w:w="682"/>
        <w:gridCol w:w="790"/>
        <w:gridCol w:w="790"/>
        <w:gridCol w:w="792"/>
        <w:gridCol w:w="155"/>
        <w:gridCol w:w="155"/>
        <w:gridCol w:w="156"/>
        <w:gridCol w:w="470"/>
        <w:gridCol w:w="470"/>
        <w:gridCol w:w="472"/>
        <w:gridCol w:w="613"/>
        <w:gridCol w:w="613"/>
        <w:gridCol w:w="615"/>
        <w:gridCol w:w="577"/>
        <w:gridCol w:w="577"/>
        <w:gridCol w:w="832"/>
      </w:tblGrid>
      <w:tr>
        <w:trPr/>
        <w:tc>
          <w:tcPr>
            <w:tcW w:w="7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Deutsche Bank Securities</w:t>
            </w:r>
          </w:p>
        </w:tc>
        <w:tc>
          <w:tcPr>
            <w:tcW w:w="2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Huntington Capital Markets</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ING</w:t>
            </w:r>
          </w:p>
        </w:tc>
        <w:tc>
          <w:tcPr>
            <w:tcW w:w="14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Morgan Stanley</w:t>
            </w:r>
          </w:p>
        </w:tc>
        <w:tc>
          <w:tcPr>
            <w:tcW w:w="1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RBC Capital Markets</w:t>
            </w:r>
          </w:p>
        </w:tc>
        <w:tc>
          <w:tcPr>
            <w:tcW w:w="19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Wells Fargo Securities</w:t>
            </w:r>
          </w:p>
        </w:tc>
      </w:tr>
    </w:tbl>
    <w:tbl>
      <w:tblPr>
        <w:tblW w:w="3001" w:type="dxa"/>
        <w:jc w:val="center"/>
        <w:tblInd w:w="0" w:type="dxa"/>
        <w:tblLayout w:type="fixed"/>
        <w:tblCellMar>
          <w:top w:w="28" w:type="dxa"/>
          <w:left w:w="28" w:type="dxa"/>
          <w:bottom w:w="28" w:type="dxa"/>
          <w:right w:w="28" w:type="dxa"/>
        </w:tblCellMar>
      </w:tblPr>
      <w:tblGrid>
        <w:gridCol w:w="647"/>
        <w:gridCol w:w="567"/>
        <w:gridCol w:w="571"/>
        <w:gridCol w:w="356"/>
        <w:gridCol w:w="356"/>
        <w:gridCol w:w="504"/>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i/>
                <w:color w:val="000000"/>
                <w:sz w:val="20"/>
              </w:rPr>
            </w:pPr>
            <w:r>
              <w:rPr>
                <w:rFonts w:ascii="Times New Roman;serif" w:hAnsi="Times New Roman;serif"/>
                <w:b/>
                <w:i/>
                <w:color w:val="000000"/>
                <w:sz w:val="20"/>
              </w:rPr>
              <w:t>Passive Bookrunner</w:t>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i/>
                <w:color w:val="000000"/>
                <w:sz w:val="20"/>
              </w:rPr>
            </w:pPr>
            <w:r>
              <w:rPr>
                <w:rFonts w:ascii="Times New Roman;serif" w:hAnsi="Times New Roman;serif"/>
                <w:b/>
                <w:i/>
                <w:color w:val="000000"/>
                <w:sz w:val="20"/>
              </w:rPr>
              <w:t>Co-Manager</w:t>
            </w:r>
          </w:p>
        </w:tc>
      </w:tr>
    </w:tbl>
    <w:tbl>
      <w:tblPr>
        <w:tblW w:w="4196"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600"/>
        <w:gridCol w:w="600"/>
        <w:gridCol w:w="855"/>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ind w:left="0" w:right="0" w:hanging="60"/>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Oppenheimer &amp;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Zions Capital Markets</w:t>
            </w:r>
          </w:p>
        </w:tc>
      </w:tr>
    </w:tbl>
    <w:p>
      <w:pPr>
        <w:pStyle w:val="TextBody"/>
        <w:bidi w:val="0"/>
        <w:spacing w:lineRule="atLeast"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The date of this prospectus supplement is September 10, 2026</w:t>
      </w:r>
    </w:p>
    <w:p>
      <w:pPr>
        <w:pStyle w:val="TextBody"/>
        <w:bidi w:val="0"/>
        <w:spacing w:before="40" w:after="283"/>
        <w:jc w:val="both"/>
        <w:rPr/>
      </w:pPr>
      <w:r>
        <w:rPr/>
      </w:r>
    </w:p>
    <w:p>
      <w:pPr>
        <w:pStyle w:val="TextBody"/>
        <w:bidi w:val="0"/>
        <w:spacing w:before="40" w:after="283"/>
        <w:jc w:val="both"/>
        <w:rPr/>
      </w:pPr>
      <w:r>
        <w:rPr/>
      </w:r>
    </w:p>
    <w:p>
      <w:pPr>
        <w:pStyle w:val="TextBody"/>
        <w:bidi w:val="0"/>
        <w:spacing w:lineRule="auto" w:line="288" w:before="0" w:after="40"/>
        <w:jc w:val="both"/>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333" w:before="0" w:after="100"/>
        <w:jc w:val="center"/>
        <w:rPr>
          <w:rFonts w:ascii="Times New Roman;serif" w:hAnsi="Times New Roman;serif"/>
          <w:b/>
          <w:color w:val="000000"/>
          <w:sz w:val="20"/>
        </w:rPr>
      </w:pPr>
      <w:r>
        <w:rPr>
          <w:rFonts w:ascii="Times New Roman;serif" w:hAnsi="Times New Roman;serif"/>
          <w:b/>
          <w:color w:val="000000"/>
          <w:sz w:val="20"/>
        </w:rPr>
        <w:t xml:space="preserve">Prospectus Supplement </w:t>
      </w:r>
    </w:p>
    <w:tbl>
      <w:tblPr>
        <w:tblW w:w="6420" w:type="dxa"/>
        <w:jc w:val="center"/>
        <w:tblInd w:w="0" w:type="dxa"/>
        <w:tblLayout w:type="fixed"/>
        <w:tblCellMar>
          <w:top w:w="28" w:type="dxa"/>
          <w:left w:w="28" w:type="dxa"/>
          <w:bottom w:w="28" w:type="dxa"/>
          <w:right w:w="28" w:type="dxa"/>
        </w:tblCellMar>
      </w:tblPr>
      <w:tblGrid>
        <w:gridCol w:w="2120"/>
        <w:gridCol w:w="1863"/>
        <w:gridCol w:w="1866"/>
        <w:gridCol w:w="167"/>
        <w:gridCol w:w="167"/>
        <w:gridCol w:w="237"/>
      </w:tblGrid>
      <w:tr>
        <w:trPr/>
        <w:tc>
          <w:tcPr>
            <w:tcW w:w="2120"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0">
              <w:r>
                <w:rPr>
                  <w:rStyle w:val="InternetLink"/>
                  <w:rFonts w:ascii="Times New Roman;serif" w:hAnsi="Times New Roman;serif"/>
                  <w:b w:val="false"/>
                  <w:color w:val="0000FF"/>
                  <w:sz w:val="20"/>
                  <w:u w:val="single"/>
                </w:rPr>
                <w:t>ABOUT THIS PROSPECTUS SUPPLEMENT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0">
              <w:r>
                <w:rPr>
                  <w:rStyle w:val="InternetLink"/>
                  <w:rFonts w:ascii="Times New Roman;serif" w:hAnsi="Times New Roman;serif"/>
                  <w:b w:val="false"/>
                  <w:strike w:val="false"/>
                  <w:dstrike w:val="false"/>
                  <w:color w:val="000000"/>
                  <w:sz w:val="20"/>
                  <w:u w:val="none"/>
                  <w:effect w:val="none"/>
                </w:rPr>
                <w:t>S-iii</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3">
              <w:r>
                <w:rPr>
                  <w:rStyle w:val="InternetLink"/>
                  <w:rFonts w:ascii="Times New Roman;serif" w:hAnsi="Times New Roman;serif"/>
                  <w:b w:val="false"/>
                  <w:color w:val="0000FF"/>
                  <w:sz w:val="20"/>
                  <w:u w:val="single"/>
                </w:rPr>
                <w:t>PROSPECTUS SUPPLEMENT SUMMARY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3">
              <w:r>
                <w:rPr>
                  <w:rStyle w:val="InternetLink"/>
                  <w:rFonts w:ascii="Times New Roman;serif" w:hAnsi="Times New Roman;serif"/>
                  <w:b w:val="false"/>
                  <w:strike w:val="false"/>
                  <w:dstrike w:val="false"/>
                  <w:color w:val="000000"/>
                  <w:sz w:val="20"/>
                  <w:u w:val="none"/>
                  <w:effect w:val="none"/>
                </w:rPr>
                <w:t>S-1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6">
              <w:r>
                <w:rPr>
                  <w:rStyle w:val="InternetLink"/>
                  <w:rFonts w:ascii="Times New Roman;serif" w:hAnsi="Times New Roman;serif"/>
                  <w:b w:val="false"/>
                  <w:color w:val="0000FF"/>
                  <w:sz w:val="20"/>
                  <w:u w:val="single"/>
                </w:rPr>
                <w:t>TERMS OF THE NOTES OFFERING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6">
              <w:r>
                <w:rPr>
                  <w:rStyle w:val="InternetLink"/>
                  <w:rFonts w:ascii="Times New Roman;serif" w:hAnsi="Times New Roman;serif"/>
                  <w:b w:val="false"/>
                  <w:strike w:val="false"/>
                  <w:dstrike w:val="false"/>
                  <w:color w:val="000000"/>
                  <w:sz w:val="20"/>
                  <w:u w:val="none"/>
                  <w:effect w:val="none"/>
                </w:rPr>
                <w:t>S-4</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9">
              <w:r>
                <w:rPr>
                  <w:rStyle w:val="InternetLink"/>
                  <w:rFonts w:ascii="Times New Roman;serif" w:hAnsi="Times New Roman;serif"/>
                  <w:b w:val="false"/>
                  <w:color w:val="0000FF"/>
                  <w:sz w:val="20"/>
                  <w:u w:val="single"/>
                </w:rPr>
                <w:t>SUPPLEMENTARY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9">
              <w:r>
                <w:rPr>
                  <w:rStyle w:val="InternetLink"/>
                  <w:rFonts w:ascii="Times New Roman;serif" w:hAnsi="Times New Roman;serif"/>
                  <w:b w:val="false"/>
                  <w:strike w:val="false"/>
                  <w:dstrike w:val="false"/>
                  <w:color w:val="000000"/>
                  <w:sz w:val="20"/>
                  <w:u w:val="none"/>
                  <w:effect w:val="none"/>
                </w:rPr>
                <w:t>S-9</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22">
              <w:r>
                <w:rPr>
                  <w:rStyle w:val="InternetLink"/>
                  <w:rFonts w:ascii="Times New Roman;serif" w:hAnsi="Times New Roman;serif"/>
                  <w:b w:val="false"/>
                  <w:color w:val="0000FF"/>
                  <w:sz w:val="20"/>
                  <w:u w:val="single"/>
                </w:rPr>
                <w:t>SPECIAL 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22">
              <w:r>
                <w:rPr>
                  <w:rStyle w:val="InternetLink"/>
                  <w:rFonts w:ascii="Times New Roman;serif" w:hAnsi="Times New Roman;serif"/>
                  <w:b w:val="false"/>
                  <w:strike w:val="false"/>
                  <w:dstrike w:val="false"/>
                  <w:color w:val="000000"/>
                  <w:sz w:val="20"/>
                  <w:u w:val="none"/>
                  <w:effect w:val="none"/>
                </w:rPr>
                <w:t>S-13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25">
              <w:r>
                <w:rPr>
                  <w:rStyle w:val="InternetLink"/>
                  <w:rFonts w:ascii="Times New Roman;serif" w:hAnsi="Times New Roman;serif"/>
                  <w:b w:val="false"/>
                  <w:color w:val="0000FF"/>
                  <w:sz w:val="20"/>
                  <w:u w:val="single"/>
                </w:rPr>
                <w:t>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25">
              <w:r>
                <w:rPr>
                  <w:rStyle w:val="InternetLink"/>
                  <w:rFonts w:ascii="Times New Roman;serif" w:hAnsi="Times New Roman;serif"/>
                  <w:b w:val="false"/>
                  <w:strike w:val="false"/>
                  <w:dstrike w:val="false"/>
                  <w:color w:val="000000"/>
                  <w:sz w:val="20"/>
                  <w:u w:val="none"/>
                  <w:effect w:val="none"/>
                </w:rPr>
                <w:t>S-15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28">
              <w:r>
                <w:rPr>
                  <w:rStyle w:val="InternetLink"/>
                  <w:rFonts w:ascii="Times New Roman;serif" w:hAnsi="Times New Roman;serif"/>
                  <w:b w:val="false"/>
                  <w:color w:val="0000FF"/>
                  <w:sz w:val="20"/>
                  <w:u w:val="single"/>
                </w:rPr>
                <w:t>CAPITALIZATION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28">
              <w:r>
                <w:rPr>
                  <w:rStyle w:val="InternetLink"/>
                  <w:rFonts w:ascii="Times New Roman;serif" w:hAnsi="Times New Roman;serif"/>
                  <w:b w:val="false"/>
                  <w:strike w:val="false"/>
                  <w:dstrike w:val="false"/>
                  <w:color w:val="000000"/>
                  <w:sz w:val="20"/>
                  <w:u w:val="none"/>
                  <w:effect w:val="none"/>
                </w:rPr>
                <w:t>S-16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31">
              <w:r>
                <w:rPr>
                  <w:rStyle w:val="InternetLink"/>
                  <w:rFonts w:ascii="Times New Roman;serif" w:hAnsi="Times New Roman;serif"/>
                  <w:b w:val="false"/>
                  <w:color w:val="0000FF"/>
                  <w:sz w:val="20"/>
                  <w:u w:val="single"/>
                </w:rPr>
                <w:t>DESCRIPTION OF THE NOTES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31">
              <w:r>
                <w:rPr>
                  <w:rStyle w:val="InternetLink"/>
                  <w:rFonts w:ascii="Times New Roman;serif" w:hAnsi="Times New Roman;serif"/>
                  <w:b w:val="false"/>
                  <w:strike w:val="false"/>
                  <w:dstrike w:val="false"/>
                  <w:color w:val="000000"/>
                  <w:sz w:val="20"/>
                  <w:u w:val="none"/>
                  <w:effect w:val="none"/>
                </w:rPr>
                <w:t>S-17</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34">
              <w:r>
                <w:rPr>
                  <w:rStyle w:val="InternetLink"/>
                  <w:rFonts w:ascii="Times New Roman;serif" w:hAnsi="Times New Roman;serif"/>
                  <w:b w:val="false"/>
                  <w:color w:val="0000FF"/>
                  <w:sz w:val="20"/>
                  <w:u w:val="single"/>
                </w:rPr>
                <w:t>CERTAIN U.S. FEDERAL INCOME TAX CONSEQUENCES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34">
              <w:r>
                <w:rPr>
                  <w:rStyle w:val="InternetLink"/>
                  <w:rFonts w:ascii="Times New Roman;serif" w:hAnsi="Times New Roman;serif"/>
                  <w:b w:val="false"/>
                  <w:strike w:val="false"/>
                  <w:dstrike w:val="false"/>
                  <w:color w:val="000000"/>
                  <w:sz w:val="20"/>
                  <w:u w:val="none"/>
                  <w:effect w:val="none"/>
                </w:rPr>
                <w:t>S-32</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37">
              <w:r>
                <w:rPr>
                  <w:rStyle w:val="InternetLink"/>
                  <w:rFonts w:ascii="Times New Roman;serif" w:hAnsi="Times New Roman;serif"/>
                  <w:b w:val="false"/>
                  <w:color w:val="0000FF"/>
                  <w:sz w:val="20"/>
                  <w:u w:val="single"/>
                </w:rPr>
                <w:t>UNDERWRITING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37">
              <w:r>
                <w:rPr>
                  <w:rStyle w:val="InternetLink"/>
                  <w:rFonts w:ascii="Times New Roman;serif" w:hAnsi="Times New Roman;serif"/>
                  <w:b w:val="false"/>
                  <w:strike w:val="false"/>
                  <w:dstrike w:val="false"/>
                  <w:color w:val="000000"/>
                  <w:sz w:val="20"/>
                  <w:u w:val="none"/>
                  <w:effect w:val="none"/>
                </w:rPr>
                <w:t>S-37</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40">
              <w:r>
                <w:rPr>
                  <w:rStyle w:val="InternetLink"/>
                  <w:rFonts w:ascii="Times New Roman;serif" w:hAnsi="Times New Roman;serif"/>
                  <w:b w:val="false"/>
                  <w:color w:val="0000FF"/>
                  <w:sz w:val="20"/>
                  <w:u w:val="single"/>
                </w:rPr>
                <w:t>LEGAL MATTERS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40">
              <w:r>
                <w:rPr>
                  <w:rStyle w:val="InternetLink"/>
                  <w:rFonts w:ascii="Times New Roman;serif" w:hAnsi="Times New Roman;serif"/>
                  <w:b w:val="false"/>
                  <w:strike w:val="false"/>
                  <w:dstrike w:val="false"/>
                  <w:color w:val="000000"/>
                  <w:sz w:val="20"/>
                  <w:u w:val="none"/>
                  <w:effect w:val="none"/>
                </w:rPr>
                <w:t>S-43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43">
              <w:r>
                <w:rPr>
                  <w:rStyle w:val="InternetLink"/>
                  <w:rFonts w:ascii="Times New Roman;serif" w:hAnsi="Times New Roman;serif"/>
                  <w:b w:val="false"/>
                  <w:color w:val="0000FF"/>
                  <w:sz w:val="20"/>
                  <w:u w:val="single"/>
                </w:rPr>
                <w:t>AVAILABLE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43">
              <w:r>
                <w:rPr>
                  <w:rStyle w:val="InternetLink"/>
                  <w:rFonts w:ascii="Times New Roman;serif" w:hAnsi="Times New Roman;serif"/>
                  <w:b w:val="false"/>
                  <w:strike w:val="false"/>
                  <w:dstrike w:val="false"/>
                  <w:color w:val="000000"/>
                  <w:sz w:val="20"/>
                  <w:u w:val="none"/>
                  <w:effect w:val="none"/>
                </w:rPr>
                <w:t>S-44</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46">
              <w:r>
                <w:rPr>
                  <w:rStyle w:val="InternetLink"/>
                  <w:rFonts w:ascii="Times New Roman;serif" w:hAnsi="Times New Roman;serif"/>
                  <w:b w:val="false"/>
                  <w:color w:val="0000FF"/>
                  <w:sz w:val="20"/>
                  <w:u w:val="single"/>
                </w:rPr>
                <w:t>INCORPORATION BY REFERENCE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46">
              <w:r>
                <w:rPr>
                  <w:rStyle w:val="InternetLink"/>
                  <w:rFonts w:ascii="Times New Roman;serif" w:hAnsi="Times New Roman;serif"/>
                  <w:b w:val="false"/>
                  <w:strike w:val="false"/>
                  <w:dstrike w:val="false"/>
                  <w:color w:val="000000"/>
                  <w:sz w:val="20"/>
                  <w:u w:val="none"/>
                  <w:effect w:val="none"/>
                </w:rPr>
                <w:t>S-45</w:t>
              </w:r>
            </w:hyperlink>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Prospectus</w:t>
      </w:r>
    </w:p>
    <w:tbl>
      <w:tblPr>
        <w:tblW w:w="10096" w:type="dxa"/>
        <w:jc w:val="center"/>
        <w:tblInd w:w="0" w:type="dxa"/>
        <w:tblLayout w:type="fixed"/>
        <w:tblCellMar>
          <w:top w:w="28" w:type="dxa"/>
          <w:left w:w="28" w:type="dxa"/>
          <w:bottom w:w="28" w:type="dxa"/>
          <w:right w:w="28" w:type="dxa"/>
        </w:tblCellMar>
      </w:tblPr>
      <w:tblGrid>
        <w:gridCol w:w="3448"/>
        <w:gridCol w:w="3035"/>
        <w:gridCol w:w="3042"/>
        <w:gridCol w:w="167"/>
        <w:gridCol w:w="167"/>
        <w:gridCol w:w="237"/>
      </w:tblGrid>
      <w:tr>
        <w:trPr/>
        <w:tc>
          <w:tcPr>
            <w:tcW w:w="3448"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52">
              <w:r>
                <w:rPr>
                  <w:rStyle w:val="InternetLink"/>
                  <w:rFonts w:ascii="Times New Roman;serif" w:hAnsi="Times New Roman;serif"/>
                  <w:b w:val="false"/>
                  <w:color w:val="0000FF"/>
                  <w:sz w:val="20"/>
                  <w:u w:val="single"/>
                </w:rPr>
                <w:t>ABOUT THIS PROSPECTUS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52">
              <w:r>
                <w:rPr>
                  <w:rStyle w:val="InternetLink"/>
                  <w:rFonts w:ascii="Times New Roman;serif" w:hAnsi="Times New Roman;serif"/>
                  <w:b w:val="false"/>
                  <w:strike w:val="false"/>
                  <w:dstrike w:val="false"/>
                  <w:color w:val="000000"/>
                  <w:sz w:val="20"/>
                  <w:u w:val="none"/>
                  <w:effect w:val="none"/>
                </w:rPr>
                <w:t>1</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55">
              <w:r>
                <w:rPr>
                  <w:rStyle w:val="InternetLink"/>
                  <w:rFonts w:ascii="Times New Roman;serif" w:hAnsi="Times New Roman;serif"/>
                  <w:b w:val="false"/>
                  <w:color w:val="0000FF"/>
                  <w:sz w:val="20"/>
                  <w:u w:val="single"/>
                </w:rPr>
                <w:t>PROSPECTUS SUMMARY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55">
              <w:r>
                <w:rPr>
                  <w:rStyle w:val="InternetLink"/>
                  <w:rFonts w:ascii="Times New Roman;serif" w:hAnsi="Times New Roman;serif"/>
                  <w:b w:val="false"/>
                  <w:strike w:val="false"/>
                  <w:dstrike w:val="false"/>
                  <w:color w:val="000000"/>
                  <w:sz w:val="20"/>
                  <w:u w:val="none"/>
                  <w:effect w:val="none"/>
                </w:rPr>
                <w:t>2</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58">
              <w:r>
                <w:rPr>
                  <w:rStyle w:val="InternetLink"/>
                  <w:rFonts w:ascii="Times New Roman;serif" w:hAnsi="Times New Roman;serif"/>
                  <w:b w:val="false"/>
                  <w:color w:val="0000FF"/>
                  <w:sz w:val="20"/>
                  <w:u w:val="single"/>
                </w:rPr>
                <w:t>THE OFFERING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58">
              <w:r>
                <w:rPr>
                  <w:rStyle w:val="InternetLink"/>
                  <w:rFonts w:ascii="Times New Roman;serif" w:hAnsi="Times New Roman;serif"/>
                  <w:b w:val="false"/>
                  <w:strike w:val="false"/>
                  <w:dstrike w:val="false"/>
                  <w:color w:val="000000"/>
                  <w:sz w:val="20"/>
                  <w:u w:val="none"/>
                  <w:effect w:val="none"/>
                </w:rPr>
                <w:t>4</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61">
              <w:r>
                <w:rPr>
                  <w:rStyle w:val="InternetLink"/>
                  <w:rFonts w:ascii="Times New Roman;serif" w:hAnsi="Times New Roman;serif"/>
                  <w:b w:val="false"/>
                  <w:color w:val="0000FF"/>
                  <w:sz w:val="20"/>
                  <w:u w:val="single"/>
                </w:rPr>
                <w:t>FEES AND EXPENSES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61">
              <w:r>
                <w:rPr>
                  <w:rStyle w:val="InternetLink"/>
                  <w:rFonts w:ascii="Times New Roman;serif" w:hAnsi="Times New Roman;serif"/>
                  <w:b w:val="false"/>
                  <w:strike w:val="false"/>
                  <w:dstrike w:val="false"/>
                  <w:color w:val="000000"/>
                  <w:sz w:val="20"/>
                  <w:u w:val="none"/>
                  <w:effect w:val="none"/>
                </w:rPr>
                <w:t>7</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64">
              <w:r>
                <w:rPr>
                  <w:rStyle w:val="InternetLink"/>
                  <w:rFonts w:ascii="Times New Roman;serif" w:hAnsi="Times New Roman;serif"/>
                  <w:b w:val="false"/>
                  <w:color w:val="0000FF"/>
                  <w:sz w:val="20"/>
                  <w:u w:val="single"/>
                </w:rPr>
                <w:t>FINANCIAL HIGHLIGHTS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64">
              <w:r>
                <w:rPr>
                  <w:rStyle w:val="InternetLink"/>
                  <w:rFonts w:ascii="Times New Roman;serif" w:hAnsi="Times New Roman;serif"/>
                  <w:b w:val="false"/>
                  <w:strike w:val="false"/>
                  <w:dstrike w:val="false"/>
                  <w:color w:val="000000"/>
                  <w:sz w:val="20"/>
                  <w:u w:val="none"/>
                  <w:effect w:val="none"/>
                </w:rPr>
                <w:t>9</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67">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67">
              <w:r>
                <w:rPr>
                  <w:rStyle w:val="InternetLink"/>
                  <w:rFonts w:ascii="Times New Roman;serif" w:hAnsi="Times New Roman;serif"/>
                  <w:b w:val="false"/>
                  <w:strike w:val="false"/>
                  <w:dstrike w:val="false"/>
                  <w:color w:val="000000"/>
                  <w:sz w:val="20"/>
                  <w:u w:val="none"/>
                  <w:effect w:val="none"/>
                </w:rPr>
                <w:t>10</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70">
              <w:r>
                <w:rPr>
                  <w:rStyle w:val="InternetLink"/>
                  <w:rFonts w:ascii="Times New Roman;serif" w:hAnsi="Times New Roman;serif"/>
                  <w:b w:val="false"/>
                  <w:strike w:val="false"/>
                  <w:dstrike w:val="false"/>
                  <w:color w:val="000000"/>
                  <w:sz w:val="20"/>
                  <w:u w:val="none"/>
                  <w:effect w:val="none"/>
                </w:rPr>
                <w:t>11</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73">
              <w:r>
                <w:rPr>
                  <w:rStyle w:val="InternetLink"/>
                  <w:rFonts w:ascii="Times New Roman;serif" w:hAnsi="Times New Roman;serif"/>
                  <w:b w:val="false"/>
                  <w:color w:val="0000FF"/>
                  <w:sz w:val="20"/>
                  <w:u w:val="single"/>
                </w:rPr>
                <w:t>CAUTIONARY STATEMENT CONCERNING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73">
              <w:r>
                <w:rPr>
                  <w:rStyle w:val="InternetLink"/>
                  <w:rFonts w:ascii="Times New Roman;serif" w:hAnsi="Times New Roman;serif"/>
                  <w:b w:val="false"/>
                  <w:strike w:val="false"/>
                  <w:dstrike w:val="false"/>
                  <w:color w:val="000000"/>
                  <w:sz w:val="20"/>
                  <w:u w:val="none"/>
                  <w:effect w:val="none"/>
                </w:rPr>
                <w:t>12</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76">
              <w:r>
                <w:rPr>
                  <w:rStyle w:val="InternetLink"/>
                  <w:rFonts w:ascii="Times New Roman;serif" w:hAnsi="Times New Roman;serif"/>
                  <w:b w:val="false"/>
                  <w:color w:val="0000FF"/>
                  <w:sz w:val="20"/>
                  <w:u w:val="single"/>
                </w:rPr>
                <w:t>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76">
              <w:r>
                <w:rPr>
                  <w:rStyle w:val="InternetLink"/>
                  <w:rFonts w:ascii="Times New Roman;serif" w:hAnsi="Times New Roman;serif"/>
                  <w:b w:val="false"/>
                  <w:strike w:val="false"/>
                  <w:dstrike w:val="false"/>
                  <w:color w:val="000000"/>
                  <w:sz w:val="20"/>
                  <w:u w:val="none"/>
                  <w:effect w:val="none"/>
                </w:rPr>
                <w:t>14</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79">
              <w:r>
                <w:rPr>
                  <w:rStyle w:val="InternetLink"/>
                  <w:rFonts w:ascii="Times New Roman;serif" w:hAnsi="Times New Roman;serif"/>
                  <w:b w:val="false"/>
                  <w:color w:val="0000FF"/>
                  <w:sz w:val="20"/>
                  <w:u w:val="single"/>
                </w:rPr>
                <w:t>PRICE RANGE OF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79">
              <w:r>
                <w:rPr>
                  <w:rStyle w:val="InternetLink"/>
                  <w:rFonts w:ascii="Times New Roman;serif" w:hAnsi="Times New Roman;serif"/>
                  <w:b w:val="false"/>
                  <w:strike w:val="false"/>
                  <w:dstrike w:val="false"/>
                  <w:color w:val="000000"/>
                  <w:sz w:val="20"/>
                  <w:u w:val="none"/>
                  <w:effect w:val="none"/>
                </w:rPr>
                <w:t>15</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82">
              <w:r>
                <w:rPr>
                  <w:rStyle w:val="InternetLink"/>
                  <w:rFonts w:ascii="Times New Roman;serif" w:hAnsi="Times New Roman;serif"/>
                  <w:b w:val="false"/>
                  <w:color w:val="0000FF"/>
                  <w:sz w:val="20"/>
                  <w:u w:val="single"/>
                </w:rPr>
                <w:t>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82">
              <w:r>
                <w:rPr>
                  <w:rStyle w:val="InternetLink"/>
                  <w:rFonts w:ascii="Times New Roman;serif" w:hAnsi="Times New Roman;serif"/>
                  <w:b w:val="false"/>
                  <w:strike w:val="false"/>
                  <w:dstrike w:val="false"/>
                  <w:color w:val="000000"/>
                  <w:sz w:val="20"/>
                  <w:u w:val="none"/>
                  <w:effect w:val="none"/>
                </w:rPr>
                <w:t>16</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85">
              <w:r>
                <w:rPr>
                  <w:rStyle w:val="InternetLink"/>
                  <w:rFonts w:ascii="Times New Roman;serif" w:hAnsi="Times New Roman;serif"/>
                  <w:b w:val="false"/>
                  <w:color w:val="0000FF"/>
                  <w:sz w:val="20"/>
                  <w:u w:val="single"/>
                </w:rPr>
                <w:t>BUSINESS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85">
              <w:r>
                <w:rPr>
                  <w:rStyle w:val="InternetLink"/>
                  <w:rFonts w:ascii="Times New Roman;serif" w:hAnsi="Times New Roman;serif"/>
                  <w:b w:val="false"/>
                  <w:strike w:val="false"/>
                  <w:dstrike w:val="false"/>
                  <w:color w:val="000000"/>
                  <w:sz w:val="20"/>
                  <w:u w:val="none"/>
                  <w:effect w:val="none"/>
                </w:rPr>
                <w:t>17</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88">
              <w:r>
                <w:rPr>
                  <w:rStyle w:val="InternetLink"/>
                  <w:rFonts w:ascii="Times New Roman;serif" w:hAnsi="Times New Roman;serif"/>
                  <w:b w:val="false"/>
                  <w:color w:val="0000FF"/>
                  <w:sz w:val="20"/>
                  <w:u w:val="single"/>
                </w:rPr>
                <w:t>PORTFOLIO COMPANIES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88">
              <w:r>
                <w:rPr>
                  <w:rStyle w:val="InternetLink"/>
                  <w:rFonts w:ascii="Times New Roman;serif" w:hAnsi="Times New Roman;serif"/>
                  <w:b w:val="false"/>
                  <w:strike w:val="false"/>
                  <w:dstrike w:val="false"/>
                  <w:color w:val="000000"/>
                  <w:sz w:val="20"/>
                  <w:u w:val="none"/>
                  <w:effect w:val="none"/>
                </w:rPr>
                <w:t>18</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94">
              <w:r>
                <w:rPr>
                  <w:rStyle w:val="InternetLink"/>
                  <w:rFonts w:ascii="Times New Roman;serif" w:hAnsi="Times New Roman;serif"/>
                  <w:b w:val="false"/>
                  <w:color w:val="0000FF"/>
                  <w:sz w:val="20"/>
                  <w:u w:val="single"/>
                </w:rPr>
                <w:t>MANAGEMENT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94">
              <w:r>
                <w:rPr>
                  <w:rStyle w:val="InternetLink"/>
                  <w:rFonts w:ascii="Times New Roman;serif" w:hAnsi="Times New Roman;serif"/>
                  <w:b w:val="false"/>
                  <w:strike w:val="false"/>
                  <w:dstrike w:val="false"/>
                  <w:color w:val="000000"/>
                  <w:sz w:val="20"/>
                  <w:u w:val="none"/>
                  <w:effect w:val="none"/>
                </w:rPr>
                <w:t>47</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97">
              <w:r>
                <w:rPr>
                  <w:rStyle w:val="InternetLink"/>
                  <w:rFonts w:ascii="Times New Roman;serif" w:hAnsi="Times New Roman;serif"/>
                  <w:b w:val="false"/>
                  <w:color w:val="0000FF"/>
                  <w:sz w:val="20"/>
                  <w:u w:val="single"/>
                </w:rPr>
                <w:t>CERTAIN RELATIONSHIPS AND RELATED TRANSACTIONS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97">
              <w:r>
                <w:rPr>
                  <w:rStyle w:val="InternetLink"/>
                  <w:rFonts w:ascii="Times New Roman;serif" w:hAnsi="Times New Roman;serif"/>
                  <w:b w:val="false"/>
                  <w:strike w:val="false"/>
                  <w:dstrike w:val="false"/>
                  <w:color w:val="000000"/>
                  <w:sz w:val="20"/>
                  <w:u w:val="none"/>
                  <w:effect w:val="none"/>
                </w:rPr>
                <w:t>48</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00">
              <w:r>
                <w:rPr>
                  <w:rStyle w:val="InternetLink"/>
                  <w:rFonts w:ascii="Times New Roman;serif" w:hAnsi="Times New Roman;serif"/>
                  <w:b w:val="false"/>
                  <w:color w:val="0000FF"/>
                  <w:sz w:val="20"/>
                  <w:u w:val="single"/>
                </w:rPr>
                <w:t>CONTROL PERSONS AND PRINCIPAL STOCKHOLDERS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00">
              <w:r>
                <w:rPr>
                  <w:rStyle w:val="InternetLink"/>
                  <w:rFonts w:ascii="Times New Roman;serif" w:hAnsi="Times New Roman;serif"/>
                  <w:b w:val="false"/>
                  <w:strike w:val="false"/>
                  <w:dstrike w:val="false"/>
                  <w:color w:val="000000"/>
                  <w:sz w:val="20"/>
                  <w:u w:val="none"/>
                  <w:effect w:val="none"/>
                </w:rPr>
                <w:t>49</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03">
              <w:r>
                <w:rPr>
                  <w:rStyle w:val="InternetLink"/>
                  <w:rFonts w:ascii="Times New Roman;serif" w:hAnsi="Times New Roman;serif"/>
                  <w:b w:val="false"/>
                  <w:color w:val="0000FF"/>
                  <w:sz w:val="20"/>
                  <w:u w:val="single"/>
                </w:rPr>
                <w:t>DETERMINATION OF NET ASSET VALUE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03">
              <w:r>
                <w:rPr>
                  <w:rStyle w:val="InternetLink"/>
                  <w:rFonts w:ascii="Times New Roman;serif" w:hAnsi="Times New Roman;serif"/>
                  <w:b w:val="false"/>
                  <w:strike w:val="false"/>
                  <w:dstrike w:val="false"/>
                  <w:color w:val="000000"/>
                  <w:sz w:val="20"/>
                  <w:u w:val="none"/>
                  <w:effect w:val="none"/>
                </w:rPr>
                <w:t>50</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06">
              <w:r>
                <w:rPr>
                  <w:rStyle w:val="InternetLink"/>
                  <w:rFonts w:ascii="Times New Roman;serif" w:hAnsi="Times New Roman;serif"/>
                  <w:b w:val="false"/>
                  <w:color w:val="0000FF"/>
                  <w:sz w:val="20"/>
                  <w:u w:val="single"/>
                </w:rPr>
                <w:t>SALES OF COMMON STOCK BELOW NET ASSET VALUE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06">
              <w:r>
                <w:rPr>
                  <w:rStyle w:val="InternetLink"/>
                  <w:rFonts w:ascii="Times New Roman;serif" w:hAnsi="Times New Roman;serif"/>
                  <w:b w:val="false"/>
                  <w:strike w:val="false"/>
                  <w:dstrike w:val="false"/>
                  <w:color w:val="000000"/>
                  <w:sz w:val="20"/>
                  <w:u w:val="none"/>
                  <w:effect w:val="none"/>
                </w:rPr>
                <w:t>51</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09">
              <w:r>
                <w:rPr>
                  <w:rStyle w:val="InternetLink"/>
                  <w:rFonts w:ascii="Times New Roman;serif" w:hAnsi="Times New Roman;serif"/>
                  <w:b w:val="false"/>
                  <w:color w:val="0000FF"/>
                  <w:sz w:val="20"/>
                  <w:u w:val="single"/>
                </w:rPr>
                <w:t>DIVIDEND REINVESTMENT PLAN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09">
              <w:r>
                <w:rPr>
                  <w:rStyle w:val="InternetLink"/>
                  <w:rFonts w:ascii="Times New Roman;serif" w:hAnsi="Times New Roman;serif"/>
                  <w:b w:val="false"/>
                  <w:strike w:val="false"/>
                  <w:dstrike w:val="false"/>
                  <w:color w:val="000000"/>
                  <w:sz w:val="20"/>
                  <w:u w:val="none"/>
                  <w:effect w:val="none"/>
                </w:rPr>
                <w:t>56</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12">
              <w:r>
                <w:rPr>
                  <w:rStyle w:val="InternetLink"/>
                  <w:rFonts w:ascii="Times New Roman;serif" w:hAnsi="Times New Roman;serif"/>
                  <w:b w:val="false"/>
                  <w:color w:val="0000FF"/>
                  <w:sz w:val="20"/>
                  <w:u w:val="single"/>
                </w:rPr>
                <w:t>DESCRIPTION OF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12">
              <w:r>
                <w:rPr>
                  <w:rStyle w:val="InternetLink"/>
                  <w:rFonts w:ascii="Times New Roman;serif" w:hAnsi="Times New Roman;serif"/>
                  <w:b w:val="false"/>
                  <w:strike w:val="false"/>
                  <w:dstrike w:val="false"/>
                  <w:color w:val="000000"/>
                  <w:sz w:val="20"/>
                  <w:u w:val="none"/>
                  <w:effect w:val="none"/>
                </w:rPr>
                <w:t>57</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15">
              <w:r>
                <w:rPr>
                  <w:rStyle w:val="InternetLink"/>
                  <w:rFonts w:ascii="Times New Roman;serif" w:hAnsi="Times New Roman;serif"/>
                  <w:b w:val="false"/>
                  <w:color w:val="0000FF"/>
                  <w:sz w:val="20"/>
                  <w:u w:val="single"/>
                </w:rPr>
                <w:t>DESCRIPTION OF OUR DEBT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15">
              <w:r>
                <w:rPr>
                  <w:rStyle w:val="InternetLink"/>
                  <w:rFonts w:ascii="Times New Roman;serif" w:hAnsi="Times New Roman;serif"/>
                  <w:b w:val="false"/>
                  <w:strike w:val="false"/>
                  <w:dstrike w:val="false"/>
                  <w:color w:val="000000"/>
                  <w:sz w:val="20"/>
                  <w:u w:val="none"/>
                  <w:effect w:val="none"/>
                </w:rPr>
                <w:t>58</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18">
              <w:r>
                <w:rPr>
                  <w:rStyle w:val="InternetLink"/>
                  <w:rFonts w:ascii="Times New Roman;serif" w:hAnsi="Times New Roman;serif"/>
                  <w:b w:val="false"/>
                  <w:color w:val="0000FF"/>
                  <w:sz w:val="20"/>
                  <w:u w:val="single"/>
                </w:rPr>
                <w:t>CERTAIN U.S. FEDERAL INCOME TAX CONSIDERATIONS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18">
              <w:r>
                <w:rPr>
                  <w:rStyle w:val="InternetLink"/>
                  <w:rFonts w:ascii="Times New Roman;serif" w:hAnsi="Times New Roman;serif"/>
                  <w:b w:val="false"/>
                  <w:strike w:val="false"/>
                  <w:dstrike w:val="false"/>
                  <w:color w:val="000000"/>
                  <w:sz w:val="20"/>
                  <w:u w:val="none"/>
                  <w:effect w:val="none"/>
                </w:rPr>
                <w:t>68</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21">
              <w:r>
                <w:rPr>
                  <w:rStyle w:val="InternetLink"/>
                  <w:rFonts w:ascii="Times New Roman;serif" w:hAnsi="Times New Roman;serif"/>
                  <w:b w:val="false"/>
                  <w:color w:val="0000FF"/>
                  <w:sz w:val="20"/>
                  <w:u w:val="single"/>
                </w:rPr>
                <w:t>REGULATION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21">
              <w:r>
                <w:rPr>
                  <w:rStyle w:val="InternetLink"/>
                  <w:rFonts w:ascii="Times New Roman;serif" w:hAnsi="Times New Roman;serif"/>
                  <w:b w:val="false"/>
                  <w:strike w:val="false"/>
                  <w:dstrike w:val="false"/>
                  <w:color w:val="000000"/>
                  <w:sz w:val="20"/>
                  <w:u w:val="none"/>
                  <w:effect w:val="none"/>
                </w:rPr>
                <w:t>76</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24">
              <w:r>
                <w:rPr>
                  <w:rStyle w:val="InternetLink"/>
                  <w:rFonts w:ascii="Times New Roman;serif" w:hAnsi="Times New Roman;serif"/>
                  <w:b w:val="false"/>
                  <w:color w:val="0000FF"/>
                  <w:sz w:val="20"/>
                  <w:u w:val="single"/>
                </w:rPr>
                <w:t>PLAN OF DISTRIBUTION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24">
              <w:r>
                <w:rPr>
                  <w:rStyle w:val="InternetLink"/>
                  <w:rFonts w:ascii="Times New Roman;serif" w:hAnsi="Times New Roman;serif"/>
                  <w:b w:val="false"/>
                  <w:strike w:val="false"/>
                  <w:dstrike w:val="false"/>
                  <w:color w:val="000000"/>
                  <w:sz w:val="20"/>
                  <w:u w:val="none"/>
                  <w:effect w:val="none"/>
                </w:rPr>
                <w:t>77</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27">
              <w:r>
                <w:rPr>
                  <w:rStyle w:val="InternetLink"/>
                  <w:rFonts w:ascii="Times New Roman;serif" w:hAnsi="Times New Roman;serif"/>
                  <w:b w:val="false"/>
                  <w:color w:val="0000FF"/>
                  <w:sz w:val="20"/>
                  <w:u w:val="single"/>
                </w:rPr>
                <w:t>CUSTODIAN, TRANSFER AND DISTRIBUTION PAYING AGENT AND REGISTRAR</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27">
              <w:r>
                <w:rPr>
                  <w:rStyle w:val="InternetLink"/>
                  <w:rFonts w:ascii="Times New Roman;serif" w:hAnsi="Times New Roman;serif"/>
                  <w:b w:val="false"/>
                  <w:strike w:val="false"/>
                  <w:dstrike w:val="false"/>
                  <w:color w:val="000000"/>
                  <w:sz w:val="20"/>
                  <w:u w:val="none"/>
                  <w:effect w:val="none"/>
                </w:rPr>
                <w:t>79</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30">
              <w:r>
                <w:rPr>
                  <w:rStyle w:val="InternetLink"/>
                  <w:rFonts w:ascii="Times New Roman;serif" w:hAnsi="Times New Roman;serif"/>
                  <w:b w:val="false"/>
                  <w:color w:val="0000FF"/>
                  <w:sz w:val="20"/>
                  <w:u w:val="single"/>
                </w:rPr>
                <w:t>BROKERAGE ALLOCATION AND OTHER PRACTICES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30">
              <w:r>
                <w:rPr>
                  <w:rStyle w:val="InternetLink"/>
                  <w:rFonts w:ascii="Times New Roman;serif" w:hAnsi="Times New Roman;serif"/>
                  <w:b w:val="false"/>
                  <w:strike w:val="false"/>
                  <w:dstrike w:val="false"/>
                  <w:color w:val="000000"/>
                  <w:sz w:val="20"/>
                  <w:u w:val="none"/>
                  <w:effect w:val="none"/>
                </w:rPr>
                <w:t>80</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33">
              <w:r>
                <w:rPr>
                  <w:rStyle w:val="InternetLink"/>
                  <w:rFonts w:ascii="Times New Roman;serif" w:hAnsi="Times New Roman;serif"/>
                  <w:b w:val="false"/>
                  <w:color w:val="0000FF"/>
                  <w:sz w:val="20"/>
                  <w:u w:val="single"/>
                </w:rPr>
                <w:t>LEGAL MATTERS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33">
              <w:r>
                <w:rPr>
                  <w:rStyle w:val="InternetLink"/>
                  <w:rFonts w:ascii="Times New Roman;serif" w:hAnsi="Times New Roman;serif"/>
                  <w:b w:val="false"/>
                  <w:strike w:val="false"/>
                  <w:dstrike w:val="false"/>
                  <w:color w:val="000000"/>
                  <w:sz w:val="20"/>
                  <w:u w:val="none"/>
                  <w:effect w:val="none"/>
                </w:rPr>
                <w:t>80</w:t>
              </w:r>
            </w:hyperlink>
          </w:p>
        </w:tc>
      </w:tr>
      <w:tr>
        <w:trPr/>
        <w:tc>
          <w:tcPr>
            <w:tcW w:w="9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36">
              <w:r>
                <w:rPr>
                  <w:rStyle w:val="InternetLink"/>
                  <w:rFonts w:ascii="Times New Roman;serif" w:hAnsi="Times New Roman;serif"/>
                  <w:b w:val="false"/>
                  <w:color w:val="0000FF"/>
                  <w:sz w:val="20"/>
                  <w:u w:val="single"/>
                </w:rPr>
                <w:t>INDEPENDENT REGISTERED PUBLIC ACCOUNTING FIRM</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36">
              <w:r>
                <w:rPr>
                  <w:rStyle w:val="InternetLink"/>
                  <w:rFonts w:ascii="Times New Roman;serif" w:hAnsi="Times New Roman;serif"/>
                  <w:b w:val="false"/>
                  <w:strike w:val="false"/>
                  <w:dstrike w:val="false"/>
                  <w:color w:val="000000"/>
                  <w:sz w:val="20"/>
                  <w:u w:val="none"/>
                  <w:effect w:val="none"/>
                </w:rPr>
                <w:t>80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536" w:type="dxa"/>
        <w:jc w:val="center"/>
        <w:tblInd w:w="0" w:type="dxa"/>
        <w:tblLayout w:type="fixed"/>
        <w:tblCellMar>
          <w:top w:w="28" w:type="dxa"/>
          <w:left w:w="28" w:type="dxa"/>
          <w:bottom w:w="28" w:type="dxa"/>
          <w:right w:w="28" w:type="dxa"/>
        </w:tblCellMar>
      </w:tblPr>
      <w:tblGrid>
        <w:gridCol w:w="1146"/>
        <w:gridCol w:w="1007"/>
        <w:gridCol w:w="1011"/>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39">
              <w:r>
                <w:rPr>
                  <w:rStyle w:val="InternetLink"/>
                  <w:rFonts w:ascii="Times New Roman;serif" w:hAnsi="Times New Roman;serif"/>
                  <w:b w:val="false"/>
                  <w:color w:val="0000FF"/>
                  <w:sz w:val="20"/>
                  <w:u w:val="single"/>
                </w:rPr>
                <w:t>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39">
              <w:r>
                <w:rPr>
                  <w:rStyle w:val="InternetLink"/>
                  <w:rFonts w:ascii="Times New Roman;serif" w:hAnsi="Times New Roman;serif"/>
                  <w:b w:val="false"/>
                  <w:strike w:val="false"/>
                  <w:dstrike w:val="false"/>
                  <w:color w:val="000000"/>
                  <w:sz w:val="20"/>
                  <w:u w:val="none"/>
                  <w:effect w:val="none"/>
                </w:rPr>
                <w:t>81</w:t>
              </w:r>
            </w:hyperlink>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ae46a6a985469e9685af81f3769400_142">
              <w:r>
                <w:rPr>
                  <w:rStyle w:val="InternetLink"/>
                  <w:rFonts w:ascii="Times New Roman;serif" w:hAnsi="Times New Roman;serif"/>
                  <w:b w:val="false"/>
                  <w:color w:val="0000FF"/>
                  <w:sz w:val="20"/>
                  <w:u w:val="single"/>
                </w:rPr>
                <w:t>AVAILABLE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ae46a6a985469e9685af81f3769400_142">
              <w:r>
                <w:rPr>
                  <w:rStyle w:val="InternetLink"/>
                  <w:rFonts w:ascii="Times New Roman;serif" w:hAnsi="Times New Roman;serif"/>
                  <w:b w:val="false"/>
                  <w:strike w:val="false"/>
                  <w:dstrike w:val="false"/>
                  <w:color w:val="000000"/>
                  <w:sz w:val="20"/>
                  <w:u w:val="none"/>
                  <w:effect w:val="none"/>
                </w:rPr>
                <w:t>82</w:t>
              </w:r>
            </w:hyperlink>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ABOUT THIS PROSPECTUS SUPPLEMENT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of Notes.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You should rely only on the information included or incorporated by reference in this prospectus supplement, the accompanying prospectus, or any free writing prospectuses prepared by, or on behalf of, us that relates to this offering of the Notes. Neither we nor the underwriters have authorized any other person to provide you with different information or to make representations as to matters not stated in this prospectus supplement, the accompanying prospectus or any free writing prospectus prepared by, or on behalf of, us that relates to this offering of the Notes. We take no responsibility for, and can provide no assurance as to the reliability of, any other information that others give you. If anyone provides you with different or inconsistent information, you should not rely on it. This prospectus supplement, the accompanying prospectus and any free writing prospectus prepared by, or on behalf of us, that relates to this offering of the Notes do not constitute an offer to sell, or a solicitation of an offer to buy, any of the Notes by any person in any jurisdiction where it is unlawful for that person to make such an offer or solicitation or to any person in any jurisdiction to whom it is unlawful to make such an offer or solicitation. You should not assume that the information included in this prospectus supplement, the accompanying prospectus or any free writing prospectus is complete and accurate as of any date other than their respective dates, or that any information incorporated by reference herein or therein is complete and accurate as of any date other than the date of the document incorporated by reference containing such information, regardless of the time of delivery of this prospectus supplement or sale of the Notes.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bdr w:val="single" w:sz="8" w:space="20" w:color="000000"/>
        </w:rPr>
      </w:pPr>
      <w:r>
        <w:rPr>
          <w:rFonts w:ascii="Times New Roman;serif" w:hAnsi="Times New Roman;serif"/>
          <w:b/>
          <w:color w:val="000000"/>
          <w:sz w:val="20"/>
          <w:bdr w:val="single" w:sz="8" w:space="20" w:color="000000"/>
        </w:rPr>
        <w:t>PROSPECTUS SUPPLEMENT SUMMARY</w:t>
      </w:r>
    </w:p>
    <w:p>
      <w:pPr>
        <w:pStyle w:val="TextBody"/>
        <w:bidi w:val="0"/>
        <w:spacing w:lineRule="auto" w:line="288" w:before="240" w:after="283"/>
        <w:jc w:val="both"/>
        <w:rPr/>
      </w:pPr>
      <w:r>
        <w:rPr>
          <w:rFonts w:ascii="Times New Roman;serif" w:hAnsi="Times New Roman;serif"/>
          <w:b w:val="false"/>
          <w:i/>
          <w:color w:val="000000"/>
          <w:sz w:val="20"/>
          <w:bdr w:val="single" w:sz="8" w:space="20" w:color="000000"/>
        </w:rPr>
        <w:t xml:space="preserve">This summary highlights some of the information included elsewhere in this prospectus supplement or incorporated by reference in this prospectus supplement or the accompanying prospectus. It is not complete and may not contain all of the information that you should consider before making your investment decision to invest in the Notes offered hereby. To understand the terms of the Notes offered hereby before making your investment decision, you should carefully read the entire prospectus supplement, the accompanying prospectus, any free writing prospectus relating to this offering and the documents incorporated by reference in this prospectus supplement and the accompanying prospectus, as provided in sections titled “Available Information” and “Incorporation by Reference” beginning on pages </w:t>
      </w:r>
      <w:hyperlink w:anchor="i1eae46a6a985469e9685af81f3769400_43">
        <w:r>
          <w:rPr>
            <w:rStyle w:val="InternetLink"/>
            <w:rFonts w:ascii="Times New Roman;serif" w:hAnsi="Times New Roman;serif"/>
            <w:b w:val="false"/>
            <w:i/>
            <w:color w:val="0000FF"/>
            <w:sz w:val="20"/>
            <w:u w:val="single"/>
            <w:bdr w:val="single" w:sz="8" w:space="20" w:color="000000"/>
          </w:rPr>
          <w:t>S-44</w:t>
        </w:r>
      </w:hyperlink>
      <w:r>
        <w:rPr>
          <w:color w:val="000000"/>
          <w:bdr w:val="single" w:sz="8" w:space="20" w:color="000000"/>
        </w:rPr>
        <w:t xml:space="preserve"> </w:t>
      </w:r>
      <w:r>
        <w:rPr>
          <w:rFonts w:ascii="Times New Roman;serif" w:hAnsi="Times New Roman;serif"/>
          <w:b w:val="false"/>
          <w:i/>
          <w:color w:val="000000"/>
          <w:sz w:val="20"/>
          <w:bdr w:val="single" w:sz="8" w:space="20" w:color="000000"/>
        </w:rPr>
        <w:t xml:space="preserve">and </w:t>
      </w:r>
      <w:hyperlink w:anchor="i1eae46a6a985469e9685af81f3769400_46">
        <w:r>
          <w:rPr>
            <w:rStyle w:val="InternetLink"/>
            <w:rFonts w:ascii="Times New Roman;serif" w:hAnsi="Times New Roman;serif"/>
            <w:b w:val="false"/>
            <w:i/>
            <w:color w:val="0000FF"/>
            <w:sz w:val="20"/>
            <w:u w:val="single"/>
            <w:bdr w:val="single" w:sz="8" w:space="20" w:color="000000"/>
          </w:rPr>
          <w:t>S-45</w:t>
        </w:r>
      </w:hyperlink>
      <w:r>
        <w:rPr>
          <w:color w:val="000000"/>
          <w:bdr w:val="single" w:sz="8" w:space="20" w:color="000000"/>
        </w:rPr>
        <w:t xml:space="preserve"> </w:t>
      </w:r>
      <w:r>
        <w:rPr>
          <w:rFonts w:ascii="Times New Roman;serif" w:hAnsi="Times New Roman;serif"/>
          <w:b w:val="false"/>
          <w:i/>
          <w:color w:val="000000"/>
          <w:sz w:val="20"/>
          <w:bdr w:val="single" w:sz="8" w:space="20" w:color="000000"/>
        </w:rPr>
        <w:t xml:space="preserve">in this prospectus supplement, respectively, and pages </w:t>
      </w:r>
      <w:hyperlink w:anchor="i1eae46a6a985469e9685af81f3769400_142">
        <w:r>
          <w:rPr>
            <w:rStyle w:val="InternetLink"/>
            <w:rFonts w:ascii="Times New Roman;serif" w:hAnsi="Times New Roman;serif"/>
            <w:b w:val="false"/>
            <w:i/>
            <w:color w:val="0000FF"/>
            <w:sz w:val="20"/>
            <w:u w:val="single"/>
            <w:bdr w:val="single" w:sz="8" w:space="20" w:color="000000"/>
          </w:rPr>
          <w:t>82</w:t>
        </w:r>
      </w:hyperlink>
      <w:r>
        <w:rPr>
          <w:color w:val="000000"/>
          <w:bdr w:val="single" w:sz="8" w:space="20" w:color="000000"/>
        </w:rPr>
        <w:t xml:space="preserve"> </w:t>
      </w:r>
      <w:r>
        <w:rPr>
          <w:rFonts w:ascii="Times New Roman;serif" w:hAnsi="Times New Roman;serif"/>
          <w:b w:val="false"/>
          <w:i/>
          <w:color w:val="000000"/>
          <w:sz w:val="20"/>
          <w:bdr w:val="single" w:sz="8" w:space="20" w:color="000000"/>
        </w:rPr>
        <w:t xml:space="preserve">and </w:t>
      </w:r>
      <w:hyperlink w:anchor="i1eae46a6a985469e9685af81f3769400_139">
        <w:r>
          <w:rPr>
            <w:rStyle w:val="InternetLink"/>
            <w:rFonts w:ascii="Times New Roman;serif" w:hAnsi="Times New Roman;serif"/>
            <w:b w:val="false"/>
            <w:i/>
            <w:color w:val="0000FF"/>
            <w:sz w:val="20"/>
            <w:u w:val="single"/>
            <w:bdr w:val="single" w:sz="8" w:space="20" w:color="000000"/>
          </w:rPr>
          <w:t>81</w:t>
        </w:r>
      </w:hyperlink>
      <w:r>
        <w:rPr>
          <w:color w:val="000000"/>
          <w:bdr w:val="single" w:sz="8" w:space="20" w:color="000000"/>
        </w:rPr>
        <w:t xml:space="preserve"> </w:t>
      </w:r>
      <w:r>
        <w:rPr>
          <w:rFonts w:ascii="Times New Roman;serif" w:hAnsi="Times New Roman;serif"/>
          <w:b w:val="false"/>
          <w:i/>
          <w:color w:val="000000"/>
          <w:sz w:val="20"/>
          <w:bdr w:val="single" w:sz="8" w:space="20" w:color="000000"/>
        </w:rPr>
        <w:t xml:space="preserve">of the accompanying prospectus. Together, this prospectus supplement and the accompanying prospectus describe the specific terms of the Notes we are offering. In this prospectus supplement and the accompanying prospectus, unless the context otherwise requires, the “Company,” “Capital Southwest,” “CSWC,” “we,” “us” and “our” refer to Capital Southwest Corporation and our subsidiaries. </w:t>
      </w:r>
    </w:p>
    <w:p>
      <w:pPr>
        <w:pStyle w:val="TextBody"/>
        <w:bidi w:val="0"/>
        <w:spacing w:lineRule="auto" w:line="288" w:before="360" w:after="283"/>
        <w:jc w:val="center"/>
        <w:rPr>
          <w:rFonts w:ascii="Times New Roman;serif" w:hAnsi="Times New Roman;serif"/>
          <w:b/>
          <w:color w:val="000000"/>
          <w:sz w:val="20"/>
          <w:bdr w:val="single" w:sz="8" w:space="20" w:color="000000"/>
        </w:rPr>
      </w:pPr>
      <w:r>
        <w:rPr>
          <w:rFonts w:ascii="Times New Roman;serif" w:hAnsi="Times New Roman;serif"/>
          <w:b/>
          <w:color w:val="000000"/>
          <w:sz w:val="20"/>
          <w:bdr w:val="single" w:sz="8" w:space="20" w:color="000000"/>
        </w:rPr>
        <w:t xml:space="preserve">Organization </w:t>
      </w:r>
    </w:p>
    <w:p>
      <w:pPr>
        <w:pStyle w:val="TextBody"/>
        <w:bidi w:val="0"/>
        <w:spacing w:lineRule="auto" w:line="288" w:before="240" w:after="283"/>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 xml:space="preserve">Capital Southwest is an internally managed closed-end, non-diversified investment company that has elected to be regulated as a BDC under the 1940 Act. Since September 30, 2015, we have pursued a credit-focused investing strategy. We specialize in providing customized financing to lower middle market (“LMM”) companies in a broad range of investment segments located primarily in the United States. Our common stock trades on The Nasdaq Global Select Market under the ticker symbol “CSWC.” </w:t>
      </w:r>
    </w:p>
    <w:p>
      <w:pPr>
        <w:pStyle w:val="TextBody"/>
        <w:bidi w:val="0"/>
        <w:spacing w:lineRule="auto" w:line="288" w:before="240" w:after="283"/>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We have elected, and intend to qualify annually, to be treated for U.S. federal income tax purposes as a regulated investment company (“RIC”) under subchapter M of the U.S. Internal Revenue Code of 1986, as amended (the “Code”). As such, we generally will not be subject to U.S. federal income tax on any ordinary income or capital gains that we timely distribute to our shareholders as dividends. To continue to maintain our RIC tax treatment, we must meet specified source-of-income and asset diversification requirements and generally distribute annually at least 90% of “investment company taxable income” (i.e., our net ordinary income and realized net short-term capital gains in excess of realized net long-term capital losses, if any). We will be subject to U.S. federal income tax on any income that we do not timely distribute to our shareholders. Our U.S. federal income tax liability may be reduced to the extent that we make certain distributions during the following calendar year and satisfy other procedural requirements.</w:t>
      </w:r>
    </w:p>
    <w:p>
      <w:pPr>
        <w:pStyle w:val="TextBody"/>
        <w:bidi w:val="0"/>
        <w:spacing w:lineRule="auto" w:line="288" w:before="240" w:after="283"/>
        <w:jc w:val="both"/>
        <w:rPr>
          <w:rFonts w:ascii="Times New Roman;serif" w:hAnsi="Times New Roman;serif"/>
          <w:b w:val="false"/>
          <w:color w:val="000000"/>
          <w:sz w:val="20"/>
          <w:bdr w:val="single" w:sz="8" w:space="20" w:color="000000"/>
          <w:shd w:fill="FFFFFF" w:val="clear"/>
        </w:rPr>
      </w:pPr>
      <w:r>
        <w:rPr>
          <w:rFonts w:ascii="Times New Roman;serif" w:hAnsi="Times New Roman;serif"/>
          <w:b w:val="false"/>
          <w:color w:val="000000"/>
          <w:sz w:val="20"/>
          <w:bdr w:val="single" w:sz="8" w:space="20" w:color="000000"/>
          <w:shd w:fill="FFFFFF" w:val="clear"/>
        </w:rPr>
        <w:t>Capital Southwest Equity Investments, Inc. (the “Taxable Subsidiary”), Capital Southwest SPV LLC (“SPV”), Capital Southwest SBIC I, LP (“SBIC I”) and Capital Southwest SBIC II, LP (“SBIC II” and together with SBIC I, the “SBIC Subsidiaries”) are wholly owned subsidiaries of the Company and are consolidated in its financial statements. The Taxable Subsidiary was formed to permit the Company to hold certain interests in entities that are classified as partnerships for U.S. federal income tax purposes while complying with the source-of-income requirements applicable to RICs. The Taxable Subsidiary is classified as a corporation for U.S. federal income tax purposes and is subject to U.S. federal income tax imposed at corporate rates based on its taxable income. SPV is a special purpose vehicle that was formed to hold investments for the SPV Credit Facility to support our investment and operating activities.</w:t>
      </w:r>
    </w:p>
    <w:p>
      <w:pPr>
        <w:pStyle w:val="TextBody"/>
        <w:bidi w:val="0"/>
        <w:spacing w:lineRule="auto" w:line="288" w:before="240" w:after="283"/>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 xml:space="preserve">SBIC I and SBIC II each received a license from the SBA to operate as a small business investment company under Section 301(c) of the Small Business Investment Act of 1958, as amended, on April 20, 2021 and April 17, 2025, respectively. The SBIC Subsidiaries have an investment strategy substantially similar to the Company and make similar types of investments in accordance with SBA regulations. The SBIC Subsidiaries and their general partner are consolidated for financial reporting purposes under generally accepted accounting principles in the United States (“U.S. GAAP”), and the portfolio investments held by the SBIC Subsidiaries are included in the consolidated financial statements. </w:t>
      </w:r>
    </w:p>
    <w:p>
      <w:pPr>
        <w:pStyle w:val="TextBody"/>
        <w:bidi w:val="0"/>
        <w:spacing w:lineRule="auto" w:line="288" w:before="240" w:after="283"/>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 xml:space="preserve">On August 11, 2021, we received an exemptive order from the SEC to permit us to exclude the senior securities of the SBIC Subsidiaries or any future SBIC subsidiary of the Company from the definition of senior securities in the asset coverage requirement applicable to the Company under the 1940 Act. </w:t>
      </w:r>
    </w:p>
    <w:p>
      <w:pPr>
        <w:pStyle w:val="TextBody"/>
        <w:bidi w:val="0"/>
        <w:spacing w:lineRule="auto" w:line="288" w:before="240" w:after="283"/>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 xml:space="preserve">On January 22, 2026, the Company and Trinity Capital Inc. (“Trinity”) formed CapTrin Partners LLC (“CapTrin”), a joint venture established for the purpose of primarily investing in first out senior secured debt opportunities in the LMM. All investment and operational decisions for CapTrin are made by CapTrin's board of managers, which consists of equal representation from both joint venture partners. CapTrin is owned equally by the Company and Trinity, with each holding a 50% equity interest and making a $50.0 million capital commitment. As of June 30, 2026, approximately $42.0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capital commitments were funded, of which $21.0 million was funded by the Company. CapTrin also has entered into a special purpose vehicle financing credit facility to provide additional liquidity to support its investment and operational activities.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bdr w:val="single" w:sz="8" w:space="20" w:color="000000"/>
        </w:rPr>
      </w:pPr>
      <w:r>
        <w:rPr>
          <w:rFonts w:ascii="Times New Roman;serif" w:hAnsi="Times New Roman;serif"/>
          <w:b/>
          <w:color w:val="000000"/>
          <w:sz w:val="20"/>
          <w:bdr w:val="single" w:sz="8" w:space="20" w:color="000000"/>
        </w:rPr>
        <w:t xml:space="preserve">Overview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We specialize in providing customized debt and equity financing to LMM companies in a broad range of investment segments located primarily in the United States. Our investment objective is to produce attractive risk-adjusted returns by generating current income from our debt investments and capital appreciation from our equity and equity related investments. Our investment strategy is to partner with business owners, management teams and financial sponsors to provide flexible financing solutions to fund growth, changes of control, or other corporate events. We invest primarily in first lien debt securities, secured by security interests in portfolio company assets. We also may invest in equity interests in our portfolio companies alongside our debt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We focus on investing in companies with histories of generating revenues and positive cash flow, established market positions and proven management teams with strong operating discipline. Our core business is to target senior debt investments and equity investments in LMM companies. Our target companies generally have annual earnings before interest, taxes, depreciation and amortization (“EBITDA”) between $3.0 million and $25.0 million, and our investments generally range in size from $5.0 million to $50.0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We seek to fill the financing gap for LMM companies, which historically have had more limited access to financing from commercial banks and other traditional sources. The underserved nature of the LMM creates the opportunity for us to meet the financing needs of LMM companies while also negotiating favorable transaction terms and equity participation. Our ability to invest across a LMM company’s capital structure, from secured loans to equity securities, allows us to offer portfolio companies a comprehensive suite of financing options. Providing customized financing solutions is important to LMM companies. We generally seek to partner directly with financial sponsors, entrepreneurs, management teams and business owners in making our investments. Our LMM debt investments typically include senior loans with a first lien on the assets of the portfolio company. Our LMM debt investments typically have a term of up to five years from the original investment date. We also often seek to invest in the equity securities of our LMM portfolio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We offer managerial assistance to our portfolio companies and provide them access to our investment experience, direct industry expertise and contacts. Our obligation to offer to make available significant managerial assistance to our portfolio companies is consistent with our belief that providing managerial assistance to a portfolio company is important to its business development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Because we are internally managed, we do not pay any external investment advisory fees, but instead directly incur the operating costs associated with employing investment and portfolio management professionals. We believe that our internally managed structure provides us with a beneficial operating expense structure when compared to other publicly traded and privately held investment firms that are externally managed, and our internally managed structure allows us the opportunity to leverage our non-interest operating expenses as we grow our investment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 xml:space="preserve">Our principal executive offices are located at 8333 Douglas Avenue, Suite 1100, Dallas, Texas 75225. We maintain a website at www.capitalsouthwest.com. Information contained on our website is not incorporated by reference into this prospectus supplement or the accompanying prospectus, and you should not consider that information to be part of this prospectus supplement or the accompanying prospectus.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bdr w:val="single" w:sz="8" w:space="20" w:color="000000"/>
        </w:rPr>
      </w:pPr>
      <w:r>
        <w:rPr>
          <w:rFonts w:ascii="Times New Roman;serif" w:hAnsi="Times New Roman;serif"/>
          <w:b/>
          <w:color w:val="000000"/>
          <w:sz w:val="20"/>
          <w:bdr w:val="single" w:sz="8" w:space="20" w:color="000000"/>
        </w:rPr>
        <w:t>Risks Relating to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Our business is subject to numerous risks, as described in the section titled “Supplementary Risk Factors” in this prospectus supplement, “Risk Factors” in the accompanying prospectus and in any free writing prospectuses we have authorized for use in connection with this offering, and under similar headings in the documents that are incorporated by reference into this prospectus supplement and the accompanying prospectus, including the section titled “Risk Factors” included in our most recent Annual Report on Form 10-K, as well as in any of our subsequent SEC filings.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bdr w:val="single" w:sz="8" w:space="20" w:color="000000"/>
        </w:rPr>
      </w:pPr>
      <w:r>
        <w:rPr>
          <w:rFonts w:ascii="Times New Roman;serif" w:hAnsi="Times New Roman;serif"/>
          <w:b/>
          <w:color w:val="000000"/>
          <w:sz w:val="20"/>
          <w:bdr w:val="single" w:sz="8" w:space="20" w:color="000000"/>
        </w:rPr>
        <w:t>Recent Developments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 xml:space="preserve">On September 2, 2026, the Company entered into the Fourth Amended and Restated Senior Secured Revolving Credit Agreement (the “Credit Agreement”) by and among the Company, as borrower, the several banks and other financial institutions or entities from time to time party to the Credit Agreement as lenders, ING Capital LLC, as administrative agent,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bdr w:val="single" w:sz="8" w:space="20" w:color="000000"/>
        </w:rPr>
      </w:pPr>
      <w:r>
        <w:rPr>
          <w:rFonts w:ascii="Times New Roman;serif" w:hAnsi="Times New Roman;serif"/>
          <w:b w:val="false"/>
          <w:color w:val="000000"/>
          <w:sz w:val="20"/>
          <w:bdr w:val="single" w:sz="8" w:space="20" w:color="000000"/>
        </w:rPr>
        <w:t>arranger and bookrunner, and Texas Capital Bank, as documentation agent. The Credit Agreement: (a) increased commitments under the Corporate Credit Facility from $510 million to $595 million; (b) increased the uncommitted accordion feature that could increase the maximum commitments from up to $750 million to up to $1 billion; (c) extended the end of the Corporate Credit Facility’s revolving period from August 2, 2027 to September 2, 2030, and extended the final maturity from August 2, 2028 to September 2, 2031; (d) reduced the unused commitment fees from a range of (i) 0.50%-1.00% to (ii) 0.50%-0.75% per annum, based on utilization, on the unused lender commitments; and (e) amended certain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bdr w:val="single" w:sz="8" w:space="20" w:color="000000"/>
        </w:rPr>
      </w:pPr>
      <w:r>
        <w:rPr>
          <w:rFonts w:ascii="Times New Roman;serif" w:hAnsi="Times New Roman;serif"/>
          <w:b/>
          <w:color w:val="000000"/>
          <w:sz w:val="20"/>
          <w:bdr w:val="single" w:sz="8" w:space="20" w:color="000000"/>
        </w:rPr>
        <w:t>TERMS OF THE NOTES OFFERING</w:t>
      </w:r>
    </w:p>
    <w:p>
      <w:pPr>
        <w:pStyle w:val="TextBody"/>
        <w:bidi w:val="0"/>
        <w:spacing w:lineRule="auto" w:line="288" w:before="0" w:after="0"/>
        <w:jc w:val="both"/>
        <w:rPr/>
      </w:pPr>
      <w:r>
        <w:rPr>
          <w:rFonts w:ascii="Times New Roman;serif" w:hAnsi="Times New Roman;serif"/>
          <w:b w:val="false"/>
          <w:color w:val="000000"/>
          <w:sz w:val="20"/>
          <w:bdr w:val="single" w:sz="8" w:space="20" w:color="000000"/>
        </w:rPr>
        <w:t xml:space="preserve">This summary sets forth certain terms of the Notes that we are offering pursuant to this prospectus supplement and the accompanying prospectus. This section and the “Description of the Notes” section in this prospectus supplement outline the specific legal and financial terms of the Notes. You should read this section of the prospectus supplement together with the section titled “Description of the Notes” beginning on page </w:t>
      </w:r>
      <w:hyperlink w:anchor="i1eae46a6a985469e9685af81f3769400_31">
        <w:r>
          <w:rPr>
            <w:rStyle w:val="InternetLink"/>
            <w:rFonts w:ascii="Times New Roman;serif" w:hAnsi="Times New Roman;serif"/>
            <w:b w:val="false"/>
            <w:color w:val="0000FF"/>
            <w:sz w:val="20"/>
            <w:u w:val="single"/>
            <w:bdr w:val="single" w:sz="8" w:space="20" w:color="000000"/>
          </w:rPr>
          <w:t>S-17</w:t>
        </w:r>
      </w:hyperlink>
      <w:r>
        <w:rPr>
          <w:color w:val="000000"/>
          <w:bdr w:val="single" w:sz="8" w:space="20" w:color="000000"/>
        </w:rPr>
        <w:t xml:space="preserve"> </w:t>
      </w:r>
      <w:r>
        <w:rPr>
          <w:rFonts w:ascii="Times New Roman;serif" w:hAnsi="Times New Roman;serif"/>
          <w:b w:val="false"/>
          <w:color w:val="000000"/>
          <w:sz w:val="20"/>
          <w:bdr w:val="single" w:sz="8" w:space="20" w:color="000000"/>
        </w:rPr>
        <w:t xml:space="preserve">of this prospectus supplement and the more general description of the Notes in the section titled “Description of Our Debt Securities” beginning on page </w:t>
      </w:r>
      <w:hyperlink w:anchor="i1eae46a6a985469e9685af81f3769400_115">
        <w:r>
          <w:rPr>
            <w:rStyle w:val="InternetLink"/>
            <w:rFonts w:ascii="Times New Roman;serif" w:hAnsi="Times New Roman;serif"/>
            <w:b w:val="false"/>
            <w:color w:val="0000FF"/>
            <w:sz w:val="20"/>
            <w:u w:val="single"/>
            <w:bdr w:val="single" w:sz="8" w:space="20" w:color="000000"/>
          </w:rPr>
          <w:t>58</w:t>
        </w:r>
      </w:hyperlink>
      <w:r>
        <w:rPr>
          <w:color w:val="000000"/>
          <w:bdr w:val="single" w:sz="8" w:space="20" w:color="000000"/>
        </w:rPr>
        <w:t xml:space="preserve"> </w:t>
      </w:r>
      <w:r>
        <w:rPr>
          <w:rFonts w:ascii="Times New Roman;serif" w:hAnsi="Times New Roman;serif"/>
          <w:b w:val="false"/>
          <w:color w:val="000000"/>
          <w:sz w:val="20"/>
          <w:bdr w:val="single" w:sz="8" w:space="20" w:color="000000"/>
        </w:rPr>
        <w:t xml:space="preserve">of the accompanying prospectus before investing in the Notes. Capitalized terms used in this prospectus supplement and not otherwise defined shall have the meanings ascribed to them in the accompanying prospectus or in the indenture governing the Notes. </w:t>
      </w:r>
    </w:p>
    <w:tbl>
      <w:tblPr>
        <w:tblW w:w="10205" w:type="dxa"/>
        <w:jc w:val="left"/>
        <w:tblInd w:w="0" w:type="dxa"/>
        <w:tblLayout w:type="fixed"/>
        <w:tblCellMar>
          <w:top w:w="28" w:type="dxa"/>
          <w:left w:w="28" w:type="dxa"/>
          <w:bottom w:w="28" w:type="dxa"/>
          <w:right w:w="28" w:type="dxa"/>
        </w:tblCellMar>
      </w:tblPr>
      <w:tblGrid>
        <w:gridCol w:w="610"/>
        <w:gridCol w:w="439"/>
        <w:gridCol w:w="445"/>
        <w:gridCol w:w="2689"/>
        <w:gridCol w:w="2489"/>
        <w:gridCol w:w="3533"/>
      </w:tblGrid>
      <w:tr>
        <w:trPr/>
        <w:tc>
          <w:tcPr>
            <w:tcW w:w="61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33" w:type="dxa"/>
            <w:tcBorders/>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Issuer</w:t>
            </w:r>
          </w:p>
        </w:tc>
        <w:tc>
          <w:tcPr>
            <w:tcW w:w="87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Capital Southwest Corporation</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the securities</w:t>
            </w:r>
          </w:p>
        </w:tc>
        <w:tc>
          <w:tcPr>
            <w:tcW w:w="87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6.750% Notes due 2031</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Aggregate principal amount being offered</w:t>
            </w:r>
          </w:p>
        </w:tc>
        <w:tc>
          <w:tcPr>
            <w:tcW w:w="87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$350,000,000</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Initial public offering price</w:t>
            </w:r>
          </w:p>
        </w:tc>
        <w:tc>
          <w:tcPr>
            <w:tcW w:w="87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98.985% of the aggregate principal amount </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payable at maturity</w:t>
            </w:r>
          </w:p>
        </w:tc>
        <w:tc>
          <w:tcPr>
            <w:tcW w:w="87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100% of the aggregate principal amount; the principal amount of each Note will be payable on its stated maturity date at the office of the trustee for the Notes or at such other office as we may designate.</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 established trading market</w:t>
            </w:r>
          </w:p>
        </w:tc>
        <w:tc>
          <w:tcPr>
            <w:tcW w:w="87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Notes are a new issue of securities with no established trading market. The Notes will not be listed on any securities exchange or quoted on any automated dealer quotation system. Although certain of the underwriters have informed us that they intend to make a market in the Notes, as permitted by applicable laws and regulations, they are not obligated to do so, and may discontinue any such market-making activities at any time without notice. Accordingly, we cannot assure you that a liquid market for the Notes will develop or be maintained.</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Yield to maturity</w:t>
            </w:r>
          </w:p>
        </w:tc>
        <w:tc>
          <w:tcPr>
            <w:tcW w:w="87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6.994% per year</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Trade date</w:t>
            </w:r>
          </w:p>
        </w:tc>
        <w:tc>
          <w:tcPr>
            <w:tcW w:w="8711" w:type="dxa"/>
            <w:gridSpan w:val="3"/>
            <w:tcBorders/>
            <w:tcMar>
              <w:top w:w="0" w:type="dxa"/>
              <w:left w:w="0" w:type="dxa"/>
              <w:bottom w:w="0" w:type="dxa"/>
              <w:right w:w="0" w:type="dxa"/>
            </w:tcMar>
            <w:vAlign w:val="center"/>
          </w:tcPr>
          <w:p>
            <w:pPr>
              <w:pStyle w:val="TableContents"/>
              <w:bidi w:val="0"/>
              <w:spacing w:lineRule="atLeast" w:line="20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10, 2026</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Maturity date</w:t>
            </w:r>
          </w:p>
        </w:tc>
        <w:tc>
          <w:tcPr>
            <w:tcW w:w="8711" w:type="dxa"/>
            <w:gridSpan w:val="3"/>
            <w:tcBorders/>
            <w:tcMar>
              <w:top w:w="0" w:type="dxa"/>
              <w:left w:w="0" w:type="dxa"/>
              <w:bottom w:w="0" w:type="dxa"/>
              <w:right w:w="0" w:type="dxa"/>
            </w:tcMar>
            <w:vAlign w:val="center"/>
          </w:tcPr>
          <w:p>
            <w:pPr>
              <w:pStyle w:val="TableContents"/>
              <w:bidi w:val="0"/>
              <w:spacing w:lineRule="atLeast" w:line="20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2031</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interest starts accruing</w:t>
            </w:r>
          </w:p>
        </w:tc>
        <w:tc>
          <w:tcPr>
            <w:tcW w:w="8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Day count basis</w:t>
            </w:r>
          </w:p>
        </w:tc>
        <w:tc>
          <w:tcPr>
            <w:tcW w:w="87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360-day year of twelve 30-day months</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payment dates</w:t>
            </w:r>
          </w:p>
        </w:tc>
        <w:tc>
          <w:tcPr>
            <w:tcW w:w="8711" w:type="dxa"/>
            <w:gridSpan w:val="3"/>
            <w:tcBorders/>
            <w:tcMar>
              <w:top w:w="0" w:type="dxa"/>
              <w:left w:w="0" w:type="dxa"/>
              <w:bottom w:w="0" w:type="dxa"/>
              <w:right w:w="0" w:type="dxa"/>
            </w:tcMar>
            <w:vAlign w:val="center"/>
          </w:tcPr>
          <w:p>
            <w:pPr>
              <w:pStyle w:val="TableContents"/>
              <w:bidi w:val="0"/>
              <w:spacing w:lineRule="auto" w:line="288" w:before="53" w:after="30"/>
              <w:jc w:val="both"/>
              <w:rPr>
                <w:rFonts w:ascii="Times New Roman;serif" w:hAnsi="Times New Roman;serif"/>
                <w:b w:val="false"/>
                <w:color w:val="000000"/>
                <w:sz w:val="20"/>
              </w:rPr>
            </w:pPr>
            <w:r>
              <w:rPr>
                <w:rFonts w:ascii="Times New Roman;serif" w:hAnsi="Times New Roman;serif"/>
                <w:b w:val="false"/>
                <w:color w:val="000000"/>
                <w:sz w:val="20"/>
              </w:rPr>
              <w:t>March 15 and September 15 of each year, beginning March 15, 2027. If an interest payment date falls on a non-business day, the applicable interest payment will be made on the next business day and no additional interest will accrue as a result of such delayed payment.</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Specified currency</w:t>
            </w:r>
          </w:p>
        </w:tc>
        <w:tc>
          <w:tcPr>
            <w:tcW w:w="87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Dollars</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Ranking of notes</w:t>
            </w:r>
          </w:p>
        </w:tc>
        <w:tc>
          <w:tcPr>
            <w:tcW w:w="87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Notes will be our direct unsecured obligations and will rank:</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pari passu with our other outstanding and future unsecured unsubordinated indebtedness, including, without limitation, as of September 9, 2026, $230.0 million in aggregate principal amount outstanding of the 2029 Convertible Notes, and $350.0 million in aggregate principal amount outstanding of the 2030 Notes;</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88" w:before="53" w:after="30"/>
              <w:ind w:left="0" w:right="0" w:hanging="360"/>
              <w:jc w:val="both"/>
              <w:rPr/>
            </w:pPr>
            <w:r>
              <w:rPr>
                <w:color w:val="000000"/>
              </w:rPr>
              <w:t>•</w:t>
            </w:r>
            <w:r>
              <w:rPr>
                <w:rFonts w:ascii="Times New Roman;serif" w:hAnsi="Times New Roman;serif"/>
                <w:b w:val="false"/>
                <w:color w:val="000000"/>
                <w:sz w:val="20"/>
              </w:rPr>
              <w:t>senior to any of our future indebtedness that expressly provides it is subordinated to the Notes;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4"/>
        <w:gridCol w:w="565"/>
        <w:gridCol w:w="568"/>
        <w:gridCol w:w="3025"/>
        <w:gridCol w:w="2238"/>
        <w:gridCol w:w="3165"/>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tcMar>
              <w:top w:w="0" w:type="dxa"/>
              <w:left w:w="0" w:type="dxa"/>
              <w:bottom w:w="0" w:type="dxa"/>
              <w:right w:w="0" w:type="dxa"/>
            </w:tcMar>
            <w:vAlign w:val="center"/>
          </w:tcPr>
          <w:p>
            <w:pPr>
              <w:pStyle w:val="TableContents"/>
              <w:bidi w:val="0"/>
              <w:spacing w:lineRule="auto" w:line="288" w:before="53" w:after="30"/>
              <w:ind w:left="0" w:right="0" w:hanging="360"/>
              <w:jc w:val="both"/>
              <w:rPr/>
            </w:pPr>
            <w:r>
              <w:rPr>
                <w:color w:val="000000"/>
              </w:rPr>
              <w:t>•</w:t>
            </w:r>
            <w:r>
              <w:rPr>
                <w:rFonts w:ascii="Times New Roman;serif" w:hAnsi="Times New Roman;serif"/>
                <w:b w:val="false"/>
                <w:color w:val="000000"/>
                <w:sz w:val="20"/>
              </w:rPr>
              <w:t>effectively subordinated to all of our existing and future secured indebtedness (including indebtedness that is initially unsecured in respect of which we subsequently grant security), to the extent of the value of the assets securing such indebtedness, including, without limitation, borrowings under the Corporate Credit Facility, of which $351.0 million was outstanding as of September 9, 2026; and</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tcMar>
              <w:top w:w="0" w:type="dxa"/>
              <w:left w:w="0" w:type="dxa"/>
              <w:bottom w:w="0" w:type="dxa"/>
              <w:right w:w="0" w:type="dxa"/>
            </w:tcMar>
            <w:vAlign w:val="center"/>
          </w:tcPr>
          <w:p>
            <w:pPr>
              <w:pStyle w:val="TableContents"/>
              <w:bidi w:val="0"/>
              <w:spacing w:lineRule="auto" w:line="288" w:before="53" w:after="30"/>
              <w:ind w:left="0" w:right="0" w:hanging="360"/>
              <w:jc w:val="both"/>
              <w:rPr/>
            </w:pPr>
            <w:r>
              <w:rPr>
                <w:color w:val="000000"/>
              </w:rPr>
              <w:t>•</w:t>
            </w:r>
            <w:r>
              <w:rPr>
                <w:rFonts w:ascii="Times New Roman;serif" w:hAnsi="Times New Roman;serif"/>
                <w:b w:val="false"/>
                <w:color w:val="000000"/>
                <w:sz w:val="20"/>
              </w:rPr>
              <w:t>structurally subordinated to all existing and future indebtedness and other obligations of any of our subsidiaries, including, without limitation, borrowings under the SPV Credit Facility, of which $151.0 million was outstanding as of September 9, 2026, and the SBA Debentures, of which $281.0 million was outstanding as of September 9, 2026.</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tcMar>
              <w:top w:w="0" w:type="dxa"/>
              <w:left w:w="0" w:type="dxa"/>
              <w:bottom w:w="0" w:type="dxa"/>
              <w:right w:w="0" w:type="dxa"/>
            </w:tcMar>
            <w:vAlign w:val="center"/>
          </w:tcPr>
          <w:p>
            <w:pPr>
              <w:pStyle w:val="TableContents"/>
              <w:bidi w:val="0"/>
              <w:spacing w:lineRule="atLeast" w:line="142" w:before="53" w:after="30"/>
              <w:jc w:val="left"/>
              <w:rPr>
                <w:color w:val="000000"/>
              </w:rPr>
            </w:pPr>
            <w:r>
              <w:rPr>
                <w:color w:val="000000"/>
              </w:rPr>
              <w:t> </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Denominations</w:t>
            </w:r>
          </w:p>
        </w:tc>
        <w:tc>
          <w:tcPr>
            <w:tcW w:w="842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 will issue the Notes in minimum denominations of $2,000 and integral multiples of $1,000 in excess thereof.</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Optional redemption</w:t>
            </w:r>
          </w:p>
        </w:tc>
        <w:tc>
          <w:tcPr>
            <w:tcW w:w="8428" w:type="dxa"/>
            <w:gridSpan w:val="3"/>
            <w:tcBorders/>
            <w:tcMar>
              <w:top w:w="0" w:type="dxa"/>
              <w:left w:w="0" w:type="dxa"/>
              <w:bottom w:w="0" w:type="dxa"/>
              <w:right w:w="0" w:type="dxa"/>
            </w:tcMar>
            <w:vAlign w:val="center"/>
          </w:tcPr>
          <w:p>
            <w:pPr>
              <w:pStyle w:val="TableContents"/>
              <w:bidi w:val="0"/>
              <w:spacing w:lineRule="auto" w:line="288" w:before="53" w:after="30"/>
              <w:jc w:val="both"/>
              <w:rPr>
                <w:rFonts w:ascii="Times New Roman;serif" w:hAnsi="Times New Roman;serif"/>
                <w:b w:val="false"/>
                <w:color w:val="000000"/>
                <w:sz w:val="20"/>
              </w:rPr>
            </w:pPr>
            <w:r>
              <w:rPr>
                <w:rFonts w:ascii="Times New Roman;serif" w:hAnsi="Times New Roman;serif"/>
                <w:b w:val="false"/>
                <w:color w:val="000000"/>
                <w:sz w:val="20"/>
              </w:rPr>
              <w:t>Prior to August 15, 2031 (one month prior to the maturity date of the Notes) (the “Par Call Date”), we may redeem the Notes at our option, in whole or in part, at any time and from time to time, at a redemption price (expressed as a percentage of the principal amount and rounded to three decimal places) equal to the greater of: (1)(a)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herein) plus 35 basis points less (b) interest accrued to the date of redemption, and (2) 100% of the principal amount of the Notes to be redeemed, plus, in either case, accrued and unpaid interest thereon to, but not including, the redemption date.</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 or after the Par Call Date, we may redeem the Notes, in whole or in part, at any time and from time to time, at a redemption price equal to 100% of the principal amount of the Notes being redeemed, plus accrued and unpaid interest thereon to, but not including, the redemption date.</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Sinking fund</w:t>
            </w:r>
          </w:p>
        </w:tc>
        <w:tc>
          <w:tcPr>
            <w:tcW w:w="8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Notes will not be subject to any sinking fund.</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color w:val="000000"/>
                <w:sz w:val="20"/>
              </w:rPr>
            </w:pPr>
            <w:r>
              <w:rPr>
                <w:rFonts w:ascii="Times New Roman;serif" w:hAnsi="Times New Roman;serif"/>
                <w:b/>
                <w:color w:val="000000"/>
                <w:sz w:val="20"/>
              </w:rPr>
              <w:t>Offer to repurchase upon a change of control repurchase event</w:t>
            </w:r>
          </w:p>
        </w:tc>
        <w:tc>
          <w:tcPr>
            <w:tcW w:w="842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If a Change of Control Repurchase Event (as defined in the section titled “Description of the Notes” in this prospectus supplement) occurs prior to maturity, holders of the Notes will have the right, at their option, to require us to repurchase for cash some or all of the Notes at a repurchase price equal to 100% of the principal amount of the Notes being repurchased, plus accrued and unpaid interest to, but not including, the repurchase date.</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Defeasance</w:t>
            </w:r>
          </w:p>
        </w:tc>
        <w:tc>
          <w:tcPr>
            <w:tcW w:w="8428" w:type="dxa"/>
            <w:gridSpan w:val="3"/>
            <w:tcBorders/>
            <w:tcMar>
              <w:top w:w="0" w:type="dxa"/>
              <w:left w:w="0" w:type="dxa"/>
              <w:bottom w:w="0" w:type="dxa"/>
              <w:right w:w="0" w:type="dxa"/>
            </w:tcMar>
            <w:vAlign w:val="center"/>
          </w:tcPr>
          <w:p>
            <w:pPr>
              <w:pStyle w:val="TableContents"/>
              <w:bidi w:val="0"/>
              <w:spacing w:lineRule="auto" w:line="288" w:before="53" w:after="30"/>
              <w:jc w:val="both"/>
              <w:rPr>
                <w:rFonts w:ascii="Times New Roman;serif" w:hAnsi="Times New Roman;serif"/>
                <w:b w:val="false"/>
                <w:color w:val="000000"/>
                <w:sz w:val="20"/>
              </w:rPr>
            </w:pPr>
            <w:r>
              <w:rPr>
                <w:rFonts w:ascii="Times New Roman;serif" w:hAnsi="Times New Roman;serif"/>
                <w:b w:val="false"/>
                <w:color w:val="000000"/>
                <w:sz w:val="20"/>
              </w:rPr>
              <w:t>The Notes are subject to legal and covenant defeasance by us. See “Description of the Notes - Defeasance” in this prospectus supplement.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6"/>
        <w:gridCol w:w="385"/>
        <w:gridCol w:w="359"/>
        <w:gridCol w:w="2579"/>
        <w:gridCol w:w="2566"/>
        <w:gridCol w:w="3640"/>
      </w:tblGrid>
      <w:tr>
        <w:trPr/>
        <w:tc>
          <w:tcPr>
            <w:tcW w:w="67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Form of notes</w:t>
            </w:r>
          </w:p>
        </w:tc>
        <w:tc>
          <w:tcPr>
            <w:tcW w:w="87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 Investors may elect to hold</w:t>
              <w:br/>
              <w:t>interests in the notes through Clearstream (as defined herein) or Euroclear (as defined herein), as operator of the Euroclear System, if they are participants in these systems, or indirectly through organizations that are participants in these systems.</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Trustee, paying agent, and security registrar</w:t>
            </w:r>
          </w:p>
        </w:tc>
        <w:tc>
          <w:tcPr>
            <w:tcW w:w="8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Bank Trust Company, National Association (as successor in interest to U.S. Bank National Association).</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covenants</w:t>
            </w:r>
          </w:p>
        </w:tc>
        <w:tc>
          <w:tcPr>
            <w:tcW w:w="8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addition to any covenants described elsewhere in this prospectus supplement or the accompanying prospectus, the following covenants shall apply to the Notes</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88" w:before="53" w:after="30"/>
              <w:ind w:left="0" w:right="0" w:hanging="360"/>
              <w:jc w:val="both"/>
              <w:rPr/>
            </w:pPr>
            <w:r>
              <w:rPr>
                <w:color w:val="000000"/>
              </w:rPr>
              <w:t xml:space="preserve">• </w:t>
            </w:r>
            <w:r>
              <w:rPr>
                <w:rFonts w:ascii="Times New Roman;serif" w:hAnsi="Times New Roman;serif"/>
                <w:b w:val="false"/>
                <w:color w:val="000000"/>
                <w:sz w:val="20"/>
              </w:rPr>
              <w:t>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53" w:after="30"/>
              <w:ind w:left="0" w:right="0" w:hanging="360"/>
              <w:jc w:val="both"/>
              <w:rPr>
                <w:color w:val="000000"/>
              </w:rPr>
            </w:pPr>
            <w:r>
              <w:rPr>
                <w:color w:val="000000"/>
              </w:rPr>
              <w:t xml:space="preserve">• </w:t>
            </w:r>
            <w:r>
              <w:rPr>
                <w:rFonts w:ascii="Times New Roman;serif" w:hAnsi="Times New Roman;serif"/>
                <w:b w:val="false"/>
                <w:color w:val="000000"/>
                <w:sz w:val="20"/>
              </w:rPr>
              <w:t xml:space="preserve">We agree that, for the period of time during which the Notes are outstanding, we will not violate Section 18(a)(1)(B) as modified by (i) Section 61(a)(2) of the 1940 Act or any successor provisions and after giving effect to any exemptive relief granted to us by the SEC and (ii) the two other exceptions set forth below. These statutory provisions of the 1940 Act are not currently applicable to us and will not be applicable to us as a result of this offering. However,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53" w:after="30"/>
              <w:ind w:left="0" w:right="0" w:hanging="360"/>
              <w:jc w:val="both"/>
              <w:rPr/>
            </w:pPr>
            <w:r>
              <w:rPr>
                <w:color w:val="000000"/>
              </w:rPr>
              <w:t xml:space="preserve">• </w:t>
            </w:r>
            <w:r>
              <w:rPr>
                <w:rFonts w:ascii="Times New Roman;serif" w:hAnsi="Times New Roman;serif"/>
                <w:b w:val="false"/>
                <w:color w:val="000000"/>
                <w:sz w:val="20"/>
              </w:rPr>
              <w:t>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GAAP.</w:t>
            </w:r>
          </w:p>
        </w:tc>
      </w:tr>
      <w:tr>
        <w:trPr/>
        <w:tc>
          <w:tcPr>
            <w:tcW w:w="342" w:type="dxa"/>
            <w:gridSpan w:val="3"/>
            <w:tcBorders/>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3"/>
        <w:gridCol w:w="373"/>
        <w:gridCol w:w="343"/>
        <w:gridCol w:w="2718"/>
        <w:gridCol w:w="2520"/>
        <w:gridCol w:w="3578"/>
      </w:tblGrid>
      <w:tr>
        <w:trPr/>
        <w:tc>
          <w:tcPr>
            <w:tcW w:w="6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Events of default</w:t>
            </w:r>
          </w:p>
        </w:tc>
        <w:tc>
          <w:tcPr>
            <w:tcW w:w="88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If an event of default (as described in the section titled “Description of the Notes” in this prospectus supplement) on the Notes occurs, the principal amount of the Notes, plus accrued and unpaid interest, may be declared immediately due and payable, subject to the conditions set forth in the indenture governing the Notes.</w:t>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Further issuances</w:t>
            </w:r>
          </w:p>
        </w:tc>
        <w:tc>
          <w:tcPr>
            <w:tcW w:w="88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 have the ability to issue additional debt securities under the indenture with terms different from the Notes and, without the consent of the holders of the Notes, to reopen the indenture governing the Notes and issue additional Notes. If we issue additional debt securities, these additional debt securities could have a lien or other security interest greater than that accorded to the holders of the Notes, which are unsecured.</w:t>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Use of proceeds</w:t>
            </w:r>
          </w:p>
        </w:tc>
        <w:tc>
          <w:tcPr>
            <w:tcW w:w="881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estimate that the net proceeds we will receive from the sale of the Notes will be approximately $342.1 million, based on a public offering price of 98.985% of par, after deducting the underwriting discount of $3.5 million and the estimated offering expenses of approximately $0.9 million payable by us.</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this offering to repay a portion of the outstanding indebtedness under the Corporate Credit Facility. See “Use of Proceeds” and “Underwriting – Conflicts of Interest” in this prospectus supplement.</w:t>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Governing law</w:t>
            </w:r>
          </w:p>
        </w:tc>
        <w:tc>
          <w:tcPr>
            <w:tcW w:w="88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Notes and the indenture governing the Notes will be governed by and construed in accordance with the laws of the State of New York.</w:t>
            </w:r>
          </w:p>
        </w:tc>
      </w:tr>
      <w:tr>
        <w:trPr/>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Global clearance and settlement procedures</w:t>
            </w:r>
          </w:p>
        </w:tc>
        <w:tc>
          <w:tcPr>
            <w:tcW w:w="88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Interests in the Notes will trade in DTC’s Same Day Funds Settlement System, and any permitted secondary market trading activity in such Notes will, therefore, be required by DTC to be settled in immediately available funds. Secondary market trading between Clearstream participants and Euroclear participants will occur in the ordinary way in accordance with the applicable rules and operating procedures of Clearstream and Euroclear and will be settled using the procedures applicable to conventional Eurobonds in immediately available funds. None of the Company, the trustee or the paying agent will have any responsibility for the performance by DTC or its participants or indirect participants of their respective obligations under the rules and procedures governing their operations.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SUPPLEMENTARY RISK FACTORS</w:t>
      </w:r>
    </w:p>
    <w:p>
      <w:pPr>
        <w:pStyle w:val="TextBody"/>
        <w:bidi w:val="0"/>
        <w:spacing w:lineRule="auto" w:line="288" w:before="240" w:after="283"/>
        <w:jc w:val="both"/>
        <w:rPr/>
      </w:pPr>
      <w:r>
        <w:rPr>
          <w:rFonts w:ascii="Times New Roman;serif" w:hAnsi="Times New Roman;serif"/>
          <w:b w:val="false"/>
          <w:i/>
          <w:color w:val="000000"/>
          <w:sz w:val="20"/>
        </w:rPr>
        <w:t xml:space="preserve">Investing in the Notes involves a high degree of risk. Before you invest in the Notes, you should be aware of various significant risks, including those described below. Before you decide whether to make an investment in the Notes, you should carefully consider these risks, together with all of the risks and uncertainties described in the section titled “Risk Factors” in the accompanying prospectus, our most recent </w:t>
      </w:r>
      <w:r>
        <w:fldChar w:fldCharType="begin"/>
      </w:r>
      <w:r>
        <w:rPr>
          <w:rStyle w:val="InternetLink"/>
          <w:sz w:val="20"/>
          <w:i/>
          <w:u w:val="single"/>
          <w:b w:val="false"/>
          <w:rFonts w:ascii="Times New Roman;serif" w:hAnsi="Times New Roman;serif"/>
          <w:color w:val="0000FF"/>
        </w:rPr>
        <w:instrText xml:space="preserve"> HYPERLINK "https://www.sec.gov/ix?doc=/Archives/edgar/data/0000017313/000001731326000035/cswc-20260331.htm" \l "fact-identifier-6507"</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Annual Report on Form 10-K</w:t>
      </w:r>
      <w:r>
        <w:rPr>
          <w:rStyle w:val="InternetLink"/>
          <w:sz w:val="20"/>
          <w:i/>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i/>
          <w:color w:val="000000"/>
          <w:sz w:val="20"/>
        </w:rPr>
        <w:t xml:space="preserve">and our most recent </w:t>
      </w:r>
      <w:hyperlink r:id="rId3">
        <w:r>
          <w:rPr>
            <w:rStyle w:val="InternetLink"/>
            <w:rFonts w:ascii="Times New Roman;serif" w:hAnsi="Times New Roman;serif"/>
            <w:b w:val="false"/>
            <w:i/>
            <w:color w:val="0000FF"/>
            <w:sz w:val="20"/>
            <w:u w:val="single"/>
          </w:rPr>
          <w:t>Quarterly Report on Form 10-Q</w:t>
        </w:r>
      </w:hyperlink>
      <w:r>
        <w:rPr>
          <w:rFonts w:ascii="Times New Roman;serif" w:hAnsi="Times New Roman;serif"/>
          <w:b w:val="false"/>
          <w:i/>
          <w:color w:val="000000"/>
          <w:sz w:val="20"/>
        </w:rPr>
        <w:t>, as well as in subsequent filings with the SEC, which are incorporated by reference into this prospectus supplement and the accompanying prospectus in their entirety, and other information in this prospectus supplement, the accompanying prospectus, the documents incorporated by reference in this prospectus supplement and the accompanying prospectus, and any free writing prospectus that we may authorize for use in connection with this offering. The risks set forth below are not the only risks we face. If any of the following risks occur, our business, financial condition and results of our operations could be materially adversely affected. In such case, you could lose all or part of your investment. Please also read carefully the section titled “Special Note Regarding Forward-Looking Statements” in this prospectus supplement.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Notes will be unsecured and therefore will be effectively subordinated to any existing and future secured indebtedness, including indebtedness under the Corporate Credit Facility.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Notes will not be secured by any of our assets or any of the assets of any of our subsidiaries. As a result, the Notes will be effectively subordinated to any existing and future secured indebtedness we or our subsidiaries have outstanding as of the date of this prospectus supplement (including the Corporate Credit Facility) or that we or our subsidiaries may incur in the future (or any indebtedness that is initially unsecured as to which we subsequently grant a security interest) to the extent of the value of the assets securing such indebtedness. In any liquidation, dissolution, bankruptcy or other similar proceeding, the holders of any of our secured indebtedness or secured indebtedness of our subsidiaries may assert rights against the assets pledged to secure that indebtedness in order to receive full payment of their indebtedness before the assets may be used to pay other creditors, including the holders of the Notes. As of September 9, 2026, we had $351.0 million in outstanding indebtedness under the Corporate Credit Facility, which is secured by (1) all of the present and future property and assets of the Company and the guarantors and (2) 100.0% of the equity interests in the Company’s wholly owned subsidiaries (except for the assets held by the SBIC Subsidiaries and SPV).</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Notes will be structurally subordinated to the indebtedness and other liabilities of our subsidiaries, including the SBA Debentures and the SPV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Notes will be obligations exclusively of Capital Southwest, and not of any of our subsidiaries. None of our subsidiaries will be a guarantor of the Notes, and the Notes will not be required to be guaranteed by any subsidiary we may acquire or create in the future. Any assets of our subsidiaries will not be directly available to satisfy the claims of our creditors, including holders of the Notes. Except to the extent we are a creditor with recognized claims against our subsidiaries, all claims of creditors of our subsidiaries will have priority over our equity interests in such entities (and therefore the claims of our creditors, including holders of the Notes) with respect to the assets of such entities.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any of our existing or future subsidiaries (including the SBA Debentures and the SPV Credit Facility). As of September 9, 2026, we had $281.0 million in SBA Debentures outstanding, and $151.0 million outstanding indebtedness under the SPV Credit Facility, which is secured by all of SPV’s assets. The SBIC Subsidiaries, SPV and any future subsidiaries of the Company may incur substantial indebtedness in the future, all of which would be structurally senior to the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indenture under which the Notes will be issued contains limited protection for holders of the Notes.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under which the Notes will be issued offers limited protection to holders of the Notes. The terms of the indenture and the Notes will not restrict our or any of our subsidiaries’ ability to engage in, or otherwise be a party to, a variety of corporate transactions, circumstances or events that could have a material adverse impact on your investment in the Notes. In particular, the terms of the indenture and the Notes will not place any restrictions on our or our subsidiaries’ ability to: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 of the assets securing such indebtedness, (3) indebtedness or other obligations of ours that are guaranteed by one or more of our subsidiaries and which therefore is structurally senior to the Notes and (4) securities, indebtedness or other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issued or incurred by our subsidiaries that would be senior to our equity interests in our subsidiaries and therefore rank structurally senior to the Notes with respect to the assets of our subsidiaries, in each case, other than an incurrence of indebtedness or other obligations that would cause a violation of Section 18(a)(1)(A) as modified by Section 61(a)(2) of the 1940 Act or any successor provisions, whether or not we continue to be subject to such provisions of the 1940 Act, but giving effect, in each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pay dividends on, or purchase or redeem or make any payments in respect of, capital stock or other securities ranking junior in right of payment to the Notes, including subordinated indebtedness, except that we have agreed that, for the period of time during which the Notes are outstanding, we will not violate Section 18(a)(1)(B) as modified by (i) Section 61(a)(2) of the 1940 Act or any successor provisions and after giving effect to any exemptive relief granted to us by the SEC and (ii) the following two exceptions: (A)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and (B) this restriction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sell assets (other than certain limited restrictions on our ability to consolidate, merge or sell all or substantially all of our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enter into transactions with affiliates;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create liens (including liens on the shares of our subsidiaries) or enter into sale and leaseback transactions;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make investments;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create restrictions on the payment of dividends or other amounts to us from our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the terms of the indenture and the Notes will not protect holders of the Notes in the event that we experience changes (including significant adverse changes) in our financial condition, results of operations or credit ratings, as they will not require that we or our subsidiaries adhere to any financial tests or ratios or specified levels of net worth, revenues, income, cash flow, or liquidity other than as described under “Description of the Notes — Events of Default”.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recapitalize, incur additional debt (including additional debt that matures prior to the maturity of the Notes), and take a number of other actions that are not limited by the terms of the Notes may have important consequences for you as a holder of the Notes, including making it more difficult for us to satisfy our obligations with respect to the Notes or negatively affecting the market value of the Notes.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debt we issue or incur in the future could contain more protections for its holders than the indenture and the Notes, including additional covenants and events of default. The issuance or incurrence of any such debt with incremental protections could affect the market for, trading levels, and prices of the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optional redemption provision may materially adversely affect your return on the Notes.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be able to repurchase the Notes upon a Change of Control Repurchase Event.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Upon a Change of Control Repurchase Event, holders of the Notes may require us to repurchase for cash some or all of the Notes at a repurchase price equal to 100% of the aggregate principal amount of the Notes being repurchased, plus accrued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unpaid interest to, but not including, the repurchase date. We may not be able to repurchase the Notes upon a Change of Control Repurchase Event because we may not have sufficient funds. Before making any such repurchase of Notes, we would also have to comply with certain requirements under the Corporate Credit Facility, to the extent such requirements remain in effect at such time, or otherwise obtain consent from the lenders under the Corporate Credit Facility. The terms of the Corporate Credit Facility and the SPV Credit Facility also provide that certain change of control events will constitute an event of default thereunder entitling the respective lenders to accelerate any indebtedness outstanding under such credit facilities at that time and to terminate such credit facilities. In addition, the occurrence of a Change of Control Repurchase Event enabling the holders of the Notes to require the mandatory purchase of the Notes would likely constitute an event of default under the Corporate Credit Facility, entitling the lenders under the Corporate Credit Facility to accelerate any indebtedness outstanding under the Corporate Credit Facility at that time and to terminate the Corporate Credit Facility. Our or our subsidiaries' future financing arrangements may contain similar restrictions and provisions. Our failure to purchase such tendered Notes upon the occurrence of such Change of Control Repurchase Event would cause an event of default under the indenture governing the Notes and a cross-default under the agreements governing certain of our other indebtedness, including under the agreements governing the Corporate Credit Facility, the indenture governing the 2029 Convertible Notes, the indenture governing the 2030 Notes, and likely under the agreements governing the SPV Credit Facility, which may result in the acceleration of such indebtedness requiring us to repay such indebtedness immediately. If the holders of the Notes or the 2030 Notes exercise their respective right to require us to repurchase any Notes or any 2030 Notes, respectively, upon a Change of Control Repurchase Event (as defined in the relevant indenture), the financial effect of any such repurchase could cause a default under our current and future debt instruments, even if the Change of Control Repurchase Event itself would not cause a default. If a Change of Control Repurchase Event were to occur, we may not have sufficient funds to repay any such accelerated indebtedness. See “Description of the Notes - Offer to Repurchase Upon a Change of Control Repurchase Event” in this prospectus supplement for more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There is no active trading market for the Notes. If an active trading market does not develop for the Notes, you may not be able to sell them.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Notes are a new issue of debt securities for which there currently is no trading market. We do not intend to apply for listing the Notes on any securities exchange or for quotation of the Notes on any automated dealer quotation system. If no active trading market develops, you may not be able to sell the Notes at their fair market value or at all. If the Notes are traded after their initial issuance, they may trade at a discount to their initial offering price depending on prevailing interest rates, the market for similar securities, our credit ratings, our financial condition, performance and prospects, general economic conditions, or other relevant factors. The underwriters are not obligated to make a market in the Notes and any such market-making may be discontinued at any time in the sole discretion of the underwriters without any notice.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adversely affected. Accordingly, you may be required to bear the financial risk of an investment in the Notes for an indefinite period of time.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amount of debt outstanding will increase as a result of this offering, and if we default on our obligations to pay our other indebtedness, we may not be able to make payments on the Notes.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default under the agreements governing our indebtedness, including a default under the Corporate Credit Facility, the SPV Credit Facility, the indenture governing the 2029 Convertible Notes, the indenture governing the 2030 Notes, or other indebtedness to which we may be a party that is not waived by the required lenders or holders, and the remedies sought by the lenders or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as applicable, in the instruments governing our indebtedness (including the Corporate Credit Facility, the SPV Credit Facility, the 2029 Convertible Notes, and the 2030 Notes), we could be in default under the terms of the agreements governing such indebtedness, including the Notes. In the event of such default, the holders of such indebtedness could elect to declare all the funds borrowed thereunder to be due and payable, together with accrued and unpaid interest, the lenders under the Corporate Credit Facility, the SPV Credit Facility, or other debt we may incur in the future could elect to terminate their commitment, cease making further loans and institute foreclosure proceedings against our assets, and we could be forced into bankruptcy or liquidation.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sufficient cash flow in the future is, to some extent, subject to general economic, financial, competitive, legislative and regulatory factors as well as other factors that are beyond our control. We cannot assure you that our business will generate cash flow from operations, or that future borrowings will be available to us under the Corporate Credit Facility, the SPV Credit Facility, or otherwise, in an amount sufficient to enable us to meet our payment obligations under the Notes, the 2029 Convertible Notes, the 2030 Notes, our other debt, and to fund other liquidity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our operating performance declines and we are not able to generate sufficient cash flow to service our debt obligations, we may, in the future, need to refinance or restructure our debt, including any Notes sold, sell assets, reduce or delay capital investments, seek to raise additional capital or seek to obtain waivers from the lenders under the Corporate Credit Facility, the SPV Credit Facility, the holders of the 2029 Convertible Notes, the holders of the 2030 Notes, or other debt that we may incur in the future to avoid being in default. If we are unable to implement one or more of these alternatives, we may not be able to meet our payment obligations under the Notes and our other debt. If we breach our covenants under the Corporate Credit Facility, the SPV Credit Facility, the 2029 Convertible Notes, the 2030 Notes, or any of our other debt and seek a waiver, we may not be able to obtain a waiver from the required lenders or holders thereof. If this occurs, we would be in default under the Corporate Credit Facility, the SPV Credit Facility, the 2029 Convertible Notes, the 2030 Notes, or other debt, the lenders or holders could exercise rights as described above, and we could be forced into bankruptcy or liquidation. If we are unable to repay debt, lenders having secured obligations could proceed against the collateral securing the debt. Because each of the Corporate Credit Facility, the SPV Credit Facility, and the indentures governing the 2029 Convertible Notes and the 2030 Notes have and the indenture governing the Notes will have, and any future credit facilities will likely have, customary cross-default provisions, if the indebtedness under the Notes, the 2029 Convertible Notes, the 2030 Notes, the Corporate Credit Facility, the SPV Credit Facility, or under any future credit facility is accelerated, we may be unable to repay or finance the amounts due.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 downgrade, suspension or withdrawal of the credit rating assigned by a rating agency to us or the Notes or change in the debt markets could cause the liquidity or market value of the Notes to decline significantly.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the rating agencies if in their judgment future circumstances relating to the basis of the credit ratings, such as adverse changes in the Company, so warrant. The conditions of the financial markets and prevailing interest rates have fluctuated in the past and are likely to fluctuate in the future, which could have an adverse effect on the market prices of the Notes.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24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 xml:space="preserve">Information included or incorporated by reference in this prospectus supplement, the accompanying prospectus and in any free writing prospectus relating to this offering of the Notes may contain forward-looking statements, which can be identified by the use of forward-looking terminology such as “may,” “predict,” “will,” “continue,” “likely,” “would,” “could,” “should,” “expect,” “anticipate,” “potential,” “estimate,” “indicate,” “seek,” “believe,” “target,” “intend,” "plan" or “project” or the negative of these words or other variations on these words or comparable terminology. The matters described in the section titled “Supplementary Risk Factors” in this prospectus supplement, the section titled “Risk Factors” in the accompanying prospectus, our most recent Annual Report on Form 10-K and our most recent Quarterly Report on Form 10-Q that are incorporated by reference in this prospectus supplement and the accompanying prospectus, as well as subsequent filings with the SEC, or in any free writing prospectus relating to this offering and certain other factors noted throughout or incorporated by reference in this prospectus supplement, the accompanying prospectus and in any free writing prospectus relating to this offering constitute cautionary statements identifying important factors with respect to any such forward-looking statements, including certain risks and uncertainties that could cause actual results to differ materially from those in such forward-looking statements. We undertake no obligation to revise or update any forward-looking statements but advise you to consult any additional disclosures that we may make directly to you or through reports that we may file in the future with the SEC, including annual reports on Form 10-K, quarterly reports on Form 10-Q and current reports on Form 8-K. Accordingly, there are or will be important factors that could cause our actual results to differ materially from those expressed or implied by the forward-looking statements. The forward-looking statements included or incorporated by reference in this prospectus supplement, the accompanying prospectus, and in any free writing prospectus relating to this offering of the Notes may include statements as to: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future operating results;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market conditions and our ability to access debt and equity capital and our ability to manage our capital resources effectively;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timing of cash flows, if any, from the operations of our portfolio companies;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business prospects and the prospects of our existing and prospective portfolio companies;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financial condition and ability of our existing and prospective portfolio companies to achieve their objectives;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adequacy of our cash resources and working capital;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ability to recover unrealized losses;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expected financings and investments;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contractual arrangements and other relationships with third parties;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impact of interest rate volatility and elevated levels of inflation on our business and our portfolio companies;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impact of a protracted decline in the liquidity of credit markets on our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ability to operate as a BDC and to qualify and maintain our qualification as a RIC, including the impact of changes in laws or regulations, including tax reform, governing our operations or the operations of our portfolio companies;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operate our wholly owned subsidiaries, SBIC I and SBIC II, as small business investment companies;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dependence of our future success on the general economy and its impact on the industries in which we invest;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supply chain disruptions and labor shortages on our portfolio companies;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uncertainty associated with the imposition of tariffs and trade barriers and changes in trade policies and its impact on our portfolio companies and our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geopolitical conditions on our portfolio companies and on the industries in which we invest, including the conflict between Ukraine and Russia and turmoil in Europe and the Middle East, and their impact on financial market volatility, global economic markets, and various sectors, industries and markets for commodities globally, such as oil and natural gas;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laws and regulations, changes in political, economic or industry conditions, and changes in the interest rate environment or other conditions affecting the financial and capital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ability to successfully invest any capital raised in an offering;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return or impact of current and future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performance and the valuation of our investments in portfolio companies, particularly those having no liquid trading market;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regulatory structure and tax treatment;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timing, form and amount of any dividend distributions.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our forward-looking statements because the matters they describe are subject to known and unknown risks, uncertainties and other unpredictable factors, many of which are beyond our control. In addition to other information included or incorporated by reference in this prospectus supplement, please read carefully the sections titled “Business,” “Risk Factors” and “Management’s Discussion and Analysis of Financial Condition and Results of Operations” in our most recent Annual Report on Form 10-K, our most recent Quarterly Report on Form 10-Q and other documents that we may file with the SEC, as well as the sections entitled “Supplementary Risk Factors” in this prospectus supplement and “Cautionary Statement Concerning Forward-Looking Statements” in the accompanying prospectus, before making any investment in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that the net proceeds we will receive from the sale of the $350,000,000 aggregate principal amount of the Notes in this offering will be approximately $342,077,500, based on a public offering price of 98.985% of par, after deducting the underwriting discount of $3,500,000 and the estimated offering expenses of approximately $870,000 payable by us.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use the net proceeds from this offering to repay a portion of the outstanding indebtedness under the Corporate Credit Facility. However, through re-borrowings under the Corporate Credit Facility, we intend to make investments in accordance with our investment objective and strategies, and for other general corporate purposes, including payment of operating expenses.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9, 2026, we had $351.0 million aggregate principal amount of indebtedness outstanding under the Corporate Credit Facility. The Corporate Credit Facility matures on September 2, 2031, and borrowings under the Corporate Credit Facility currently bear interest on a per annum basis equal to Adjusted Term SOFR plus 2.00%.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the underwriters in this offering, or affiliates of such underwriters, act as lenders under the Corporate Credit Facility, and, as a result, may receive more than 5% of the net proceeds of this offering, not including underwriting compensation. See “Underwriting – Conflicts of Interest.”</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CAPITALIZATION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cash and cash equivalents and capitalization: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(a)on an actual basis as of June 30, 2026; and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(b)on an as adjusted basis for the sale of $350.0 million aggregate principal amount of the Notes offered hereby, based on a public offering price of 98.985% of par, less the underwriting discount of $3.5 million and the estimated offering expenses of approximately $0.9 million payable by us, and the application of the proceeds thereof.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table should be read together with “Use of Proceeds” included in this prospectus supplement, “Management’s Discussion and Analysis of Financial Condition and Results of Operations” in the accompanying prospectus and in our most recent Quarterly Report on Form 10-Q, and our most recent consolidated financial statements and notes thereto included or incorporated by reference in this prospectus supplement and the accompanying prospectus. </w:t>
      </w:r>
    </w:p>
    <w:p>
      <w:pPr>
        <w:pStyle w:val="TextBody"/>
        <w:bidi w:val="0"/>
        <w:spacing w:before="240" w:after="283"/>
        <w:jc w:val="both"/>
        <w:rPr/>
      </w:pPr>
      <w:r>
        <w:rPr/>
      </w:r>
    </w:p>
    <w:tbl>
      <w:tblPr>
        <w:tblW w:w="10205" w:type="dxa"/>
        <w:jc w:val="left"/>
        <w:tblInd w:w="0" w:type="dxa"/>
        <w:tblLayout w:type="fixed"/>
        <w:tblCellMar>
          <w:top w:w="28" w:type="dxa"/>
          <w:left w:w="28" w:type="dxa"/>
          <w:bottom w:w="28" w:type="dxa"/>
          <w:right w:w="28" w:type="dxa"/>
        </w:tblCellMar>
      </w:tblPr>
      <w:tblGrid>
        <w:gridCol w:w="2464"/>
        <w:gridCol w:w="2137"/>
        <w:gridCol w:w="2152"/>
        <w:gridCol w:w="198"/>
        <w:gridCol w:w="883"/>
        <w:gridCol w:w="110"/>
        <w:gridCol w:w="110"/>
        <w:gridCol w:w="110"/>
        <w:gridCol w:w="110"/>
        <w:gridCol w:w="308"/>
        <w:gridCol w:w="1375"/>
        <w:gridCol w:w="248"/>
      </w:tblGrid>
      <w:tr>
        <w:trPr/>
        <w:tc>
          <w:tcPr>
            <w:tcW w:w="246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6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6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for this Offering</w:t>
            </w:r>
          </w:p>
        </w:tc>
      </w:tr>
      <w:tr>
        <w:trPr/>
        <w:tc>
          <w:tcPr>
            <w:tcW w:w="6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numbers)</w:t>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58,857 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Credit Facilities</w:t>
            </w:r>
            <w:r>
              <w:rPr>
                <w:rFonts w:ascii="Times New Roman;serif" w:hAnsi="Times New Roman;serif"/>
                <w:b w:val="false"/>
                <w:color w:val="000000"/>
                <w:sz w:val="12"/>
              </w:rPr>
              <w:t>(1)</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50,922 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SBA Debentures (net of unamortized debt issuance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258,908 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Convertible Notes (net of unamortized debt issuance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224,956 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 Notes (net of unamortized debt issuance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344,308 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offered hereby (net of unamortized debt issuance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342,078 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borrowings</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1,221,172 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1,221,172 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par value $0.25 per share, 75,000,000 common shares authorized, and 63,733,867 common shares issued and outstanding</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1,136,438 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1,136,438 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distributable (loss) earnings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(93,915)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(93,915)</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assets</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1,058,456 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1,058,456 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net assets</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2,315,519 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2,315,519 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The above table reflects the carrying value of indebtedness outstanding as of June 30, 2026. As of September 9, 2026, the total amount of indebtedness outstanding under the Corporate Credit Facility was $351.0 million. We intend to use the net proceeds from this offering to repay a portion of the outstanding indebtedness under the Corporate Credit Facility. After giving effect to this offering and such repayments, we expect to have approximately $8.9 million of outstanding indebtedness under the Corporate Credit Facility. This table has not been adjusted to reflect the changes in our outstanding borrowings subsequent to June 30, 2026. </w:t>
      </w:r>
    </w:p>
    <w:p>
      <w:pPr>
        <w:pStyle w:val="TextBody"/>
        <w:bidi w:val="0"/>
        <w:spacing w:before="100" w:after="283"/>
        <w:jc w:val="both"/>
        <w:rPr/>
      </w:pPr>
      <w:r>
        <w:rPr/>
      </w:r>
    </w:p>
    <w:p>
      <w:pPr>
        <w:pStyle w:val="TextBody"/>
        <w:bidi w:val="0"/>
        <w:spacing w:before="100" w:after="283"/>
        <w:jc w:val="left"/>
        <w:rPr/>
      </w:pPr>
      <w:r>
        <w:rPr/>
      </w:r>
    </w:p>
    <w:p>
      <w:pPr>
        <w:pStyle w:val="TextBody"/>
        <w:bidi w:val="0"/>
        <w:spacing w:before="0" w:after="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THE NOTES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Notes will be issued under a base indenture, dated October 23, 2017, and an eighth supplemental indenture thereto, to be entered into between us and U.S. Bank Trust Company, National Association (as successor in interest to U.S. Bank National Association), as trustee. We refer to the base indenture and the eighth supplemental indenture collectively as the “indenture” and to U.S. Bank Trust Company, National Association as the “trustee.”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Notes will be governed by the indenture, as required by federal law for all bonds and notes of companies that are publicly offered.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below. Second, the trustee performs certain administrative duties for us with respect to the Notes.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section includes a summary description of the material terms of the Notes and the indenture. Because this section is a summary, however, it does not describe every aspect of the Notes and the indenture. We urge you to read the indenture because it, and not this description, defines your rights as a holder of the Notes. The base indenture has been included as an exhibit to the registration statement of which this prospectus supplement is a part and the eighth supplemental indenture will be filed as an exhibit to a current report on Form 8-K, in each case, as filed or as will be filed with the SEC. See “Available Information” in this prospectus supplement for information on how to obtain a copy of the indenture.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240" w:after="283"/>
        <w:jc w:val="both"/>
        <w:rPr/>
      </w:pPr>
      <w:r>
        <w:rPr>
          <w:rFonts w:ascii="Times New Roman;serif" w:hAnsi="Times New Roman;serif"/>
          <w:b w:val="false"/>
          <w:color w:val="000000"/>
          <w:sz w:val="20"/>
        </w:rPr>
        <w:t>The Notes will mature on September 15, 2031. The principal payable at maturity will be 100% of the aggregate principal amount. The interest rate of the Notes is 6.750% per year and will be paid semi-annually in arrears on March 15 and September 15 of each year, beginning March 15, 2027, and the regular record dates for interest payments will be every</w:t>
      </w:r>
      <w:r>
        <w:rPr>
          <w:color w:val="000000"/>
        </w:rPr>
        <w:t xml:space="preserve"> </w:t>
      </w:r>
      <w:r>
        <w:rPr>
          <w:rFonts w:ascii="Times New Roman;serif" w:hAnsi="Times New Roman;serif"/>
          <w:b w:val="false"/>
          <w:color w:val="000000"/>
          <w:sz w:val="20"/>
        </w:rPr>
        <w:t>March 1 and September 1, beginning March 1, 2027.</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initial interest period will be the period from and including September 15, 2026, to, but excluding, the initial interest payment date, and the subsequent interest periods will be the periods from and including an interest payment date to, but excluding, the next interest payment date or the stated maturity date, as the case may be. Interest on the Notes will be computed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the basis of a 360-day year composed of twelve 30-day months.</w:t>
      </w:r>
    </w:p>
    <w:p>
      <w:pPr>
        <w:pStyle w:val="TextBody"/>
        <w:bidi w:val="0"/>
        <w:spacing w:lineRule="auto" w:line="288" w:before="240" w:after="283"/>
        <w:jc w:val="both"/>
        <w:rPr/>
      </w:pPr>
      <w:r>
        <w:rPr>
          <w:rFonts w:ascii="Times New Roman;serif" w:hAnsi="Times New Roman;serif"/>
          <w:b w:val="false"/>
          <w:color w:val="000000"/>
          <w:sz w:val="20"/>
        </w:rPr>
        <w:t>If an interest payment date falls on a non-business day, the applicable interest payment will be made on the next business day and no additional interest will accrue as a result of such delayed payment.</w:t>
      </w:r>
      <w:r>
        <w:rPr>
          <w:color w:val="FF0000"/>
        </w:rPr>
        <w:t xml:space="preserve"> </w:t>
      </w:r>
      <w:r>
        <w:rPr>
          <w:rFonts w:ascii="Times New Roman;serif" w:hAnsi="Times New Roman;serif"/>
          <w:b w:val="false"/>
          <w:color w:val="000000"/>
          <w:sz w:val="20"/>
        </w:rPr>
        <w:t>The term “business day” means, with respect to any Note, each Monday, Tuesday, Wednesday, Thursday, and Friday that is not a day on which banking institutions in The City of New York or the corporate trust office of the trustee are authorized or obligated by law or executive order to close.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will issue the Notes in minimum denominations of $2,000 and integral multiples of $1,000 in excess thereof. The Notes will not be subject to any sinking fund.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indenture does not limit the amount of debt (including secured debt) that may be issued by us or our subsidiaries under the indenture or otherwise, but does contain a covenant regarding our asset coverage that would have to be satisfied at the time of our incurrence of additional indebtedness. See “— Other Covenants” and “— Events of Default.” Other than the foregoing and as described under “— Other Covenants” and “— Events of Default” below, the indenture does not contain any financial covenants or restrict us from paying dividends or issuing or repurchasing our other securities. Other than restrictions described under “— Offer to Repurchase Upon a Change of Control Repurchase Event” and “— Merger, Consolidation or Asset Sale” below, the indenture does not contain any covenants or other provisions designed to afford holders of the Notes protection in the event of a highly leveraged transaction involving us or if our credit rating declines as the result of a takeover, recapitalization, highly leveraged transaction or similar restructuring involving us that could adversely affect your investment in the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without the consent of the holders of the Notes, issue additional notes under the indenture with the same terms (except for the issue date, offering price, and, if applicable, the initial interest payment date) and with the same CUSIP numbers as the Notes offered hereby in an unlimited aggregate principal amount, subject to the terms of the Corporate Credit Facility and the SPV Credit Facility, and any other financing agreements to which we may be party; provided that such additional notes must be treated as part of the same issue as the Notes offered hereby for U.S. federal income tax purposes. In addition, we have the ability to issue indenture securities with terms different from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intend to list the Notes on any securities exchange or automated dealer quotation system.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Optional Redemption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Prior to the Par Call Date, we may redeem the Notes at our option, in whole or in part, at any time and from time to time, at a redemption price (expressed as a percentage of the principal amount and rounded to three decimal places) equal to the greater of:</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35 basis points less (b) interest accrued to the date of redemption,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(2) 100% of the principal amount of the Notes to be redeemed, plus, in either case, accrued and unpaid interest thereon to, but not including, the redemption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or after the Par Call Date, we may redeem the Notes, in whole or in part, at any time and from time to time, at a redemption price equal to 100% of the principal amount of the Notes being redeemed plus accrued and unpaid interest thereon to, but not including, the redemption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purposes of calculating the redemption price in connection with the redemption of the Notes, on any redemption date, the following terms have the meanings set forth below:</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Par Call Date” means August 15, 2031</w:t>
      </w:r>
      <w:r>
        <w:rPr>
          <w:color w:val="000000"/>
        </w:rPr>
        <w:t xml:space="preserve"> </w:t>
      </w:r>
      <w:r>
        <w:rPr>
          <w:rFonts w:ascii="Times New Roman;serif" w:hAnsi="Times New Roman;serif"/>
          <w:b w:val="false"/>
          <w:color w:val="000000"/>
          <w:sz w:val="20"/>
        </w:rPr>
        <w:t>(one month prior to the maturity date of the Notes).</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0"/>
        </w:rPr>
        <w:t>Treasury Rate” means, with respect to any redemption date of the Notes, the yield determined by us in accordance with the following two paragraphs.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on the third business day preceding the redemption date H.15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shall be based upon the average of the bid and asked prices (expressed as a percentage of the principal amount) at 11:00 a.m., New York City time, of such United States Treasury security, and rounded to three decimal places.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actions and determinations in determining the redemption price of any of the Notes shall be conclusive and binding for all purposes, absent manifest error.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Notice of any redemption will be mailed or electronically delivered (or otherwise transmitted in accordance with the depositary’s procedures) at least 10 days but not more than 60 days before the redemption date to each holder of notes to be redeemed (with a copy to the trustee).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case of a partial redemption, selection of the Notes for redemption will be made in compliance with the requirements of DTC, or if the Notes are not then held through DTC, or DTC prescribed no method of selection, then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Unless the Company defaults in payment of the redemption price, on and after the redemption date interest will cease to accrue on the notes or portions thereof called for redemption.</w:t>
      </w:r>
    </w:p>
    <w:p>
      <w:pPr>
        <w:pStyle w:val="TextBody"/>
        <w:bidi w:val="0"/>
        <w:spacing w:lineRule="auto" w:line="288" w:before="180" w:after="100"/>
        <w:ind w:left="0" w:right="0" w:hanging="720"/>
        <w:jc w:val="both"/>
        <w:rPr>
          <w:rFonts w:ascii="Times New Roman;serif" w:hAnsi="Times New Roman;serif"/>
          <w:b/>
          <w:color w:val="000000"/>
          <w:sz w:val="20"/>
        </w:rPr>
      </w:pPr>
      <w:r>
        <w:rPr>
          <w:rFonts w:ascii="Times New Roman;serif" w:hAnsi="Times New Roman;serif"/>
          <w:b/>
          <w:color w:val="000000"/>
          <w:sz w:val="20"/>
        </w:rPr>
        <w:t>Offer to Repurchase Upon a Change of Control Repurchase Event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but not including, the date of repurchase. Within 30 days following any Change of Control Repurchase Event or, at our option, prior to any Change of Control, but after the public announcement of the Change of Control, we will mail a notice to each holder (with a copy to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mailed. The notice shall, if mailed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the Change of Control Repurchase Event payment date, subject to extension if necessary to comply with the provisions of the 1940 Act, we will, to the extent lawful: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accept for payment all Notes or portions of Notes properly tendered pursuant to our offer;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deposit with the paying agent an amount equal to the aggregate purchase price in respect of all Notes or portions of Notes properly tendered; 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deliver or cause to be delivered to the trustee the Notes properly accepted, together with an officers' certificate stating the aggregate principal amount of Notes being purchased by us.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paying agent will promptly remit to each holder of Notes properly tendered the purchase price for the Notes, and, upon written instruction from Capital Southwest, the trustee will promptly authenticate and mail (or cause to be transferred by book-entry) to each holder a new Note equal in principal amount to any unpurchased portion of any Notes surrendered; </w:t>
      </w:r>
      <w:r>
        <w:rPr>
          <w:rFonts w:ascii="Times New Roman;serif" w:hAnsi="Times New Roman;serif"/>
          <w:b w:val="false"/>
          <w:i/>
          <w:color w:val="000000"/>
          <w:sz w:val="20"/>
        </w:rPr>
        <w:t>provided</w:t>
      </w:r>
      <w:r>
        <w:rPr>
          <w:color w:val="000000"/>
        </w:rPr>
        <w:t> </w:t>
      </w:r>
      <w:r>
        <w:rPr>
          <w:rFonts w:ascii="Times New Roman;serif" w:hAnsi="Times New Roman;serif"/>
          <w:b w:val="false"/>
          <w:color w:val="000000"/>
          <w:sz w:val="20"/>
        </w:rPr>
        <w:t>that each new Note will be in a minimum principal amount of $2,000 or an integral multiple of $1,000 in excess thereof.</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Before making any such repurchase of Notes, we also would have to comply with certain requirements under the Corporate Credit Facility, to the extent such requirements remain in effect at such time, or otherwise obtain consent from the lenders under the Corporate Credit Facility. The terms of the Corporate Credit Facility and the SPV Credit Facility also provide that certain change of control events will constitute an event of default thereunder entitling the respective lenders to accelerate any indebtedness outstanding under such credit facilities at that time and to terminate such credit facilities. In addition, the occurrence of a Change of Control Repurchase Event enabling the holders of the Notes to require the mandatory purchase of the Notes would likely constitute an event of default under the Corporate Credit Facility, entitling the lenders under the Corporate Credit Facility to accelerate any indebtedness outstanding under the Corporate Credit Facility at that time and to terminate the Corporate Credit Facility. Our or our subsidiaries’ future financing arrangements may contain similar restrictions and provisions. Our failure to purchase such tendered Notes upon the occurrence of such Change of Control Repurchase Event would cause an event of default under the indenture governing the Notes and a cross-default under the agreements governing certain of our other indebtedness, including under the agreements governing the Corporate Credit Facility, the indenture governing the 2029 Convertible Notes, the indenture governing the 2030 Notes, and likely under the agreements governing the SPV Credit Facility, which may result in the acceleration of such indebtedness requiring us to repay such indebtedness immediately. If the holders of the Notes or the 2030 Notes exercise their respective right to require us to repurchase any Notes or any 2030 Notes, respectively, upon a Change of Control Repurchase Event (as defined in the relevant indenture), the financial effect of any such repurchase could cause a default under our current and future debt instruments, even if the Change of Control Repurchase Event itself would not cause a default. If a Change of Control Repurchase Event were to occur, we may not have sufficient funds to repay any such accelerated indebtedness.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definition of “Change of Control” includes a phrase relating to the direct or indirect sale, lease, transfer, conveyance or other disposition of “all or substantially all” of our properties or assets and those of our Controlled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lease, transfer, conveyance or other disposition of less than all of our assets and the assets of our Controlled Subsidiaries taken as a whole to another person or group may be uncertain.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the Notes:</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0"/>
        </w:rPr>
        <w:t>Below Investment Grade Rating Event” 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serif" w:hAnsi="Times New Roman;serif"/>
          <w:b w:val="false"/>
          <w:i/>
          <w:color w:val="000000"/>
          <w:sz w:val="20"/>
        </w:rPr>
        <w:t>provided</w:t>
      </w:r>
      <w:r>
        <w:rPr>
          <w:color w:val="000000"/>
        </w:rPr>
        <w:t> </w:t>
      </w:r>
      <w:r>
        <w:rPr>
          <w:rFonts w:ascii="Times New Roman;serif" w:hAnsi="Times New Roman;serif"/>
          <w:b w:val="false"/>
          <w:color w:val="000000"/>
          <w:sz w:val="20"/>
        </w:rPr>
        <w:t>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do not announce or publicly confirm or inform the trustee in writing at the Company's request (acting at the written direction of the holders of a majority of principal amount of the outstanding Notes)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Change of Control” means the occurrence of any of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direct or indirect sale, lease, transfer, conveyance or other disposition (other than by way of merger or consolidation) in one or a series of related transactions, of all or substantially all of the assets of Capital Southwest and its Controlled Subsidiaries taken as a whole to any “person” or “group” (as those terms are used in Section 13(d)(3) of the Exchange Act), other than to any Permitted Holders; </w:t>
      </w:r>
      <w:r>
        <w:rPr>
          <w:rFonts w:ascii="Times New Roman;serif" w:hAnsi="Times New Roman;serif"/>
          <w:b w:val="false"/>
          <w:i/>
          <w:color w:val="000000"/>
          <w:sz w:val="20"/>
        </w:rPr>
        <w:t>provided</w:t>
      </w:r>
      <w:r>
        <w:rPr>
          <w:color w:val="000000"/>
        </w:rPr>
        <w:t> </w:t>
      </w:r>
      <w:r>
        <w:rPr>
          <w:rFonts w:ascii="Times New Roman;serif" w:hAnsi="Times New Roman;serif"/>
          <w:b w:val="false"/>
          <w:color w:val="000000"/>
          <w:sz w:val="20"/>
        </w:rPr>
        <w:t>that, for the avoidance of doubt, a pledge of assets pursuant to any secured debt instrument of Capital Southwest or its Controlled Subsidiaries shall not be deemed to be any such sale, lease, transfer, conveyance or disposition;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Capital Southwest, measured by voting power rather than number of shares; 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the approval by Capital Southwest's stockholders of any plan or proposal relating to the liquidation or dissolution of Capital Southwest.</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Change of Control Repurchase Event” means the occurrence of a Change of Control and a Below Investment Grade Rating Event.</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Controlled Subsidiary” means any subsidiary of Capital Southwest, 50% or more of the outstanding equity interests of which are owned by Capital Southwest and its direct or indirect subsidiaries and of which Capital Southwest possesses, directly or indirectly, the power to direct or cause the direction of the management or policies, whether through the ownership of voting equity interests, by agreement or otherwise.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 xml:space="preserve">Fitch” means Fitch Ratings, Inc., also known as Fitch Ratings, or any successor thereof. </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Investment Grade” means a rating of BBB- or better by Fitch (or its equivalent under any successor rating categories of Fitch) and Baa3 by Moody’s (or its equivalent under any successor rating categories of Moody’s) (or, in any case, if such Rating Agency ceases to rate the Notes for reasons outside of our control, the equivalent investment grade credit rating from any Rating Agency selected by us as a replacement Rating Agency).</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Moody’s” means Moody’s Investors Service, Inc., or any successor thereof.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Permitted Holders” means (i) us and (ii) one or more of our Controlled Subsidiaries.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Rating Agency” means: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(1)each of Fitch and Moody’s;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(2)if any of Fitch or Moody’s ceases to rate the Notes or fails to make a rating of the Notes publicly available for reasons outside of our control, a “nationally recognized statistical rating organization” as defined in Section (3)(a)(62) of the Exchange Act selected by us as a replacement agency for Fitch or Moody’s, or both, as the case may be.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Global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Note will be issued in book-entry form and represented by a global security that we deposit with and register in the name of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Notes represented by a global security, and investors will be permitted to own only beneficial interests in a global security. For more information about these arrangements, see “— Book-Entry Procedures” below.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Termination of a Global Security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 global security is terminated for any reason, interests in it will be exchanged for certificates in non-book-entry form (certificated securities). After that exchange, the choice of whether to hold the certificated Notes directly or in street name will be up to the investor. Investors must consult their own banks or brokers to find out how to have their interests in a global security transferred on termination to their own names, so that they will be 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Payment and Paying Agents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will pay interest to the person listed in the trustee’s records as the owner of the Notes at the close of business on a particular day in advance of each due date for interest, even if that person no longer owns the Note on the interest due date. That day, usually about two weeks in advance of the interest due date, is called the “record date.” Because we will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 This prorated interest amount is called “accrued interest.”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Payments on Global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will make payments on the Notes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Book-Entry Procedures” below.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Payments on Certificated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the Notes become represented by certificated securities, we will make payments on the Notes as follows. We will pay interest that is due on an interest payment date to the holder of the Notes as shown on the trustee’s records as of the close of business on the regular record date. We will make all payments of principal and premium, if any, by check at the designated office of the trustee in New York, New York and/or at other offices that may be specified in the indenture or a notice to holders against surrender of the Note.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Payment When Offices Are Closed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Book-entry and other indirect holders should consult their banks or brokers for information on how they will receive payments on the Notes.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Events of Default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You will have rights if an Event of Default occurs in respect of the Notes and the Event of Default is not cured, as described later in this subsection.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 “Event of Default” in respect of the Notes means any of the following: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do not pay the principal of, or any premium on, any Note when due and payable at maturity;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do not pay interest on any Note when due and payable, and such default is not cured within 30 days of its due date;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remain in breach of any other covenant in respect of the Notes for 60 days after we receive a written notice of default stating we are in breach (the notice must be sent by either the trustee or holders of at least 25% of the principal amount of the outstanding Notes);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file for bankruptcy or certain other events of bankruptcy, insolvency or reorganization occur and remain undischarged or unstayed for a period of 60 days;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the last business day of each of twenty-four consecutive calendar months, the Notes have an asset coverage of less than 100%, giving effect to any exemptive relief granted to us by the SEC;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default by us or any of our significant subsidiaries, as defined in Article 1, Rule 1-02 of Regulation S-X promulgated under the Exchange Act (but excluding any subsidiary which is (a) a non-recourse or limited recourse subsidiary, (b) a bankruptcy remote special purpose vehicle, or (c) is not consolidated with Capital Southwest for purposes of U.S. GAAP), with respect to any mortgage, agreement or other instrument under which there may be outstanding, or by which there may be secured or evidenced, any indebtedness for money borrowed in excess of $50 million in the aggregate of us and/ 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Event of Default for the Notes may, but does not necessarily, constitute an Event of Default for any other series of debt securities issued under the same or any other indenture. Within 90 days after the occurrence of any default or Event of Default under the indenture with respect to the Notes and if a responsible officer of the trustee has received written notice or has actual knowledge of such event, the trustee shall transmit notice to the holders of such default known to the trustee, unless such default shall have been cured or waived; provided, however, that, except in the case of a default in the payment of the principal of (or premium, if any, on) or interest, if any, on any Note, the trustee shall be protected in withholding such notice if and so long as the trustee in good faith determines that withholding of such notice is in the interest of the holders of the Notes; and provided further that in the case of any default or breach specified in the third bullet point above with respect to the Notes, no such notice shall be given until at least 60 days after the occurrence thereof.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Remedies if an Event of Default Occurs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Event of Default has occurred and is continuing, the trustee or the holders of not less than 25% in principal amount of the Notes may declare the entire principal amount of all the Notes to be due and immediately payable, but this does not entitle any holder of Notes to any redemption payout or redemption premium. If an Event of Default referred to in the third to last bullet point above with respect to us has occurred, the entire principal amount of all of the Notes will automatically become due and immediately payable, without any action on the part of the trustee. This is called a declaration of acceleration of maturity. In certain circumstances, a declaration of acceleration of maturity may be canceled by the holders of a majority in principal amount of the Notes if (1) we have deposited with the trustee all amounts due and owing with respect to the Notes (other than principal or any payment that has become due solely by reason of such acceleration) and certain other amounts, and (2) any other Events of Default have been cured or waived.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Except in cases of default, where the trustee has some special duties, the trustee is not required to take any action under the indenture at the request of any holders unless the holders offer the trustee protection from expenses and liability satisfactory to it (called an “indemnity”). If indemnity satisfactory to the trustee is provided, the holders of a majority in principal amount of the Notes may direct the time, method and place of conducting any lawsuit or other formal legal action seeking any remedy available to the trustee. However, the trustee may refuse to follow any direction that conflicts with law or the indenture, that may involve the trustee in personal liability, or if it is not provided with security and/or indemnity reasonably satisfactory to the trustee and may take any other action it deems proper that is not inconsistent with any such direction received from holders. In addition, the trustee will not be required to expend its own funds under any circumstances. No delay or omission in exercising any right or remedy will be treated as a waiver of that right, remedy or Event of Default.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Before you are allowed to bypass the trustee and bring your own lawsuit or other formal legal action or take other steps to enforce your rights or protect your interests relating to the Notes, the following must occur: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you must give the trustee written notice that an Event of Default has occurred and remains uncured;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holders of at least 25% in principal amount of all the Notes must make a written request that the trustee take action because of the default and must offer (and, if requested, provide) security and/or indemnity reasonably satisfactory to the trustee against the cost and other liabilities of taking that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trustee must not have taken action for 60 days after receipt of the above notice and offer of indemnity;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holders of a majority in principal amount of the Notes must not have given the trustee a direction inconsistent with the above notice during that 60-day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However, you are entitled at any time to bring a lawsuit for the payment of money due on your Notes on or after the due date.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year, we will furnish to the trustee a written statement of certain of our officers certifying that to their knowledge we are in compliance with the indenture and the Notes, or else specifying any default.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Waiver of Default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in principal amount of the Notes may waive any past defaults other than a default: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the payment of principal (or premium, if any) or interest;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respect of a covenant that cannot be modified or amended without the consent of each holder of the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Merger, Consolidation or Asset Sale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where: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merge out of existence or convey or transfer all or substantially all of our assets, the resulting entity must agree to be legally responsible for our obligations under the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merger or sale of assets must not cause a default on the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certain certificates and documents to the trustee.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 of the foregoing and subject to the 1940 Act, any subsidiary of ours may consolidate with, merge into or transfer all or part of its property and assets to other subsidiaries of ours or to us. Additionally, this covenant shall not apply to: (1) our merger or the merger of one of our subsidiaries with an affiliate solely for the purpose of reincorporating in another jurisdiction; (2) any conversion by us or a subsidiary from an entity formed under the laws of one state to any entity formed under the laws of another state; or (3) any combination of (1) and (2) above.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Modification or Waiver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are three types of changes we can make to the indenture and the Notes issued thereunder.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Changes Requiring Your Approval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First, there are changes that we cannot make to your Notes without your specific approval. The following is a list of those types of changes: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 the stated maturity of the principal of (or premium, if any, on) or any installment of principal of or interest on the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 any amounts due on the Notes or reduce the rate of interest on the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 the amount of principal payable upon acceleration of the maturity of a Note following a default;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 the place or currency of payment on a Note;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 your right to sue for payment;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 the percentage of holders of Notes whose consent is needed to modify or amend the indenture;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 the percentage of holders of Notes whose consent is needed to waive compliance with certain provisions of the indenture or to waive certain defaults or reduce the percentage of holders of Notes required to satisfy quorum or voting requirements at a meeting of holders of the Notes.</w:t>
      </w:r>
      <w:r>
        <w:rPr>
          <w:color w:val="000000"/>
        </w:rPr>
        <w:t>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Changes Not Requiring Approval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type of change does not require any vote by the holders of the Notes. This type is limited to clarifications and certain other changes that would not adversely affect holders of the Notes in any material respect.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Changes Requiring Majority Approval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other change to the indenture and the Notes would require the following approval: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change affects only the Notes, it must be approved by the holders of a majority in principal amount of the Notes;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each case, the required approval must be given by written consent.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 Changes Requiring Your Approval.”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Further Details Concerning Voting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When taking a vote, we will use the following rules to decide how much principal to attribute to the Notes: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Notes will not be considered outstanding, and therefore not eligible to vote, if we have deposited or set aside in trust money for their payment or redemption or if we or any affiliate of ours own any Notes. The Notes will also not be eligible to vote if they have been fully defeased as described later under “— Defeasance — Full Defeasance” below.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will be entitled to set any day as a record date for the purpose of determining the holders of the Notes that are entitled to vote or take other action under the indenture. However, the record date may not be earlier than 30 days before the date of the first solicitation of holders to vote on or take such action and not later than the date such solicitation is completed. If we set a record date for a vote or other action to be taken by holders of the Notes, that vote or action may be taken only by persons who are holders of the Notes on the record date and must be taken within eleven months following the record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Book-entry and other indirect holders should consult their banks or brokers for information on how approval may be granted or denied if we seek to change the indenture or the Notes or request a waiver.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Satisfaction and Discharge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will be discharged and will cease to be of further effect with respect to the Notes when: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Either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 the Notes that have been authenticated have been delivered to the trustee for cancellation;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 the Notes that have not been delivered to the trustee for cancellation: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have become due and payable,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will become due and payable at their stated maturity within one year,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are to be called for redemption,</w:t>
      </w:r>
    </w:p>
    <w:p>
      <w:pPr>
        <w:pStyle w:val="TextBody"/>
        <w:bidi w:val="0"/>
        <w:spacing w:lineRule="auto" w:line="288" w:before="0" w:after="0"/>
        <w:jc w:val="both"/>
        <w:rPr>
          <w:color w:val="000000"/>
        </w:rPr>
      </w:pPr>
      <w:r>
        <w:rPr>
          <w:color w:val="000000"/>
        </w:rPr>
        <w: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and we, in the case of the first, second and third sub-bullets above, have irrevocably deposited or caused to be deposited with the trustee as trust funds in trust solely for the benefit of the holders of the Notes, in amounts in the currency payable for the Notes as will be sufficient, to pay and discharge the entire indebtedness (including all principal, premium, if any, and interest) on such Notes delivered to the trustee for cancellation (in the case of Notes that have become due and payable on or prior to the date of such deposit) or to the stated maturity or redemption date, as the case may be;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have paid or caused to be paid all other sums payable by us under the indenture with respect to the Notes;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delivered to the trustee an officers’ certificate and legal opinion, each stating that all conditions precedent provided for in the indenture relating to the satisfaction and discharge of the indenture and the Notes have been complied with.</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Defeasance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provisions will be applicable to the Notes. “Defeasance” means that, by depositing with a trustee an amount of cash and/or government securities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Covenant Defeasance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current U.S. federal income tax law and the indenture,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the following must occur: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because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of our counsel confirming that, under current U.S. federal income tax law, we may make the above deposit without causing you to be taxed on the Notes any differently than if we did not make the deposit;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defeasance must not result in a breach or violation of, or result in a default under, the indenture or any of our other material agreements or instruments;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 default or Event of Default with respect to the Notes shall have occurred and be continuing and no defaults or events of default related to bankruptcy, insolvency or reorganization shall occur during the next 90 days.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accomplish covenant defeasance, you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Full Defeasance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there is a change in U.S. federal income tax law, as described below, we can legally release ourselves from all payment and other obligations on the Notes (called “full defeasance”) if we put in place the following other arrangements for you to be repaid: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since the Notes are denominated in U.S. dollars, we must deposit in trust for the benefit of all holders of the Notes a combination of money and U.S. government or U.S. government agency notes or bonds that will generate enough cash to make interest, principal and any other payments on the Notes on their various due dates;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confirming that there has been a change in current U.S. federal tax law or an Internal Revenue Service (“IRS”) ruling that allows us to make the above deposit without causing you to be taxed on the Notes any differently than if we did not make the deposit;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defeasance must not result in a breach or violation of, or constitute a default under, the indenture or any of our other material agreements or instruments;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 default or Event of Default with respect to the Notes shall have occurred and be continuing and no defaults or events of default related to bankruptcy, insolvency or reorganization shall occur during the next 90 days.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Other Covenants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any other covenants described in this prospectus supplement and the accompanying prospectus, as well as standard covenants relating to payment of principal and interest, maintaining an office where payments may be made or securities can be surrendered for payment, payment of taxes by the Company and related matters, the following covenants apply to the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agree that, for the period of time during which the Notes are outstanding, we will not violate Section 18(a)(1)(B) as modified by (i) Section 61(a)(2) of the 1940 Act or any successor provisions and after giving effect to any exemptive relief granted to us by the SEC and (ii) the two other exceptions set forth below. These statutory provisions of the 1940 Act are not currently applicable to us and will not be applicable to us as a result of this offering. However,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were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GAAP.</w:t>
      </w:r>
      <w:r>
        <w:rPr>
          <w:color w:val="000000"/>
        </w:rPr>
        <w: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Form, Exchange and Transfer of Certificated Registered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registered Notes cease to be issued in book-entry form, they will be issued: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only in fully registered certificated form;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without interest coupons;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unless we indicate otherwise, in denominations of $2,000 and amounts that are multiples of $1,000.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may exchange their certificated securities for Notes of smaller denominations or combined into fewer Notes of larger denominations, as long as the total principal amount is not changed and as long as the denomination is equal to or greater than $2,000.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Holders may exchange or transfer their certificated securities at the designated office of the trustee. We have appointed the trustee to act as our agent for registering Notes in the names of holders transferring Notes. We may appoint another entity to perform these functions or perform them ourselves.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appoint additional transfer agents or cancel the appointment of any particular transfer agent. We may also approve a change in the office through which any transfer agent acts.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any certificated securities of a particular series are redeemable and we redeem less than all the Notes, we and the trustee may block the transfer or exchange of those Notes selected for redemption during the period beginning 15 days before the day we mail the notice of redemption and ending on the day of that mailing, in order to freeze the list of holders to prepare the mailing. We may also refuse to register transfers or exchanges of any certificated Notes selected for redemption, except that we will continue to permit transfers and exchanges of the unredeemed portion of any Note that will be partially redeemed.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registered Notes are issued in book-entry form, only the depositary will be entitled to transfer and exchange the Notes as described in this subsection, since it will be the sole holder of the Notes.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Resignation of Trustee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Indenture Provisions - Ranking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Notes will be our direct unsecured obligations and will rank: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pari passu with our existing and future unsubordinated unsecured indebtedness, including, without limitation, the 2029 Convertible Notes and the 2030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senior to any of our future indebtedness that expressly provides it is subordinated to the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effectively subordinated to all of our existing and future secured indebtedness (including indebtedness that is initially unsecured to which we subsequently grant security), to the extent of the value of the assets securing such indebtedness, including, without limitation, borrowings under the Corporate Credit Facility;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structurally subordinated to all existing and future indebtedness and other obligations of any of our subsidiaries, including, without limitation, borrowings under the SPV Credit Facility and the SBA Debentures.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Book-Entry Procedures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in the United States, or Clearstream Banking, société anonyme (“Clearstream”), or Euroclear Bank S.A./N.V., as operator of the Euroclear System in Europe (“Euroclear”), if they are participants of those systems, or indirectly through organizations that are participants in those systems. Clearstream and Euroclear will hold interests on behalf of their participants through customers' securities accounts in Clearstream’s and Euroclear’s names on the books of their respective depositories, which in turn will hold such interests in customers’ securities accounts in the depositories’ names on the books of DTC.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Notes will be issued as fully registered securities registered in the name of Cede &amp; Co. (DTC’s partnership nominee) or such other name as may be requested by an authorized representative of DTC. One fully registered certificate will be issued for each issuance of the Notes, in the aggregate principal amount thereof, and will be deposited with DTC. Interests in the Notes will trade in DTC’s Same Day Funds Settlement System, and any permitted secondary market trading activity in such Notes will, therefore, be required by DTC to be settled in immediately available funds. None of the Company, the trustee or the paying agent will have any responsibility for the performance by DTC or its participants or indirect participants of their respective obligations under the rules and procedures governing their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 </w:t>
      </w:r>
    </w:p>
    <w:p>
      <w:pPr>
        <w:pStyle w:val="TextBody"/>
        <w:bidi w:val="0"/>
        <w:spacing w:lineRule="auto" w:line="288" w:before="240" w:after="283"/>
        <w:jc w:val="both"/>
        <w:rPr/>
      </w:pPr>
      <w:r>
        <w:rPr>
          <w:rFonts w:ascii="Times New Roman;serif" w:hAnsi="Times New Roman;serif"/>
          <w:b w:val="false"/>
          <w:color w:val="000000"/>
          <w:sz w:val="20"/>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DTC has a Standard &amp; Poor’s Ratings Services’ rating of AA+. The DTC Rules applicable to its participants are on file with the SEC. More information about DTC can be found at</w:t>
      </w:r>
      <w:r>
        <w:rPr>
          <w:color w:val="000000"/>
        </w:rPr>
        <w:t> </w:t>
      </w:r>
      <w:r>
        <w:rPr>
          <w:rFonts w:ascii="Times New Roman;serif" w:hAnsi="Times New Roman;serif"/>
          <w:b w:val="false"/>
          <w:i/>
          <w:color w:val="000000"/>
          <w:sz w:val="20"/>
        </w:rPr>
        <w:t>www.dtcc.com</w:t>
      </w:r>
      <w:r>
        <w:rPr>
          <w:color w:val="000000"/>
        </w:rPr>
        <w:t> </w:t>
      </w:r>
      <w:r>
        <w:rPr>
          <w:rFonts w:ascii="Times New Roman;serif" w:hAnsi="Times New Roman;serif"/>
          <w:b w:val="false"/>
          <w:color w:val="000000"/>
          <w:sz w:val="20"/>
        </w:rPr>
        <w:t>and</w:t>
      </w:r>
      <w:r>
        <w:rPr>
          <w:color w:val="000000"/>
        </w:rPr>
        <w:t> </w:t>
      </w:r>
      <w:r>
        <w:rPr>
          <w:rFonts w:ascii="Times New Roman;serif" w:hAnsi="Times New Roman;serif"/>
          <w:b w:val="false"/>
          <w:i/>
          <w:color w:val="000000"/>
          <w:sz w:val="20"/>
        </w:rPr>
        <w:t>www.dtc.org.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Purchases of the Notes under the DTC system must be made by or through Direct Participants, which will receive a credit for the Notes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representing their ownership interests in the Notes, except in the event that use of the book-entry system for the Notes is discontinued.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Redemption notices shall be sent to DTC. If less than all of the Notes within an issue are being redeemed, DTC’s practice is to determine by lot the amount of the interest of each Direct Participant in such issue to be redeemed.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Similar to DTC, 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and Clearstream is also available to others such as banks, brokers, dealers and trust companies that clear through or maintain a custodial relationship with a Euroclear and Clearstream participant, either directly or indirectly.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Distributions with respect to notes held beneficially through Euroclear or Clearstream will be credited to the cash accounts of participants in Euroclear or Clearstream, as the case may be, in accordance with their respective procedures, to the extent received by the common depositary for Euroclear or Clearstream.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section concerning DTC, Euroclear and Clearstream has been obtained from sources that we believe to be reliable, but neither we nor the trustee or any of the underwriters take any responsibility for the accuracy thereof.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Global Clearance and Settlement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Interests in the Notes will trade in DTC’s Same Day Funds Settlement System, and any permitted secondary market trading activity in such Notes will, therefore, be required by DTC to be settled in immediately available funds. Secondary market trading between Clearstream participants and Euroclear participants will occur in the ordinary way in accordance with the applicable rules and operating procedures of Clearstream and Euroclear and will be settled using the procedures applicable to conventional Eurobonds in immediately available funds. None of the Company, the trustee or the paying agent will have any responsibility for the performance by DTC or its participants or indirect participants of their respective obligations under the rules and procedures governing their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Cross-market transfers between persons holding directly or indirectly through DTC on the one hand, and directly or indirectly through Clearstream or Euroclear participants, on the other, will be effected within DTC in accordance with DTC’s rules on behalf of the relevant European international clearing system by its U.S. depository; however, such cross-market transactions will require delivery of instructions to the relevant European international clearing system by the participant in such system in accordance with its rules and procedures and within its established deadlines. The relevant European international clearing system will, if the transaction meets its settlement requirements, deliver instructions to its U.S. depository to take action to effect final settlement on its behalf by delivering or receiving notes in DTC, and making or receiving payment in accordance with normal procedures for same-day funds settlement applicable to DTC. Clearstream participants and Euroclear participants may not deliver instructions directly to their respective U.S. depositories. Because of time-zone differences, credits of notes received in Clearstream or Euroclear as a result of a transaction with a DTC participant will be made during subsequent securities settlement processing and dated the business day following the DTC settlement date. Such credits, or any transactions in the notes settled during such processing, will be reported to the relevant Euroclear participants or Clearstream participants on that business day. Cash received in Clearstream or Euroclear as a result of sales of notes by or through a Clearstream participant or a Euroclear participant to a DTC participant will be received with value on the business day of settlement in DTC but will be available in the relevant Clearstream or Euroclear cash account only as of the business day following DTC settlement in DTC. Although DTC, Clearstream and Euroclear have agreed to the foregoing procedures in order to facilitate transfers of securities among participants of DTC, Clearstream and Euroclear, they are under no obligation to perform or continue to perform such procedures and they may discontinue the procedures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CERTAIN U.S. FEDERAL INCOME TAX CONSEQUENCES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summary describes certain U.S. federal income tax consequences applicable to an investment in the Notes. This summary does not purport to be a complete description of the income tax considerations applicable to such an investment. The summary is based upon the Code, U.S. Treasury regulations, and administrative and judicial interpretations, each as of the date of this prospectus supplement and all of which are subject to change, potentially with retroactive effect, or to different interpretations. We cannot assure you that the IRS will not challenge one or more of the tax consequences described in this summary, and we have not obtained, nor do we intend to obtain, any ruling from the IRS or opinion of counsel with respect to the tax consequences of an investment in the Notes. Investors should consult their own tax advisors with respect to tax considerations that pertain to their investment in the Notes. </w:t>
      </w:r>
    </w:p>
    <w:p>
      <w:pPr>
        <w:pStyle w:val="TextBody"/>
        <w:bidi w:val="0"/>
        <w:spacing w:lineRule="auto" w:line="288" w:before="240" w:after="283"/>
        <w:jc w:val="both"/>
        <w:rPr/>
      </w:pPr>
      <w:r>
        <w:rPr>
          <w:rFonts w:ascii="Times New Roman;serif" w:hAnsi="Times New Roman;serif"/>
          <w:b w:val="false"/>
          <w:color w:val="000000"/>
          <w:sz w:val="20"/>
        </w:rPr>
        <w:t>This summary discusses only Notes held as capital assets within the meaning of the Code (generally, property held for investment purposes) and does not purport to address persons in special tax situations, such as banks and other financial institutions, insurance companies, controlled foreign corporations, passive foreign investment companies, real estate investment trusts and regulated investment companies (and shareholders of such corporations), dealers in securities or currencies, traders in securities, certain former citizens or long-term residents of the United States, persons holding the Notes as a position in a “straddle,” “hedge,” “constructive sale transaction,” “conversion transaction,” “wash sale” or other integrated transaction for U.S. federal income tax purposes, entities that are tax-exempt for U.S. federal income tax purposes, retirement plans, individual retirement accounts, tax-deferred accounts, persons subject to the alternative minimum tax, pass-through entities (including partnerships and entities and arrangements classified as partnerships for U.S. federal income tax purposes) and beneficial owners of pass-through entities, personal holding companies, corporations that accumulate earnings to avoid U.S. federal income tax, persons deemed to sell the Notes under the constructive sale provisions of the Code, or U.S. holders (as defined below) whose functional currency (as defined in the Code) is not the U.S. dollar. It also does not address beneficial owners of the Notes other than original purchasers of the Notes who acquire the Notes in this offering for cash at a price equal to their issue price (</w:t>
      </w:r>
      <w:r>
        <w:rPr>
          <w:rFonts w:ascii="Times New Roman;serif" w:hAnsi="Times New Roman;serif"/>
          <w:b w:val="false"/>
          <w:i/>
          <w:color w:val="000000"/>
          <w:sz w:val="20"/>
        </w:rPr>
        <w:t>i</w:t>
      </w:r>
      <w:r>
        <w:rPr>
          <w:rFonts w:ascii="Times New Roman;serif" w:hAnsi="Times New Roman;serif"/>
          <w:b w:val="false"/>
          <w:color w:val="000000"/>
          <w:sz w:val="20"/>
        </w:rPr>
        <w:t>.</w:t>
      </w:r>
      <w:r>
        <w:rPr>
          <w:rFonts w:ascii="Times New Roman;serif" w:hAnsi="Times New Roman;serif"/>
          <w:b w:val="false"/>
          <w:i/>
          <w:color w:val="000000"/>
          <w:sz w:val="20"/>
        </w:rPr>
        <w:t>e</w:t>
      </w:r>
      <w:r>
        <w:rPr>
          <w:rFonts w:ascii="Times New Roman;serif" w:hAnsi="Times New Roman;serif"/>
          <w:b w:val="false"/>
          <w:color w:val="000000"/>
          <w:sz w:val="20"/>
        </w:rPr>
        <w:t xml:space="preserve">., the first price at which a substantial amount of the Notes is sold for money to investors (other than to bond houses, brokers, or similar persons or organizations acting in the capacity of underwriters, placements agents or wholesalers)). This discussion also does not address the U.S. federal income tax consequences to beneficial owners of the Notes subject to the special tax accounting rules under Section 451(b) of the Code. In addition, this summary only addresses U.S. federal income tax consequences, and does not address other U.S. federal tax consequences, including, for example, estate or gift tax consequences. This summary also does not address any U.S. state or local or Non-U.S. tax consequences. Investors considering purchasing the Notes should consult their own tax advisors concerning the application of the U.S. federal income tax laws to their individual circumstances, as well as any consequences to such investors relating to purchasing, owning and disposing of the Notes under the laws of any state, local, foreign or other taxing jurisdiction.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Taxation of U.S. Holders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discussion, the term “U.S. holder” means a beneficial owner of a Note that is, for U.S. federal income tax purposes: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individual who is a citizen or resident of the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corporation (or other entity treated as a corporation) created or organized in or under the laws of the United States, any state thereof, or the District of Columbia;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trust (i) the administration of which is subject to the primary supervision of a U.S. court and that has one or more “United States persons” (within the meaning of the Code) that have the authority to control all substantial decisions of the trust or (ii) that has made a valid election under applicable U.S. Treasury regulations to be treated as a “United States person” (within the meaning of the Code);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 estate the income of which is subject to U.S. federal income taxation regardless of its source.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Payments of Interest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assumes that the Notes will be issued with no original issue discount or a de minimis amount of original issue discount for U.S. federal income tax purposes. Payments or accruals of interest on a Note generally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taxable to a U.S. holder as ordinary interest income at the time they are received (actually or constructively) or accrued, in accordance with the U.S. holder’s regular method of tax accounting.</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Sale, Exchange, Redemption, Retirement or Other Taxable Disposition of a Note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Upon the sale, exchange, redemption, retirement or other taxable disposition of a Note, a U.S. holder generally will recognize capital gain or loss equal to the difference, if any, between the amount realized on the sale, exchange, redemption, retirement or other taxable disposition (excluding amounts representing accrued and unpaid interest, which are treated as ordinary interest income to the extent not previously included in income) and the U.S. holder’s adjusted tax basis in the Note. A U.S. holder’s adjusted tax basis in a Note generally will equal the U.S. holder’s initial investment in the Note. Any gain or loss generally will be long-term capital gain or loss if the Note was held for more than one year at the time of such disposition. Otherwise, such gain or loss will be short-term capital gain or loss. Long-term capital gains recognized by individuals and certain other non-corporate U.S. holders generally are eligible for reduced rates of taxation. The deductibility of capital losses may be subject to limitations under the Code.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Additional Tax on Net Investment Income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 additional surtax of 3.8% is imposed on certain “net investment income” (or “undistributed net investment income,” in the case of certain U.S. holders that are estates and trusts) received by certain U.S. holders with adjusted gross income above certain threshold amounts. “Net investment income” generally includes interest payments on, and gain recognized from the sale, exchange, redemption, retirement or other taxable disposition of, the Notes, less certain deductions. U.S. holders should consult their own tax advisors regarding the effect, if any, of this surtax on their ownership and disposition of the Notes.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Backup Withholding and Information Reporting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U.S. holder may be subject to information reporting and backup withholding when such U.S. holder receives interest payments on the Notes held or upon the proceeds received upon the sale or other disposition of such Notes (including a redemption or retirement of the Notes). Certain U.S. holders generally are not subject to information reporting or backup withholding. A U.S. holder will be subject to backup withholding if such U.S. holder is not otherwise exempt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such U.S. holder fails to furnish the U.S. holder’s taxpayer identification number (“TIN”), which, for an individual, ordinarily is his or her social security number;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IRS notifies the payor that such U.S. holder furnished an incorrect TIN;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notified by the IRS that the U.S. holder has failed properly to report payments of interest or dividends;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such U.S. holder fails to certify, under penalties of perjury, on an IRS Form W-9 (Request for Taxpayer Identification Number and Certification) or a suitable substitute form (or other applicable certificate), that the U.S. holder has furnished a correct TIN and that the IRS has not notified the U.S. holder that the U.S. holder is subject to backup withholding.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holders should consult their tax advisors regarding their qualification for an exemption from backup withholding and the procedures for obtaining such an exemption, if applicable. Backup withholding is not an additional tax, and taxpayers may use amounts withheld as a credit against their U.S. federal income tax liability or may claim a refund if they timely provide certain information to the IRS.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Taxation of Non-U.S. Holders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certain U.S. federal income tax consequences that will apply to you if you are a “Non-U.S. holder” of a Note. A “Non-U.S. holder” is a beneficial owner of a Note who is neither a U.S. holder nor a partnership for U.S. federal income tax purposes. Special rules may apply to Non-U.S. holders that are subject to special treatment under the Code, including controlled foreign corporations, passive foreign investment companies, certain former citizens and long-term residents of the United States, and foreign persons eligible for benefits under an applicable income tax treaty with the U.S. Such Non-U.S. holders should consult their tax advisors to determine the U.S. federal, state, local and other tax consequences that may be relevant to them including any reporting requirements.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on the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stated interest paid or accrued to a Non-U.S. holder that is not effectively connected with the Non-U.S. holder’s conduct of a trade or business in the United States (a “U.S. trade or business”) is subject to U.S. withholding tax imposed at a rate of 30% (or, if applicable, a reduced rate pursuant to an applicable income tax treaty). Nevertheless and subject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discussion below concerning backup withholding and FATCA (as defined below), interest paid or accrued on a Note to a Non-U.S. holder that is not effectively connected with the Non-U.S. holder’s conduct of a U.S. trade or business generally will not be subject to U.S. federal withholding tax provided that: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such Non-U.S. holder does not directly, indirectly or constructively own 10% or more of the total combined voting power of all classes of our voting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such Non-U.S. holder is not a controlled foreign corporation that is related to us through direct, indirect or constructive stock ownership;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such Non-U.S. holder is not a bank that received such Note on an extension of credit made pursuant to a loan agreement entered into in the ordinary course of its trade or business;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one of the following applies: (1) such Non-U.S. holder certifies in a statement (generally, a properly executed IRS Form W-8BEN or IRS Form W-8BEN-E, as applicable, or a suitable substitute) provided to us or the paying agent, under penalties of perjury, prior to payment, that it is the beneficial owner of the Notes and not a “United States person” within the meaning of the Code and provides its name and address, (2) a securities clearing organization, bank or other financial institution that holds customers’ securities in the ordinary course of its trade or business and holds the Note on behalf of such Non-U.S. holder certifies to us or the paying agent, prior to the payment of interest, under penalties of perjury that it, or the financial institution between it and the Non-U.S. holder, has received from the Non-U.S. holder a statement, under penalties of perjury, that such Non-U.S. holder is the beneficial owner of the Notes and is not a United States person and provides us or the paying agent with a copy of such statement or (3) such Non-U.S. holder holds its Note directly through a “qualified intermediary” and certain conditions are satisfied. Special certification rules apply to Non-U.S. holders that are pass-through entities rather than corporations or individuals.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Even if the above conditions are not met, a Non-U.S. holder generally will be entitled to a reduction in or an exemption from withholding tax on interest if the Non-U.S. holder provides us or our paying agent, prior to payment, with a properly executed IRS Form W-8BEN or IRS Form W-8BEN-E, as applicable, or a suitable substitute form (or other applicable certificate) claiming an exemption from or reduction of the withholding tax under the benefit of an income tax treaty between the United States and the Non-U.S. holder’s country of residence. A Non-U.S. holder is required to inform the recipient of any change in the information on such statement within 30 days of such change. Special certification rules apply to Non-U.S. holders that are pass-through entities rather than corporations or individuals.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Non-U.S. holder generally will also be exempt from withholding tax on interest if such amount is effectively connected with such Non-U.S. holder’s conduct of a United States trade or business and the Non-U.S. holder provides us with appropriate certification (as discussed below under the caption “— Income or Gain Effectively Connected with a U.S. Trade or Business”).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Disposition of the Notes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discussions of backup withholding and FATCA withholding below, a Non-U.S. holder generally will not be subject to U.S. federal income tax on any gain realized on the sale, redemption, exchange, retirement, or other taxable disposition of a Note unless: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the gain is effectively connected with the conduct by such Non-U.S. holder of a U.S. trade or business (and, if required by an applicable income tax treaty, such Non-U.S. holder maintains a permanent establishment in the United States to which such gain is attributable);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such Non-U.S. holder is a non-resident alien individual who has been present in the United States for 183 days or more in the taxable year of disposition and certain other requirements are met and the Non-U.S. holder is not eligible for relief under an applicable income tax treaty;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portion of the gain is attributable to accrued but unpaid interest, in which case such amounts would be subject to tax as described above in “— Interest on the Notes.”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 Non-U.S. holder’s gain is described in the first bullet point above, such Non-U.S. holder generally will be subject to U.S. federal income tax in the manner described under “— Income or Gain Effectively Connected with a U.S. Trade or Business” below. A Non-U.S. holder described in the second bullet point above will be subject to tax at a rate of 30% (or, if applicable, a reduced rate pursuant to an applicable income tax treaty) U.S. federal income tax on the gain derived from the sale or other disposition, which may be offset by certain U.S. source capital losses.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other exceptions may be applicable, and Non-U.S. holders should consult their own tax advisors with regard to whether taxes will be imposed on capital gain in their individual circumstances.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or Gain Effectively Connected with a U.S. Trade or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any interest on the Notes or gain from the sale, redemption, exchange, retirement, or other taxable disposition of the Notes is effectively connected with a Non-U.S. holder’s conduct of a U.S. trade or business (and, if required by an applicable income tax treaty, such Non-U.S. holder maintains a permanent establishment in the United States to which such interest or gain is attributable), then the interest income or gain will be subject to U.S. federal income tax at regular income tax rates generally in the same manner as if such Non-U.S. holder were a U.S. holder (but without regard to the additional tax on net investment income described above). Such effectively connected interest income will not be subject to U.S. federal withholding tax if a Non-U.S. holder satisfies certain certification requirements by providing to the applicable withholding agent a properly executed IRS Form W-8ECI (or successor form). In addition, if a Non-U.S. holder is a corporation, that portion of such Non-U.S. holder’s earnings and profits that are effectively connected with such Non-U.S. holder’s conduct of a U.S. trade or business may also be subject to a “branch profits tax” at a 30% rate (or, if applicable, a reduced rate pursuant to an applicable income tax treaty). For this purpose, interest received on a Note and gain recognized on the disposition of a Note will be included in earnings and profits if the interest or gain is effectively connected with the conduct by such Non-U.S. holder of a U.S. trade or business.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Backup Withholding and Information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amount of interest that we pay to any documented Non-U.S. holder on the Notes will be reported to the Non-U.S. holder and to the IRS annually on an IRS Form 1042-S, regardless of whether any tax was actually withheld. Copies of these information returns may also be made available under the provisions of a specific income tax treaty or agreement to the tax authorities of the country in which the Non-U.S. holder resides. However, a Non-U.S. holder generally will not be subject to backup withholding and certain other information reporting with respect to payments that we make to the Non-U.S. holder, provided that we do not have actual knowledge or reason to know that such Non-U.S. holder is a “United States person,” within the meaning of the Code, and the Non-U.S. holder has given us the statement described above under “— Interest on the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 Non-U.S. holder sells or exchanges a Note through a United States broker or the United States office of a foreign broker, the proceeds from such sale or exchange will be subject to information reporting and backup withholding unless the Non-U.S. holder provides a withholding certificate or other appropriate documentary evidence establishing that such holder is not a U.S. holder to the broker and such broker does not have actual knowledge or reason to know that such holder is a U.S. holder, or the Non-U.S. holder is an exempt recipient eligible for an exemption from information reporting and backup withholding. If a Non-U.S. holder sells or exchanges a Note through the foreign office of a broker who is a United States person or has certain enumerated connections with the United States, the proceeds from such sale or exchange will be subject to information reporting unless the Non-U.S. holder provides to such broker a withholding certificate or other documentary evidence establishing that such holder is not a U.S. holder and such broker does not have actual knowledge or reason to know that such evidence is false, or the Non-U.S. holder is an exempt recipient eligible for an exemption from information reporting. In circumstances where information reporting by the foreign office of such a broker is required, backup withholding will be required only if the broker has actual knowledge that the holder is a U.S. 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Non-U.S. holder generally will be entitled to credit any amounts withheld under the backup withholding rules against the Non-U.S. holder’s U.S. federal income tax liability or may claim a refund provided that the required information is furnished to the IRS in a timely manner.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Non-U.S. holders are urged to consult their tax advisors regarding the application of information reporting and backup withholding in their particular situations, the availability of an exemption therefrom, and the procedures for obtaining such an exemption, if available.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FATCA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(including interest on a Note) and dividends. While existing U.S. Treasury regulations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that is a specified U.S. person and certain financial information associated with the holder’s account. In addition, subject to certain exceptions, this legislation also imposes a 30% withholding on certain payments to certain foreign entities that are not FFIs unless the foreign entity certifies that it does not have a greater than 10% owner that is a specified U.S. person or provides the withholding agent with identifying information on each greater than 10% owner that is a specified U.S. person. Depending on the status of a beneficial owner and the status of the intermediary through which it holds the Notes, a beneficial owner could be subject to this 30% withholding tax with respect to interest paid on the Notes. Under certain circumstances, a beneficial owner might be eligible for a refund or credit of such taxes. We will not pay any additional amounts to holders of the Notes in respect of any amounts withheld.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and beneficial owners should consult their own tax advisors regarding FATCA and whether it may be relevant to their acquisition, ownership and disposition of the Notes.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You should consult your own tax advisor with respect to the particular tax consequences to you of an investment in the Notes, including the possible effect of any pending legislation or proposed regulations.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UNDERWRITING</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Deutsche Bank Securities Inc., Huntington Securities, Inc., ING Financial Markets LLC, Morgan Stanley &amp; Co. LLC, RBC Capital Markets, LLC and Wells Fargo Securities, LLC are acting as representatives of the underwriters for this offering (the “Representatives”). Subject to the terms and conditions set forth in an underwriting agreement dated September 10, 2026 between us and the underwriters, we have agreed to sell to the underwriters, and the underwriters have severally agreed to purchase from us, the aggregate principal amount of Notes indicated in the table below: </w:t>
      </w:r>
    </w:p>
    <w:tbl>
      <w:tblPr>
        <w:tblW w:w="4947" w:type="dxa"/>
        <w:jc w:val="left"/>
        <w:tblInd w:w="0" w:type="dxa"/>
        <w:tblLayout w:type="fixed"/>
        <w:tblCellMar>
          <w:top w:w="28" w:type="dxa"/>
          <w:left w:w="28" w:type="dxa"/>
          <w:bottom w:w="28" w:type="dxa"/>
          <w:right w:w="28" w:type="dxa"/>
        </w:tblCellMar>
      </w:tblPr>
      <w:tblGrid>
        <w:gridCol w:w="917"/>
        <w:gridCol w:w="807"/>
        <w:gridCol w:w="811"/>
        <w:gridCol w:w="109"/>
        <w:gridCol w:w="109"/>
        <w:gridCol w:w="109"/>
        <w:gridCol w:w="283"/>
        <w:gridCol w:w="1595"/>
        <w:gridCol w:w="207"/>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Underwriters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 of Notes</w:t>
            </w:r>
          </w:p>
        </w:tc>
      </w:tr>
      <w:tr>
        <w:trPr/>
        <w:tc>
          <w:tcPr>
            <w:tcW w:w="2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Deutsche Bank Securities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56,000,000 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Huntington Securities,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ING Financial Markets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Morgan Stanley &amp; 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RBC Capital Markets,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 Fargo Securities,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Oppenheimer &amp; 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Zions Direct,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5"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350,000,000 </w:t>
            </w:r>
          </w:p>
        </w:tc>
        <w:tc>
          <w:tcPr>
            <w:tcW w:w="207"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underwriting agreement provides that the obligations of the several underwriters to pay for and accept delivery of the Notes are subject to certain conditions precedent such as the receipt by the underwriters of officers’ certificates and legal opinions. The underwriting agreement provides that the underwriters will purchase all of the Notes if any of the Notes are purchased. If an underwriter defaults, the underwriting agreement provides that, under the circumstances, the purchase commitments of the non-defaulting underwriters may be increased or the underwriting agreement may be terminated. We have agreed to indemnify the underwriters against certain liabilities, including liabilities under the Securities Act of 1933, as amended (the “Securities Act”), or to contribute to payments the underwriters may be required to make in respect of those liabilities.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underwriters are offering the Notes, subject to their acceptance of the Notes from us and subject to prior sale. The underwriters reserve the right to withdraw, cancel or modify offers to the public and to reject orders in whole or in part.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Commissions and Discounts</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An underwriting discount of 1.000% per Note will be paid by us.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total underwriting discount that we are to pay to the underwriters in connection with this offering.</w:t>
      </w:r>
    </w:p>
    <w:tbl>
      <w:tblPr>
        <w:tblW w:w="6192" w:type="dxa"/>
        <w:jc w:val="left"/>
        <w:tblInd w:w="0" w:type="dxa"/>
        <w:tblLayout w:type="fixed"/>
        <w:tblCellMar>
          <w:top w:w="28" w:type="dxa"/>
          <w:left w:w="28" w:type="dxa"/>
          <w:bottom w:w="28" w:type="dxa"/>
          <w:right w:w="28" w:type="dxa"/>
        </w:tblCellMar>
      </w:tblPr>
      <w:tblGrid>
        <w:gridCol w:w="976"/>
        <w:gridCol w:w="860"/>
        <w:gridCol w:w="864"/>
        <w:gridCol w:w="109"/>
        <w:gridCol w:w="109"/>
        <w:gridCol w:w="109"/>
        <w:gridCol w:w="140"/>
        <w:gridCol w:w="140"/>
        <w:gridCol w:w="140"/>
        <w:gridCol w:w="279"/>
        <w:gridCol w:w="279"/>
        <w:gridCol w:w="281"/>
        <w:gridCol w:w="148"/>
        <w:gridCol w:w="148"/>
        <w:gridCol w:w="150"/>
        <w:gridCol w:w="274"/>
        <w:gridCol w:w="488"/>
        <w:gridCol w:w="698"/>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tLeast" w:line="200" w:before="53" w:after="30"/>
              <w:jc w:val="center"/>
              <w:rPr>
                <w:color w:val="000000"/>
              </w:rPr>
            </w:pPr>
            <w:r>
              <w:rPr>
                <w:color w:val="000000"/>
              </w:rPr>
              <w:t> </w:t>
            </w:r>
          </w:p>
        </w:tc>
        <w:tc>
          <w:tcPr>
            <w:tcW w:w="12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 Note</w:t>
            </w:r>
          </w:p>
        </w:tc>
        <w:tc>
          <w:tcPr>
            <w:tcW w:w="446" w:type="dxa"/>
            <w:gridSpan w:val="3"/>
            <w:tcBorders/>
            <w:tcMar>
              <w:top w:w="0" w:type="dxa"/>
              <w:left w:w="0" w:type="dxa"/>
              <w:bottom w:w="0" w:type="dxa"/>
              <w:right w:w="0" w:type="dxa"/>
            </w:tcMar>
            <w:vAlign w:val="center"/>
          </w:tcPr>
          <w:p>
            <w:pPr>
              <w:pStyle w:val="TableContents"/>
              <w:bidi w:val="0"/>
              <w:spacing w:lineRule="atLeast" w:line="200" w:before="53" w:after="30"/>
              <w:jc w:val="center"/>
              <w:rPr>
                <w:color w:val="000000"/>
              </w:rPr>
            </w:pPr>
            <w:r>
              <w:rPr>
                <w:color w:val="000000"/>
              </w:rPr>
              <w:t> </w:t>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tLeast" w:line="200" w:before="33" w:after="30"/>
              <w:jc w:val="left"/>
              <w:rPr>
                <w:color w:val="000000"/>
              </w:rPr>
            </w:pPr>
            <w:r>
              <w:rPr>
                <w:color w:val="000000"/>
              </w:rPr>
              <w:t> </w:t>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tLeast" w:line="200" w:before="33" w:after="30"/>
              <w:jc w:val="left"/>
              <w:rPr>
                <w:color w:val="000000"/>
              </w:rPr>
            </w:pPr>
            <w:r>
              <w:rPr>
                <w:color w:val="000000"/>
              </w:rPr>
              <w:t> </w:t>
            </w:r>
          </w:p>
        </w:tc>
        <w:tc>
          <w:tcPr>
            <w:tcW w:w="8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98.985%</w:t>
            </w:r>
          </w:p>
        </w:tc>
        <w:tc>
          <w:tcPr>
            <w:tcW w:w="446" w:type="dxa"/>
            <w:gridSpan w:val="3"/>
            <w:tcBorders/>
            <w:shd w:fill="CCEEFF" w:val="clear"/>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346,447,500</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discount</w:t>
            </w:r>
          </w:p>
        </w:tc>
        <w:tc>
          <w:tcPr>
            <w:tcW w:w="327" w:type="dxa"/>
            <w:gridSpan w:val="3"/>
            <w:tcBorders/>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420" w:type="dxa"/>
            <w:gridSpan w:val="3"/>
            <w:tcBorders/>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46" w:type="dxa"/>
            <w:gridSpan w:val="3"/>
            <w:tcBorders/>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3,500,000</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us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420" w:type="dxa"/>
            <w:gridSpan w:val="3"/>
            <w:tcBorders/>
            <w:shd w:fill="CCEEFF" w:val="clear"/>
            <w:tcMar>
              <w:top w:w="0" w:type="dxa"/>
              <w:left w:w="0" w:type="dxa"/>
              <w:bottom w:w="0" w:type="dxa"/>
              <w:right w:w="0" w:type="dxa"/>
            </w:tcMar>
            <w:vAlign w:val="center"/>
          </w:tcPr>
          <w:p>
            <w:pPr>
              <w:pStyle w:val="TableContents"/>
              <w:bidi w:val="0"/>
              <w:spacing w:lineRule="atLeast" w:line="200" w:before="53" w:after="30"/>
              <w:jc w:val="left"/>
              <w:rPr>
                <w:color w:val="000000"/>
              </w:rPr>
            </w:pPr>
            <w:r>
              <w:rPr>
                <w:color w:val="000000"/>
              </w:rPr>
              <w:t> </w:t>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97.985%</w:t>
            </w:r>
          </w:p>
        </w:tc>
        <w:tc>
          <w:tcPr>
            <w:tcW w:w="446" w:type="dxa"/>
            <w:gridSpan w:val="3"/>
            <w:tcBorders/>
            <w:shd w:fill="CCEEFF" w:val="clear"/>
            <w:tcMar>
              <w:top w:w="0" w:type="dxa"/>
              <w:left w:w="0" w:type="dxa"/>
              <w:bottom w:w="0" w:type="dxa"/>
              <w:right w:w="0" w:type="dxa"/>
            </w:tcMar>
            <w:vAlign w:val="center"/>
          </w:tcPr>
          <w:p>
            <w:pPr>
              <w:pStyle w:val="TableContents"/>
              <w:bidi w:val="0"/>
              <w:spacing w:lineRule="atLeast" w:line="142" w:before="33" w:after="30"/>
              <w:jc w:val="lef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342,947,500</w:t>
            </w:r>
          </w:p>
        </w:tc>
      </w:tr>
    </w:tbl>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underwriters propose to offer some of the Notes to the public at the public offering price set forth on the cover page of this prospectus supplement and some of the Notes to certain other broker-dealers at the public offering price less a concession not in excess of 0.60% of the aggregate principal amount of the Notes. The underwriters may allow, and the dealers may reallow, a discount not in excess of 0.40%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expenses payable by us in connection with this offering, not including the underwriting discount, will be approximately $0.9 million.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Notes are a new issue of securities with no established trading market. We do not intend to list the Notes on any securities exchange or take any action to quote the Notes on any automated dealer quotation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been advised by the underwriters that they presently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 Sales of Similar Securities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certain exceptions, we have agreed for a period of 30 days after the date of this prospectus supplement to not sell, offer to sell, contract or agree to sell, hypothecate, pledge, grant any option to purchase or otherwise dispose of or agree to dispose of, directly or indirectly, any debt securities issued or guaranteed by us that are substantially similar to the Notes or any securities convertible into or exchangeable or exercisable for debt securities issued or guaranteed by us that are substantially similar to the Notes, or file or cause to be declared effective any registration statement under the Securities Act with respect to any of the foregoing, or otherwise publicly announce an intention to effect any transaction relating to any of the foregoing, without first obtaining the written consent of the Representatives, which may not be unreasonably withheld. This consent may be given at any time without public notice.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Stabilization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the underwriters may purchase and sell Notes in the open market. These transactions may include short sales, purchases to cover positions created by short sales and stabilizing transactions. Short sales involve the sale by the underwriters of a greater number of Notes than required to be purchased in this offering.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of these activities may cause the price of the Notes to be higher than the price that otherwise would exist in the open market in the absence of such transactions. These transactions may be discontinued at any time without any notice relating thereto.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Neither we nor any of the underwriters make any representation or prediction as to the direction or magnitude of any effect that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transactions described above may have on the price of the Notes. In addition, neither we nor any of the underwriters make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representation that the underwriters will engage in these transactions or that these transactions, once commenced, will not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 discontinued without notice.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Electronic Distribution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prospectus in electronic format may be made available by e-mail or on the web sites or through online services maintained by one or more of the underwriters and/or selling group members participating in this offering, or by their respective affiliates. In those cases, prospective investors may view offering terms online and, depending upon the particular underwriter or selling group member, prospective investors may be allowed to place orders online. The underwriters may agree with us to allocate a limited principal amount of the Notes for sale to online brokerage account holders. Any such allocation for online distributions will be made by the underwriters on the same basis as other allocations. Other than the prospectus in electronic format, information on the underwriters’ web sites and any information contained in any other web site maintained by any of the underwriters or selling group members is not part of this prospectus supplement or the registration statement of which this prospectus supplement is a part, has not been approved and/or endorsed by us or the underwriters and should not be relied on by investors.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Alternative Settlement Cycle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delivery of the Notes will be made against payment therefor on or about September 15, 2026, which will be the third business day following the date of pricing of the Notes (such settlement cycle being herein referred to as “T+3”). Under Rule 15c6-1 under the Exchange Act, trades in the secondary market generally are required to settle in one business day, unless the parties to any such trade expressly agree otherwise. Accordingly, purchasers who wish to trade the Notes on any date prior to the first business day before delivery thereof will be required, by virtue of the fact that the Notes initially will settle T+3,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specify an alternate settlement cycle at the time of any such trade to prevent a failed settlement. Purchasers of the Notes who wish to trade the Notes prior to their date of delivery hereunder should consult their own advisors.</w:t>
      </w:r>
    </w:p>
    <w:p>
      <w:pPr>
        <w:pStyle w:val="TextBody"/>
        <w:bidi w:val="0"/>
        <w:spacing w:before="0" w:after="0"/>
        <w:jc w:val="both"/>
        <w:rPr/>
      </w:pPr>
      <w:r>
        <w:rPr/>
      </w:r>
    </w:p>
    <w:p>
      <w:pPr>
        <w:pStyle w:val="TextBody"/>
        <w:bidi w:val="0"/>
        <w:spacing w:lineRule="auto" w:line="288" w:before="0" w:after="0"/>
        <w:ind w:left="0" w:right="0" w:hanging="135"/>
        <w:jc w:val="both"/>
        <w:rPr>
          <w:rFonts w:ascii="Times New Roman;serif" w:hAnsi="Times New Roman;serif"/>
          <w:b/>
          <w:color w:val="000000"/>
          <w:sz w:val="20"/>
        </w:rPr>
      </w:pPr>
      <w:r>
        <w:rPr>
          <w:rFonts w:ascii="Times New Roman;serif" w:hAnsi="Times New Roman;serif"/>
          <w:b/>
          <w:color w:val="000000"/>
          <w:sz w:val="20"/>
        </w:rPr>
        <w:t>Conflicts of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underwriters and/or their respective affiliates from time to time provide and may in the future provide investment banking, commercial banking and financial advisory services to us, for which they have received and may receive customary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underwriters and/or their respective affiliates may from time to time refer investment banking clients to us as potential portfolio investments. If we invest in those clients, we may indirectly utilize net proceeds from this offering to fund such investments, and the referring underwriter or its affiliate may receive placement fees from its client in connection with such financing, which placement fees may be paid out of the amount funded by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underwriters or their respective affiliates may also trade in our securities, securities of our portfolio companies or other financial instruments related thereto for their own respective accounts or for the account of others and may extend loans or financing directly or through derivative transactions to us, any of our portfolio companies or our affiliates.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After the date of this prospectus supplement, the underwriters and their respective affiliates may from time to time obtain information regarding specific portfolio companies or us that may not be available to the general public. Any such information is obtained by the underwriters and their respective affiliates in the ordinary course of their respective business and not in connection with the offering of the Notes. In addition, after the offering period for the sale of the Notes, the underwriters or their respective affiliates may develop analyses or opinions related to us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us to our noteholders or any other persons.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the underwriters in this offering, or affiliates of such underwriters, act as lenders under the Corporate Credit Facility. As described above, we intend to use the net proceeds from this offering to repay a portion of the outstanding indebtedness under the Corporate Credit Facility. Certain of the net proceeds from the sale of the Notes, not including underwriting compensation, may be paid to such underwriters, or such affiliates of the underwriters, in connection with the repayment of debt owed under the Corporate Credit Facility or other fees relating thereto. As a result, such underwriters, or such affiliates of the underwriters, may receive more than 5% of the net proceeds of this offering, not including underwriting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business address of Deutsche Bank Securities Inc. is 1 Columbus Circle, New York, New York 10019. The principal business address of Huntington Securities, Inc. is 41 S. High Street, 5th Floor, Columbus, Ohio 43287. The principal business address of ING Financial Markets LLC is 1133 Avenue of the Americas, New York, New York 10036. The principal business address of Morgan Stanley &amp; Co. LLC is 1585 Broadway, New York, New York 10036. The principal business address of RBC Capital Markets, LLC is Brookfield Place, 200 Vesey Street, 8th Floor, New York, New York 10281. The principal business address of Wells Fargo Securities, LLC is 550 South Tryon Street, Charlotte, North Carolina 28202.</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Other Jurisdictions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Other than in the United States, no action has been taken by us or the underwriters that would permit a public offering of the Notes offered by this prospectus supplement and the accompanying prospectus in any jurisdiction where action for that purpose is required. </w:t>
      </w:r>
      <w:r>
        <w:rPr>
          <w:rFonts w:ascii="Times New Roman;serif" w:hAnsi="Times New Roman;serif"/>
          <w:b w:val="false"/>
          <w:color w:val="000000"/>
          <w:sz w:val="20"/>
        </w:rPr>
        <w:t xml:space="preserve">The Notes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Notes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 relating to the offering and the distribution of this prospectus supplement and the accompanying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prospectus. This prospectus supplement and the accompanying prospectus do not constitute an offer to sell or a solicitation of an offer to buy the Notes offered by this prospectus supplement and the accompanying prospectus in any jurisdiction in which such an offer or a solicitation is unlawful.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Notice to Prospective Investors in Canada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Canadian investors are advised that this prospectus has been prepared in reliance on section 3A.3 of National Instrument 33-105 Underwriting Conflicts, or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Resale Restrictions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Representations of Purchasers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Prospectus Exemptions or, in Ontario, as such term is defined in section 73.3(1) of the Securities Act (Ontario); and (iii) a ‘‘permitted client’’ as such term is defined in section 1.1 of National Instrument 31-103 Registration Requirements, Exemptions and Ongoing Registrant Obligations.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Taxation and Eligibility for Investment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Any discussion of taxation and related matters contained in this prospectus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Rights of Action for Damages or Rescission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legislation in certain of the Canadian jurisdictions provides certain purchasers of securities pursuant to a prospectus (such as this prospectus),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prospectus, or other offering document that constitutes a prospectus,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Language of Documents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Upon receipt of this prospectus, each Canadian investor hereby confirms that it has expressly requested that all documents evidencing or relating in any way to the sale of the securities described herein (including for greater certainty any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confirmation or any notice) be drawn up in the English language only. </w:t>
      </w:r>
      <w:r>
        <w:rPr>
          <w:rFonts w:ascii="Times New Roman;serif" w:hAnsi="Times New Roman;serif"/>
          <w:b w:val="false"/>
          <w:i/>
          <w:color w:val="000000"/>
          <w:sz w:val="20"/>
        </w:rPr>
        <w:t>Par la réception de ce document, chaque investisseur canadien confirme par les présentes qu’il a expressément exigé que tous les</w:t>
      </w:r>
      <w:r>
        <w:rPr>
          <w:color w:val="000000"/>
        </w:rPr>
        <w:t xml:space="preserve"> </w:t>
      </w:r>
      <w:r>
        <w:rPr>
          <w:rFonts w:ascii="Times New Roman;serif" w:hAnsi="Times New Roman;serif"/>
          <w:b w:val="false"/>
          <w:i/>
          <w:color w:val="000000"/>
          <w:sz w:val="20"/>
        </w:rPr>
        <w:t>documents faisant foi ou se rapportant de quelque manière que ce soit à la vente des valeurs mobilières décrites aux</w:t>
      </w:r>
      <w:r>
        <w:rPr>
          <w:color w:val="000000"/>
        </w:rPr>
        <w:t xml:space="preserve"> </w:t>
      </w:r>
      <w:r>
        <w:rPr>
          <w:rFonts w:ascii="Times New Roman;serif" w:hAnsi="Times New Roman;serif"/>
          <w:b w:val="false"/>
          <w:i/>
          <w:color w:val="000000"/>
          <w:sz w:val="20"/>
        </w:rPr>
        <w:t>présentes (incluant, pour plus de certitude, toute confirmation d’achat ou tout avis) soient rédigés en anglaise</w:t>
      </w:r>
      <w:r>
        <w:rPr>
          <w:color w:val="000000"/>
        </w:rPr>
        <w:t xml:space="preserve"> </w:t>
      </w:r>
      <w:r>
        <w:rPr>
          <w:rFonts w:ascii="Times New Roman;serif" w:hAnsi="Times New Roman;serif"/>
          <w:b w:val="false"/>
          <w:i/>
          <w:color w:val="000000"/>
          <w:sz w:val="20"/>
        </w:rPr>
        <w:t>seulement.</w:t>
      </w:r>
    </w:p>
    <w:p>
      <w:pPr>
        <w:pStyle w:val="TextBody"/>
        <w:bidi w:val="0"/>
        <w:spacing w:before="0" w:after="0"/>
        <w:jc w:val="left"/>
        <w:rPr/>
      </w:pPr>
      <w:r>
        <w:rPr/>
      </w:r>
    </w:p>
    <w:p>
      <w:pPr>
        <w:pStyle w:val="TextBody"/>
        <w:bidi w:val="0"/>
        <w:spacing w:lineRule="auto" w:line="223" w:before="0" w:after="0"/>
        <w:jc w:val="both"/>
        <w:rPr>
          <w:rFonts w:ascii="Times New Roman;serif" w:hAnsi="Times New Roman;serif"/>
          <w:b w:val="false"/>
          <w:i/>
          <w:color w:val="000000"/>
          <w:sz w:val="20"/>
        </w:rPr>
      </w:pPr>
      <w:r>
        <w:rPr>
          <w:rFonts w:ascii="Times New Roman;serif" w:hAnsi="Times New Roman;serif"/>
          <w:b w:val="false"/>
          <w:i/>
          <w:color w:val="000000"/>
          <w:sz w:val="20"/>
        </w:rPr>
        <w:t>Notice to Prospective Investors in the European Economic Area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Notes may not be offered, sold or otherwise made available to any retail investor in the European Economic Area, or EEA. For these purposes:(a)a retail investor means a person who is one (or more) of the following:(i)a retail client as defined in point (11) of Article 4(1) of Article 4(1) of Directive 2014/65/EU (as amended or superseded, or MiFID II); or(ii)a customer within the meaning of Directive (EU) 2016/97 (as amended or superseded, the “Insurance Distribution Directive”), where that customer would not qualify as a professional client as defined in point (10) of Article 4(1) of MiFID II; or(iii)not a qualified investor as defined in Regulation (EU) 2017/1129 (as amended or superseded, the “Prospectus Regulation”), and(b)the expression “offer” includes the communication in any form and by any means of sufficient information on the terms of the offer and the Notes to be offered so as to enable an investor to decide to purchase or subscribe the Notes. Consequently, no key information document required by Regulation (EU) No 1286/2014 (as amended, or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Regulation from the requirement to publish a prospectus for offers of the Notes. This prospectus supplement is not a prospectus for the purposes of the Prospectus Regulation.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Notice to Prospective Investors in the United Kingdom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Notes are not intended to be offered, sold or otherwise made available to and should not be offered, sold or otherwise made available to any retail investor in the United Kingdom. For these purposes, a retail investor means a person who is one (or more) of: (a) a retail client as defined in point (8) of Article 2 of Commission Delegated Regulation (EU) 2017/565 as it forms part of domestic law by virtue of the European Union (Withdrawal) Act 2018 (“EUWA”); (b) a customer within the meaning of the provisions of the Financial Services and Markets Act 2000 (as amended, the “FSMA”) of the United Kingdom and any rules or regulations made under the FSMA to implement Directive (EU) 2016/97, where that customer would not qualify as a professional client, as defined in point (8) of Article 2(1) of Regulation (EU) No 600/2014 as it forms part of domestic law by virtue of the EUWA (“UK MiFIR”); or (c) not a qualified investor as defined in Article 2 of Regulation (EU) 2017/1129 as it forms part of domestic law by virtue of the EUWA (the “UK Prospectus Regulation”). For the purposes of this provision, the expression an “offer” means the communication in any form and by any means of sufficient information on the terms of the offer and the Notes to be offered so as to enable an investor to decide to purchase or subscribe for the Notes, as defined in Article 2(d) of the UK Prospectus Regulation.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United Kingdom may be unlawful under the UK PRIIPs Regulation. This prospectus supplement has been prepared on the basis that any offer of Notes in the United Kingdom will be made pursuant to an exemption under the UK Prospectus Regulation from the requirement to publish a prospectus for offers of notes. Neither this prospectus supplement nor the accompanying prospectus is a prospectus for the purposes of the UK Prospectus Regulation.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the accompanying prospectus and any other material in relation to the Notes are only being distributed to, and are directed only at, persons in the United Kingdom who are “qualified investors” (as defined in the UK Prospectus Regulation) who are also (i) investment professionals falling within Article 19(5) of the Financial Services and Markets Act 2000 (Financial Promotion) Order 2005 (as amended, the “Order”), or (ii) high net worth entities or other persons falling within Articles 49(2)(a) to (d) of the Order, or (iii) persons to whom it would otherwise be lawful to distribute the aforementioned materials, all such persons together being referred to as “Relevant Persons.” The Notes are only available to, and any invitation, offer or agreement to subscribe, purchase or otherwise acquire such Notes will be engaged in only with, Relevant Persons. This prospectus supplement and the accompanying prospectus and their contents are confidential and should not be distributed, published or reproduced (in whole or in part) or disclosed by any recipients to any other person in the United Kingdom. Any person in the United Kingdom that is not a Relevant Person should not act or rely on this prospectus supplement and the accompanying prospectus or their contents. The Notes are not being offered to the public in the United Kingdom.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each underwriter has represented and agreed that: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the Company; and</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it has complied and will comply with all applicable provisions of the FSMA with respect to anything done by it in relation to the Notes in, from or otherwise involving the United Kingdom.</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Notice to Prospective Investors in Switzerland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Neither this prospectus supplement nor any other offering or marketing material relating to the Notes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prospectus supplement nor any other offering or marketing material relating to the Notes may be publicly distributed or otherwise made publicly available in Switzerland.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legal matters regarding the Notes offered hereby will be passed upon for us by Eversheds Sutherland (US) LLP, Washington, D.C., and certain legal matters in connection with this offering will be passed upon for the underwriters by Dechert LLP, Washington, D.C.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AVAILABLE INFORMATION </w: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constitute part of a registration statement on Form N-2 that we have filed with the SEC, together with any and all amendments and related exhibits under the Securities Act. This prospectus supplement and the accompanying prospectus do not contain all of the information set forth in the registration statement, some of which is contained in exhibits to the registration statement as permitted by the rules and regulations of the SEC. For further information with respect to us and the Notes we are offering under this prospectus supplement and the accompanying prospectus, we refer you to the registration statement, including the exhibits filed as a part of the registration statement. Statements contained in this prospectus supplement and the accompanying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supplement and the accompanying prospectus relating to a contract or document filed as an exhibit is qualified in all respects by the filed exhibit.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file with or submit to the SEC annual, quarterly and current reports, proxy statements and other information meeting the informational requirements of the Exchange Act. This information is available free of charge by calling us at (214) 238-5700 or on our website at www.capitalsouthwest.com. Information contained on our website is not incorporated into this prospectus supplement or the accompanying prospectus and you should not consider such information to be part of this prospectus supplement or the accompanying prospectus. The SEC maintains an Internet site that contains reports, proxy and information statements and other information filed electronically by us with the SEC, which are available on the SEC’s website free of charge at www.sec.gov. You can request a copy of any of our SEC filings, including those incorporated by reference herein or in the accompanying prospectus, at no cost, by writing or telephoning us at the address or telephone number above.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incorporate by reference in this prospectus supplement the documents listed below and any reports and other documents we file with the SEC pursuant to Sections 13(a), 13(c), 14 or 15(d) of the Exchange Act prior to the termination of this offering (such reports and other documents deemed to be incorporated by reference into this prospectus supplement and to be part hereof from the date of filing of such reports and other documents); provided, however, that information “furnished” under Item 2.02 or Item 7.01 of Form 8-K, or other information “furnished” to the SEC pursuant to the Exchange Act will not be incorporated by reference into this prospectus supplement: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w:t>
      </w:r>
      <w:hyperlink r:id="rId4">
        <w:r>
          <w:rPr>
            <w:rStyle w:val="InternetLink"/>
            <w:rFonts w:ascii="Times New Roman;serif" w:hAnsi="Times New Roman;serif"/>
            <w:b w:val="false"/>
            <w:color w:val="0000FF"/>
            <w:sz w:val="20"/>
            <w:u w:val="single"/>
          </w:rPr>
          <w:t>Annual Report on Form 10-K</w:t>
        </w:r>
      </w:hyperlink>
      <w:r>
        <w:rPr>
          <w:color w:val="000000"/>
        </w:rPr>
        <w:t> </w:t>
      </w:r>
      <w:r>
        <w:rPr>
          <w:rFonts w:ascii="Times New Roman;serif" w:hAnsi="Times New Roman;serif"/>
          <w:b w:val="false"/>
          <w:color w:val="000000"/>
          <w:sz w:val="20"/>
        </w:rPr>
        <w:t>for the fiscal year ended March 31, 2026, filed with the SEC on May 19,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w:t>
      </w:r>
      <w:hyperlink r:id="rId5">
        <w:r>
          <w:rPr>
            <w:rStyle w:val="InternetLink"/>
            <w:rFonts w:ascii="Times New Roman;serif" w:hAnsi="Times New Roman;serif"/>
            <w:b w:val="false"/>
            <w:color w:val="0000FF"/>
            <w:sz w:val="20"/>
            <w:u w:val="single"/>
          </w:rPr>
          <w:t>Quarterly Report on Form 10-Q</w:t>
        </w:r>
      </w:hyperlink>
      <w:r>
        <w:rPr>
          <w:color w:val="000000"/>
        </w:rPr>
        <w:t> </w:t>
      </w:r>
      <w:r>
        <w:rPr>
          <w:rFonts w:ascii="Times New Roman;serif" w:hAnsi="Times New Roman;serif"/>
          <w:b w:val="false"/>
          <w:color w:val="000000"/>
          <w:sz w:val="20"/>
        </w:rPr>
        <w:t>for the quarter ended June 30, 2026, filed with the SEC on August 3,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Current Reports on Form 8-K (other than information furnished rather than filed in accordance with SEC rules) filed with the SEC on </w:t>
      </w:r>
      <w:hyperlink r:id="rId6">
        <w:r>
          <w:rPr>
            <w:rStyle w:val="InternetLink"/>
            <w:rFonts w:ascii="Times New Roman;serif" w:hAnsi="Times New Roman;serif"/>
            <w:b w:val="false"/>
            <w:color w:val="0000FF"/>
            <w:sz w:val="20"/>
            <w:u w:val="single"/>
          </w:rPr>
          <w:t>April 16, 2026</w:t>
        </w:r>
      </w:hyperlink>
      <w:r>
        <w:rPr>
          <w:rFonts w:ascii="Times New Roman;serif" w:hAnsi="Times New Roman;serif"/>
          <w:b w:val="false"/>
          <w:color w:val="000000"/>
          <w:sz w:val="20"/>
        </w:rPr>
        <w:t>, </w:t>
      </w:r>
      <w:hyperlink r:id="rId7">
        <w:r>
          <w:rPr>
            <w:rStyle w:val="InternetLink"/>
            <w:rFonts w:ascii="Times New Roman;serif" w:hAnsi="Times New Roman;serif"/>
            <w:b w:val="false"/>
            <w:color w:val="0000FF"/>
            <w:sz w:val="20"/>
            <w:u w:val="single"/>
          </w:rPr>
          <w:t>May 19, 2026</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FF"/>
            <w:sz w:val="20"/>
            <w:u w:val="single"/>
          </w:rPr>
          <w:t>July 16, 2026</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000FF"/>
            <w:sz w:val="20"/>
            <w:u w:val="single"/>
          </w:rPr>
          <w:t>July 22, 2026</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August 7, 2026</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000FF"/>
            <w:sz w:val="20"/>
            <w:u w:val="single"/>
          </w:rPr>
          <w:t>September 1, 2026</w:t>
        </w:r>
      </w:hyperlink>
      <w:r>
        <w:rPr>
          <w:rFonts w:ascii="Times New Roman;serif" w:hAnsi="Times New Roman;serif"/>
          <w:b w:val="false"/>
          <w:color w:val="000000"/>
          <w:sz w:val="20"/>
        </w:rPr>
        <w:t xml:space="preserve">, and </w:t>
      </w:r>
      <w:hyperlink r:id="rId12">
        <w:r>
          <w:rPr>
            <w:rStyle w:val="InternetLink"/>
            <w:rFonts w:ascii="Times New Roman;serif" w:hAnsi="Times New Roman;serif"/>
            <w:b w:val="false"/>
            <w:color w:val="0000FF"/>
            <w:sz w:val="20"/>
            <w:u w:val="single"/>
          </w:rPr>
          <w:t>September 2, 2026</w:t>
        </w:r>
      </w:hyperlink>
      <w:r>
        <w:rPr>
          <w:rFonts w:ascii="Times New Roman;serif" w:hAnsi="Times New Roman;serif"/>
          <w:b w:val="false"/>
          <w:color w:val="000000"/>
          <w:sz w:val="20"/>
        </w:rPr>
        <w:t xml:space="preserve">;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w:t>
      </w:r>
      <w:hyperlink r:id="rId13">
        <w:r>
          <w:rPr>
            <w:rStyle w:val="InternetLink"/>
            <w:rFonts w:ascii="Times New Roman;serif" w:hAnsi="Times New Roman;serif"/>
            <w:b w:val="false"/>
            <w:color w:val="0000FF"/>
            <w:sz w:val="20"/>
            <w:u w:val="single"/>
          </w:rPr>
          <w:t>Definitive Proxy Statement on Schedule 14A</w:t>
        </w:r>
      </w:hyperlink>
      <w:r>
        <w:rPr>
          <w:rFonts w:ascii="Times New Roman;serif" w:hAnsi="Times New Roman;serif"/>
          <w:b w:val="false"/>
          <w:color w:val="000000"/>
          <w:sz w:val="20"/>
        </w:rPr>
        <w:t xml:space="preserve">, filed with the SEC on May 27, 2026 (but only with respect to information required by Part III of the Company’s Annual Report on Form 10-K for the fiscal year ended March 31, 2026).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and the accompanying prospectus or incorporated by reference into this prospectus supplement and the accompanying prospectus.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obtain copies of these filings, see “Available Information” in this prospectus supplement.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center"/>
        <w:rPr/>
      </w:pPr>
      <w:r>
        <w:rPr/>
      </w:r>
    </w:p>
    <w:p>
      <w:pPr>
        <w:pStyle w:val="TextBody"/>
        <w:bidi w:val="0"/>
        <w:spacing w:before="0" w:after="0"/>
        <w:jc w:val="center"/>
        <w:rPr/>
      </w:pPr>
      <w:r>
        <w:rPr/>
        <w:drawing>
          <wp:inline distT="0" distB="0" distL="0" distR="0">
            <wp:extent cx="1800225" cy="733425"/>
            <wp:effectExtent l="0" t="0" r="0" b="0"/>
            <wp:docPr id="5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 descr=""/>
                    <pic:cNvPicPr>
                      <a:picLocks noChangeAspect="1" noChangeArrowheads="1"/>
                    </pic:cNvPicPr>
                  </pic:nvPicPr>
                  <pic:blipFill>
                    <a:blip r:embed="rId14"/>
                    <a:stretch>
                      <a:fillRect/>
                    </a:stretch>
                  </pic:blipFill>
                  <pic:spPr bwMode="auto">
                    <a:xfrm>
                      <a:off x="0" y="0"/>
                      <a:ext cx="1800225" cy="733425"/>
                    </a:xfrm>
                    <a:prstGeom prst="rect">
                      <a:avLst/>
                    </a:prstGeom>
                  </pic:spPr>
                </pic:pic>
              </a:graphicData>
            </a:graphic>
          </wp:inline>
        </w:drawing>
      </w:r>
      <w:bookmarkStart w:id="1" w:name="i-2"/>
      <w:bookmarkEnd w:id="1"/>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Debt Securities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may offer, from time to time, in one or more offerings, our common stock or debt securities, which we refer to, collectively, as the “securities.” Our securities may be offered at prices and on terms to be disclosed in one or more supplements to this prospectus. The offering price per share of our common stock, less any underwriting commissions or discounts, will not be less than the net asset value (“NAV”), per share of our common stock at the time of the offering, except (1) with the approval of our common shareholders or (2) under such other circumstances as the Securities and Exchange Commission (the “SEC”) may permit. We did not seek shareholder approval to issue common stock at a price below NAV per share at our 2024 annual meeting of shareholders. Sales of common stock at prices below NAV per share would dilute the interests of existing shareholders, reducing our NAV per share and may lower the market price of our common stock. Moreover, sales of common stock below NAV may have a negative impact on total returns and could have a negative impact on the market price of shares of our common stock. See “Sales of Common Stock Below Net Asset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Shares of closed-end investment companies frequently trade at a discount to NAV. This risk is separate and distinct from the risk that our NAV per share may decline. We cannot predict whether our common stock will trade above, at or below NAV. You should read this prospectus, the applicable prospectus supplement, and any free writing prospectuses carefully before you invest in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securities may be offered directly to one or more purchasers through agents designated from time to time, or to or through underwriters or dealers. The prospectus supplement relating to the offering will identify any agents or underwriters involved in the sale of our securities, and will disclose any applicable purchase price, fee, commission or discount arrangement between us and our agents or underwriters or among our underwriters or the basis upon which such amount may be calculated. See “Plan of Distribution.”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an internally managed closed-end, non-diversified investment company that has elected to be regulated as a business development company under the Investment Company of 1940 Act, as amended. We specialize in providing customized debt and equity financing to lower middle market (“LMM”) companies in a broad range of investment segments located primarily in the United States. Our investment objective is to produce attractive risk-adjusted returns by generating current income from our debt investments and capital appreciation from our equity and equity related investments. Our investment strategy is to partner with business owners, management teams and financial sponsors to provide flexible financing solutions to fund growth, changes of control, or other corporate events. We invest primarily in senior debt securities, secured by security interests in portfolio company assets. We also may invest in equity interests in our portfolio companies alongside our debt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focus on investing in companies with histories of generating revenues and positive cash flow, established market positions and proven management teams with strong operating discipline. Our core business is to target senior debt investments and equity investments in LMM companies. Our target companies generally have annual earnings before interest, taxes, depreciation and amortization between $3.0 million and $25.0 million, and our investments generally range in size from $5.0 million to $50.0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common stock is listed on The Nasdaq Global Select Market (“Nasdaq”) under the symbol “CSWC.” On October 22, 2024, the last reported sale price of our common stock on the Nasdaq was $25.84 per share, and the NAV per share of our common stock on June 30, 2024 (the last date prior to the date of this prospectus on which we determined our NAV per share) was $16.60.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Investing in our securities involves a high degree of risk, and should be considered highly speculative. You should review carefully the risks and uncertainties, including the risk of leverage and dilution, described in the section titled “Risk Factors” included in, or otherwise incorporated by reference into, the applicable prospectus supplement and in any free writing prospectuses we have authorized for use in connection with a specific offering, and under similar headings in the other documents that are incorporated by reference into this prospectus before investing in our securities.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This prospectus describes some of the general terms that may apply to an offering of our securities. We will provide the specific terms of these offerings and securities in one or more supplements to this prospectus. We also may authorize one or more free writing prospectuses to be provided to you in connection with these offerings. The accompanying prospectus supplement and any related free writing prospectus also may add, update, or change information contained in this prospectus. You should carefully read this prospectus, the accompanying prospectus supplement, and any related free writing prospectus, and the documents incorporated by reference herein, before investing in our securities and keep them for future reference. We file annual, quarterly and current reports, proxy statements and other information with the SEC. This information is available free of charge by contacting us at 8333 Douglas Avenue, Suite 1100, Dallas, Texas 75225 or by telephone at (214) 238-5700 or on our website at </w:t>
      </w:r>
      <w:r>
        <w:rPr>
          <w:rFonts w:ascii="Times New Roman;serif" w:hAnsi="Times New Roman;serif"/>
          <w:b w:val="false"/>
          <w:i/>
          <w:color w:val="000000"/>
          <w:sz w:val="18"/>
        </w:rPr>
        <w:t>www.capitalsouthwest.com</w:t>
      </w:r>
      <w:r>
        <w:rPr>
          <w:rFonts w:ascii="Times New Roman;serif" w:hAnsi="Times New Roman;serif"/>
          <w:b w:val="false"/>
          <w:color w:val="000000"/>
          <w:sz w:val="18"/>
        </w:rPr>
        <w:t xml:space="preserve">. Information contained on our website is not incorporated by reference into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prospectus or any supplement to this prospectus, and you should not consider that information to be part of this prospectus or any supplement to this prospectus. The SEC also maintains a website at</w:t>
      </w:r>
      <w:r>
        <w:rPr>
          <w:color w:val="000000"/>
        </w:rPr>
        <w:t xml:space="preserve"> </w:t>
      </w:r>
      <w:r>
        <w:rPr>
          <w:rFonts w:ascii="Times New Roman;serif" w:hAnsi="Times New Roman;serif"/>
          <w:b w:val="false"/>
          <w:i/>
          <w:color w:val="000000"/>
          <w:sz w:val="18"/>
        </w:rPr>
        <w:t>www.sec.gov</w:t>
      </w:r>
      <w:r>
        <w:rPr>
          <w:color w:val="000000"/>
        </w:rPr>
        <w:t xml:space="preserve"> </w:t>
      </w:r>
      <w:r>
        <w:rPr>
          <w:rFonts w:ascii="Times New Roman;serif" w:hAnsi="Times New Roman;serif"/>
          <w:b w:val="false"/>
          <w:color w:val="000000"/>
          <w:sz w:val="18"/>
        </w:rPr>
        <w:t xml:space="preserve">that contains such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Neither the SEC nor any state securities commission, nor any other regulatory body, has approved or disapproved of these securities or determined if this prospectus is truthful or complete. Any representation to the contrary is a criminal offense.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The date of this prospectus is October 29, 2024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an automatic shelf registration statement that we have filed with the Securities and Exchange Commission (the “SEC”) as a “well-known seasoned issuer” as defined in Rule 405 under the Securities Act of 1933, as amended (the “Securities Act”). Under this shelf registration statement, we may offer, from time to time, in one or more offerings, our securities on terms to be determined at the time of the offering. This prospectus provides you with a general description of the securities that we may offer. Each time we use this prospectus to offer securities, we will provide a prospectus supplement that will contain specific information about the terms of that offering. We also may authorize one or more free writing prospectuses to be provided to you that may contain material information relating to these offerings. In a prospectus supplement or free writing prospectus, we also may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you should carefully read both this prospectus and the applicable prospectus supplement and any related free writing prospectus, together with the additional information described in the section titled “Available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may contain estimates and information concerning our industry, including market size and growth rates of the markets in which we participate, that are based on industry publications and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that could cause results to differ materially from those expressed in these publications and reports.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“Available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You should rely only on the information included or incorporated by reference in this prospectus, any prospectus supplement or in any free writing prospectus prepared by or on behalf of us or to which we have referred you. We have not authorized any dealer, salesperson or other person to provide you with different information or to make representations as to matters not stated in this prospectus or in any free writing prospectus prepared by or on behalf of us or to which we have referred you. We take no responsibility for, and can provide no assurance as to the reliability of, any other information that others may give you. If anyone provides you with different or inconsistent information, you should not rely on it. This prospectus, any applicable prospectus supplement and any free writing prospectus prepared by or on behalf of us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or any prospectus supplement or in any such free writing prospectus is accurate as of any date other than their respective dates.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PROSPECTUS SUMMARY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summary highlights some of the information included elsewhere in this prospectus or incorporated by reference. It is not complete and may not contain all of the information that you should consider before making your investment decision. You carefully should read the entire prospectus, the applicable prospectus supplement, and any related free writing prospectus, including the risks of investing in our securities discussed in the section titled “Risk Factors” in the applicable prospectus supplement and any related free writing prospectus, and under similar headings in the other documents that are incorporated by reference into this prospectus. Before making your investment decision, you should also carefully read the information incorporated by reference into this prospectus, including our financial statements and related notes, as provided in sections titled “Available Information” and “Incorporation by Reference” in this prospectus, and the exhibits to the registration statement of which this prospectus is a part. Any yield information contained or incorporated by reference in this prospectus related to debt investments in our investment portfolio is not intended to approximate a return on your investment in us and does not take into account other aspects of our business, including our operating and other expenses, or other costs incurred by you in connection with your investment in us. In this prospectus, unless the context otherwise requires, the “Company”, “Capital Southwest,” “CSWC,” “we,” “us” and “our” refer to Capital Southwest Corporation and our subsidiaries.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Capital Southwest is an internally managed closed-end, non-diversified investment company that has elected to be regulated as a business development company (“BDC”) under the Investment Company Act of 1940, as amended (the “1940 Act”). Since September 30, 2015, we have pursued a credit-focused investing strategy. We specialize in providing customized financing to middle market companies in a broad range of industry segments located primarily in the United States. We invest primarily in debt securities, including senior debt and second lien, and also invest in preferred stock and common stock alongside our debt investments or through warrants. Our common stock trades on The Nasdaq Global Select Market under the ticker symbol “CSWC.”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elected, and intend to qualify annually, to be treated for U.S. federal income tax purposes as a regulated investment company, or RIC, under Subchapter M of the U.S. Internal Revenue Code of 1986, as amended (the “Code”). As such, we generally will not be subject to U.S. federal income tax on any ordinary income or capital gains that we timely distribute to our shareholders as dividends. To continue to maintain our RIC tax treatment, we generally must meet specified source-of-income and asset diversification requirements and distribute annually at least 90% of our ordinary income and realized net short-term capital gains in excess of realized net long-term capital losses, if any. We will be subject to U.S. federal income tax, and possibly a 4% U.S. federal excise tax, on any income that we do not timely distribute to our shareholders. Our U.S. federal income tax liability may be reduced to the extent that we make certain distributions during the following calendar year and satisfy other procedural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Capital Southwest Equity Investments, Inc. (the “Taxable Subsidiary”), Capital Southwest SPV LLC (“SPV”), and Capital Southwest SBIC I, LP (“SBIC I”) are wholly owned subsidiaries of the Company and are consolidated in its financial statements. The Taxable Subsidiary was formed to permit CSWC to hold certain interests in portfolio companies that are organized as limited liability companies (or other forms of pass-through entities) and to facilitate our compliance with the RIC tax requirement that at least 90% of our gross income for U.S. federal income tax purposes must consist of qualifying investment income. The Taxable Subsidiary has elected to be treated as a corporation for U.S. federal income tax purposes and is subject to U.S. federal income tax at corporate rates based on its taxable income. SPV is a special purpose vehicle that was formed to hold investments for the special purpose vehicle financing credit facility to support our investment and operating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April 20, 2021, SBIC I received a license from the U.S. Small Business Administration (the “SBA”) to operate as an small business investment company under Section 301(c) of the Small Business Investment Act of 1958, as amended. SBIC I has an investment strategy substantially similar to ours and makes similar types of investments in accordance with SBA regulations. SBIC I and its general partner are consolidated for financial reporting purposes under generally accepted accounting principles in the United States, and the portfolio investments held by it are included in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11, 2021, we received an exemptive order from the SEC to permit us to exclude the senior securities issued by SBIC I or any future SBIC subsidiary of the Company from the definition of “senior securities” in the asset coverage requirement applicable to the Company under the 1940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We specialize in providing customized debt and equity financing to lower middle market (</w:t>
      </w:r>
      <w:r>
        <w:rPr>
          <w:color w:val="000000"/>
          <w:shd w:fill="FFFFFF" w:val="clear"/>
        </w:rPr>
        <w:t>“</w:t>
      </w:r>
      <w:r>
        <w:rPr>
          <w:rFonts w:ascii="Times New Roman;serif" w:hAnsi="Times New Roman;serif"/>
          <w:b w:val="false"/>
          <w:color w:val="000000"/>
          <w:sz w:val="20"/>
        </w:rPr>
        <w:t>LMM</w:t>
      </w:r>
      <w:r>
        <w:rPr>
          <w:color w:val="000000"/>
          <w:shd w:fill="FFFFFF" w:val="clear"/>
        </w:rPr>
        <w:t>”</w:t>
      </w:r>
      <w:r>
        <w:rPr>
          <w:rFonts w:ascii="Times New Roman;serif" w:hAnsi="Times New Roman;serif"/>
          <w:b w:val="false"/>
          <w:color w:val="000000"/>
          <w:sz w:val="20"/>
        </w:rPr>
        <w:t>) companies in a broad range of investment segments located primarily in the United States. Our investment objective is to produce attractive risk-adjusted returns by generating current income from our debt investments and capital appreciation from our equity and equity related investments. Our investment strategy is to partner with business owners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management teams and financial sponsors to provide flexible financing solutions to fund growth, changes of control, or other corporate events. We invest primarily in senior debt securities, secured by security interests in portfolio company assets. We also may invest in equity interests in our portfolio companies alongside our debt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focus on investing in companies with histories of generating revenues and positive cash flow, established market positions and proven management teams with strong operating discipline. Our core business is to target senior debt investments and equity investments in LMM companies. Our target companies generally have annual earnings before interest, taxes, depreciation and amortization between $3.0 million and $25.0 million, and our investments generally range in size from $5.0 million to $50.0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fill the financing gap for LMM companies, which historically have had more limited access to financing from commercial banks and other traditional sources. The underserved nature of the LMM creates the opportunity for us to meet the financing needs of LMM companies while also negotiating favorable transaction terms and equity participation. Our ability to invest across a LMM company’s capital structure, from secured loans to equity securities, allows us to offer portfolio companies a comprehensive suite of financing options. Providing customized financing solutions is important to LMM companies. We generally seek to partner directly with financial sponsors, entrepreneurs, management teams and business owners in making our investments. Our LMM debt investments typically include senior loans with a first lien on the assets of the portfolio company. Our LMM debt investments typically have a term of up to five years from the original investment date. We also often seek to invest in the equity securities of our LMM portfolio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offer managerial assistance to our portfolio companies and provide them access to our investment experience, direct industry expertise and contacts. Our obligation to offer to make available significant managerial assistance to our portfolio companies is consistent with our belief that providing managerial assistance to a portfolio company is important to its business development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are internally managed, we do not pay any external investment advisory fees, but instead directly incur the operating costs associated with employing investment and portfolio management professionals. We believe that our internally managed structure provides us with a beneficial operating expense structure when compared to other publicly traded and privately held investment firms that are externally managed, and our internally managed structure allows us the opportunity to leverage our non-interest operating expenses as we grow our investment portfolio.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principal executive offices are located at 8333 Douglas Avenue, Suite 1100, Dallas, Texas 75225. We maintain a website at </w:t>
      </w:r>
      <w:r>
        <w:rPr>
          <w:rFonts w:ascii="Times New Roman;serif" w:hAnsi="Times New Roman;serif"/>
          <w:b w:val="false"/>
          <w:i/>
          <w:color w:val="000000"/>
          <w:sz w:val="20"/>
        </w:rPr>
        <w:t>www.capitalsouthwest.com.</w:t>
      </w:r>
      <w:r>
        <w:rPr>
          <w:color w:val="000000"/>
        </w:rPr>
        <w:t xml:space="preserve"> </w:t>
      </w:r>
      <w:r>
        <w:rPr>
          <w:rFonts w:ascii="Times New Roman;serif" w:hAnsi="Times New Roman;serif"/>
          <w:b w:val="false"/>
          <w:color w:val="000000"/>
          <w:sz w:val="20"/>
        </w:rPr>
        <w:t xml:space="preserve">Information contained on our website is not incorporated by reference into this registration statement or any accompanying post-effective amendment or prospectus, and you should not consider that information to be part of this registration statement or any accompanying post-effective amendment or prospectus.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be involved in litigation arising out of our operations in the normal course of business or otherwise. Furthermore, third parties may try to seek to impose liability on us in connection with the activities of our portfolio companies. As of the date hereof, we are not a party to, and none of our assets are subject to, any material pending legal proceedings and are not aware of any claims that could have a materially adverse effect on our financial position, results of operations or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Relating to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 titled “Risk Factors” included in our most recent Annual Report on Form 10-K, as well as in any of our subsequent SEC filings.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OFFERING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from time to time, in one or more offerings, our securities, on terms to be determined at the time of the offering. Our securities may be offered at prices and on terms to be disclosed in one or more prospectus supplements. Our securities may be offered directly to one or more purchasers by us or through agents designated from time to time by us, or to or through underwriters or dealers. The prospectus supplement relating to the offering and any related free writing prospectus will disclose the terms of the offering, including the name or names of any agents or underwriters involved in the sale of our securities by us, the purchase price, and any fee, commission or discount arrangement between us and our agents or underwriters or among our underwriters or the basis upon which such amount may be calculated. See “Plan of Distribution.”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Set forth below is additional information regarding the offering of our securities: </w:t>
      </w:r>
    </w:p>
    <w:tbl>
      <w:tblPr>
        <w:tblW w:w="10205" w:type="dxa"/>
        <w:jc w:val="left"/>
        <w:tblInd w:w="0" w:type="dxa"/>
        <w:tblLayout w:type="fixed"/>
        <w:tblCellMar>
          <w:top w:w="28" w:type="dxa"/>
          <w:left w:w="28" w:type="dxa"/>
          <w:bottom w:w="28" w:type="dxa"/>
          <w:right w:w="28" w:type="dxa"/>
        </w:tblCellMar>
      </w:tblPr>
      <w:tblGrid>
        <w:gridCol w:w="814"/>
        <w:gridCol w:w="474"/>
        <w:gridCol w:w="478"/>
        <w:gridCol w:w="2653"/>
        <w:gridCol w:w="2392"/>
        <w:gridCol w:w="3394"/>
      </w:tblGrid>
      <w:tr>
        <w:trPr/>
        <w:tc>
          <w:tcPr>
            <w:tcW w:w="81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Use of proceeds</w:t>
            </w:r>
          </w:p>
        </w:tc>
        <w:tc>
          <w:tcPr>
            <w:tcW w:w="84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a prospectus supplement, we intend to use the net proceeds from any offering to make investments in accordance with our investment objective and strategies, repay outstanding indebtedness (which will be subject to re-borrowing), make investments in marketable securities and other temporary investments and for other general corporate purposes, including payment of operating expenses. See “Use of Proceeds.” </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Nasdaq Global Select Market ticker symbol of common stock</w:t>
            </w:r>
          </w:p>
        </w:tc>
        <w:tc>
          <w:tcPr>
            <w:tcW w:w="84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r>
              <w:rPr>
                <w:rFonts w:ascii="Times New Roman;serif" w:hAnsi="Times New Roman;serif"/>
                <w:b w:val="false"/>
                <w:color w:val="000000"/>
                <w:sz w:val="20"/>
              </w:rPr>
              <w:t>CSWC”</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Dividends and distributions</w:t>
            </w:r>
          </w:p>
        </w:tc>
        <w:tc>
          <w:tcPr>
            <w:tcW w:w="84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generally intend to make distributions on a quarterly basis to our shareholders of substantially all of our taxable income. In lieu of cash, we may make deemed distributions of certain net capital gains to our shareholders. Our quarterly distributions, if any, will be determined by our board of directors (the “Board”) on a quarterly basis. Our supplemental distributions, if any, will be determined by the Board.</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ability to declare distributions depends on our earnings, our overall financial condition (including our liquidity position), maintenance of our RIC tax treatment and such other factors as the Board may deem relevant from time to time.</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When we make distributions, we are required to determine the extent to which such distributions are paid out of current or accumulated earnings, recognized capital gains or capital. To the extent there is a return of capital (a distribution of the shareholder’s invested capital), investors will be required to reduce their adjusted tax basis in our common stock for U.S. federal tax purposes. In the future, our distributions may include a return of capital.</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Taxation</w:t>
            </w:r>
          </w:p>
        </w:tc>
        <w:tc>
          <w:tcPr>
            <w:tcW w:w="8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have elected, and intend to qualify annually, to be treated as a RIC under Subchapter M of the Code for U.S. federal income tax purposes. As a RIC, we generally will not be subject to U.S. federal income tax on any ordinary income or capital gains that we distribute to our shareholders as dividends. To continue to maintain our RIC tax treatment, we must meet specified source-of-income and asset diversification requirements and distribute annually at least 90% of our ordinary income and realized net short-term capital gains in excess of realized net long-term capital losses, if any. See “Plan of Distribution” and “Certain U.S. Federal Income Tax Considerations.”</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7"/>
        <w:gridCol w:w="462"/>
        <w:gridCol w:w="464"/>
        <w:gridCol w:w="2577"/>
        <w:gridCol w:w="2512"/>
        <w:gridCol w:w="3573"/>
      </w:tblGrid>
      <w:tr>
        <w:trPr/>
        <w:tc>
          <w:tcPr>
            <w:tcW w:w="61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Dividend reinvestment plan</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have adopted a dividend reinvestment plan, or DRIP, that provides for the reinvestment of dividends on behalf of our registered shareholders who hold their shares with Equiniti Trust Company, LLC, the plan administrator and our transfer agent and registrar. As a result, if we declare a cash dividend, our registered shareholders who have “opted in” to our DRIP by the dividend record date will have their cash dividend automatically reinvested into additional shares of our common stock.</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Shareholders who receive dividends in the form of stock will be subject to the same U.S. federal, state and local tax consequences as shareholders who elect to receive their dividends in cash. See “Dividend Reinvestment Plan.”</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Trading at a discount</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Shares of closed-end investment companies frequently trade at a discount to their net asset value (“NAV”). This risk is separate and distinct from the risk that our NAV per share may decline. We cannot predict whether our shares will trade above, at or below NAV.</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Sales of common stock below NAV</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offering price per share of our common stock, less any underwriting commissions or discounts, will not be less than the NAV per share of our common stock at the time of the offering, except (i) with the requisite approval of our common shareholders or (ii) under such other circumstances as the SEC may permit. In addition, we cannot issue shares of our common stock below NAV unless the Board determines that it would be in our and our shareholders’ best interests to do so. We did not seek shareholder authorization to issue common stock at a price below NAV per share at our 2024 annual meeting of shareholder.</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Sales by us of our common stock at a discount from our NAV pose potential risks for our existing shareholders whether or not they participate in the offering, as well as for new investors who participate in the offering. See “Sales of Common Stock Below Net Asset Value.”</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Incorporation by Reference</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that we have filed with the SEC. We may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information. Any reports filed by us with the SEC subsequent to the date of this prospectus until the offering is otherwise terminated will automatically update and, where applicable, supersede any information contained in this prospectus or incorporated by reference in this prospectus. See “Incorporation by Reference.”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4"/>
        <w:gridCol w:w="390"/>
        <w:gridCol w:w="391"/>
        <w:gridCol w:w="2628"/>
        <w:gridCol w:w="2628"/>
        <w:gridCol w:w="3724"/>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Available Information</w:t>
            </w:r>
          </w:p>
        </w:tc>
        <w:tc>
          <w:tcPr>
            <w:tcW w:w="89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under the Securities Exchange Act of 1934 (the “Exchange Act”). The SEC maintains an Internet site that contains reports, proxy and information statements and other information regarding registrants filed electronically by us with the SEC, which are available free of charge on the SEC’s website at www.sec.gov. This information is also available free of charge by contacting us at 8333 Douglas Avenue, Suite 1100, Dallas, Texas 75225, by telephone at 214-238-5700 or on our website at www.capitalsouthwest.com. Information contained on our website is not incorporated by reference into this prospectus or any prospectus supplement, and you should not consider that information to be part of this prospectus or any prospectus supplement. You can request a copy of any of our SEC filings, including those incorporated by reference herein, at no cost, by writing or telephoning us at our address or telephone number above.</w:t>
            </w:r>
          </w:p>
        </w:tc>
      </w:tr>
    </w:tbl>
    <w:p>
      <w:pPr>
        <w:pStyle w:val="TextBody"/>
        <w:bidi w:val="0"/>
        <w:spacing w:lineRule="auto" w:line="333"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FEES AND EXPENSES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is intended to assist you in understanding the costs and expenses that an investor in an offering will bear directly or indirectly. We caution you that some of the percentages indicated in the table below are estimates and may vary. Except where the context suggests otherwise, whenever this prospectus contains a reference to fees or expenses paid by “you,” “us” or “CSWC,” or that “we” will pay fees or expenses, shareholders will indirectly bear such fees or expenses as investors in us. </w:t>
      </w:r>
    </w:p>
    <w:tbl>
      <w:tblPr>
        <w:tblW w:w="10205" w:type="dxa"/>
        <w:jc w:val="left"/>
        <w:tblInd w:w="0" w:type="dxa"/>
        <w:tblLayout w:type="fixed"/>
        <w:tblCellMar>
          <w:top w:w="28" w:type="dxa"/>
          <w:left w:w="28" w:type="dxa"/>
          <w:bottom w:w="28" w:type="dxa"/>
          <w:right w:w="28" w:type="dxa"/>
        </w:tblCellMar>
      </w:tblPr>
      <w:tblGrid>
        <w:gridCol w:w="3122"/>
        <w:gridCol w:w="2739"/>
        <w:gridCol w:w="2754"/>
        <w:gridCol w:w="109"/>
        <w:gridCol w:w="109"/>
        <w:gridCol w:w="109"/>
        <w:gridCol w:w="307"/>
        <w:gridCol w:w="309"/>
        <w:gridCol w:w="271"/>
        <w:gridCol w:w="109"/>
        <w:gridCol w:w="109"/>
        <w:gridCol w:w="158"/>
      </w:tblGrid>
      <w:tr>
        <w:trPr/>
        <w:tc>
          <w:tcPr>
            <w:tcW w:w="3122"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Shareholder Transaction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load (as a percentage of offering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8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expenses (as a percentage of 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8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reinvestment plan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8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 transaction expenses (as a percentage of 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Annual Expenses (as a percentage of net assets attributable to common stock for the quarter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8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 on borrowed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8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8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annual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 the event that our securities are sold to or through underwriters, a corresponding prospectus supplement will disclose the applicable sales load.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 the event that we conduct an offering of our securities, a corresponding prospectus supplement will disclose the estimated offering expenses.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expenses of administering our DRIP are included in operating expenses. The DRIP does not allow shareholders to sell shares through the DRIP. If a shareholder wishes to sell shares they would be required to select a broker of their choice and pay any fees or other costs associated with the sale.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(4)Total stockholder transaction expenses may include sales load and will be disclosed in a future prospectus supplement, if any.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(5)Operating expenses in this table represent the estimated annual operating expenses of CSWC and its consolidated subsidiaries based on annualized operating expenses for the quarter ended June 30, 2024. We do not have an investment adviser and are internally managed by our executive officers under the supervision of the Board. As a result, we do not pay investment advisory fees, but instead we pay the operating costs associated with employing investment management professionals including, without limitation, compensation expenses related to salaries, discretionary bonuses and restricted stock grants.</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(6)Interest payments on borrowed funds represents (a) our estimated annual interest payments based on actual interest rate terms under our credit facilities, with available commitments of $485 million under the Company’s senior secured revolving credit facility (the “Corporate Credit Facility”) and available commitments of $200 million under the Company’s special purpose vehicle financing credit facility (the “SPV Credit Facility”), and our anticipated drawdowns from our credit facilities, (b) our actual interest rate terms under the SBA Debentures and our anticipated drawdowns of the SBA Debentures, and (c) our estimated annual interest payments, based on actual interest rate terms, on the 4.50% Notes due 2026 (the “January 2026 Notes”), the 3.375% Notes due 2026 (the “October 2026 Notes”) and the 7.75% Notes due 2028 (the “August 2028 Notes”). As of June 30, 2024, we had $165.0 million outstanding under the Corporate Credit Facility, $64.0 million outstanding under the SPV Credit Facility, $153.0 million outstanding under the SBA Debentures, $140.0 million in aggregate principal of the January 2026 Notes outstanding, $150.0 million in aggregate principal of the October 2026 Notes outstanding and $71.9 million in aggregate principal of the August 2028 Notes outstanding. Any future issuances of debt securities will be made at the discretion of management and the Board of directors after evaluating the investment opportunities and economic situation of the Company and the market as a whole.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(7)Income tax provision/(benefit) relates to the accrual of (a) deferred and current tax provision/(benefit) for U.S. federal income taxes and (b) excise, state and other taxes. Deferred taxes are non-cash in nature and may vary significantly from period to period. We are required to include deferred taxes in calculating our annual expenses even though deferred taxes are not currently payable or receivable. Income tax provision/(benefit) represents the estimated annual income tax provision/(benefit) of CSWC and its consolidated subsidiaries based on annualized income tax provision/(benefit) for the quarter ended June 30,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Example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example demonstrates the projected dollar amount of total cumulative expenses that would be incurred over various periods with respect to a hypothetical investment in our common stock. In calculating the following expense amounts, we have assumed we would have no additional leverage and that our annual operating expenses would remain at the levels set forth in the table above. In the event that shares to which this prospectus relates are sold to or through underwriters, a corresponding prospectus supplement will restate this example to reflect the applicable sales load.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49"/>
        <w:gridCol w:w="1799"/>
        <w:gridCol w:w="1810"/>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22"/>
        <w:gridCol w:w="493"/>
        <w:gridCol w:w="166"/>
      </w:tblGrid>
      <w:tr>
        <w:trPr/>
        <w:tc>
          <w:tcPr>
            <w:tcW w:w="204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 Years</w:t>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You would pay the following expenses on a $1,000 investment, assuming 5.0% annual return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0"/>
        <w:jc w:val="both"/>
        <w:rPr/>
      </w:pPr>
      <w:r>
        <w:rPr>
          <w:rFonts w:ascii="Times New Roman;serif" w:hAnsi="Times New Roman;serif"/>
          <w:b/>
          <w:color w:val="000000"/>
          <w:sz w:val="20"/>
        </w:rPr>
        <w:t xml:space="preserve">The example and the expenses in the table above should not be considered a representation of our future expenses, and actual expenses may be greater or less than those shown. </w:t>
      </w:r>
      <w:r>
        <w:rPr>
          <w:rFonts w:ascii="Times New Roman;serif" w:hAnsi="Times New Roman;serif"/>
          <w:b w:val="false"/>
          <w:color w:val="000000"/>
          <w:sz w:val="20"/>
        </w:rPr>
        <w:t xml:space="preserve">While the example assumes, as required by the SEC, a 5.0% annual return, our performance will vary and may result in a return greater or less than 5.0%. In addition, while the example assumes reinvestment of all dividends at NAV, participants in our DRIP will receive a number of shares of our common stock, determined by dividing the total dollar amount of the dividend payable to a participant by the average purchase price of all shares of common stock purchased by the administrator of the DRIP in the event that shares are purchased in the open market to satisfy the share requirements of the DRIP, which may be at, above or below NAV. See “Dividend Reinvestment Plan” for additional information regarding our DRIP.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FINANCIAL HIGHLIGHTS </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information in Notes 12 and 14 to our audited consolidated financial statements appearing in </w:t>
      </w:r>
      <w:r>
        <w:rPr>
          <w:rFonts w:ascii="Times New Roman;serif" w:hAnsi="Times New Roman;serif"/>
          <w:b w:val="false"/>
          <w:color w:val="000000"/>
          <w:sz w:val="20"/>
          <w:shd w:fill="FFFFFF" w:val="clear"/>
        </w:rPr>
        <w:t xml:space="preserve">our most recent </w:t>
      </w:r>
      <w:hyperlink r:id="rId15">
        <w:r>
          <w:rPr>
            <w:rStyle w:val="InternetLink"/>
            <w:rFonts w:ascii="Times New Roman;serif" w:hAnsi="Times New Roman;serif"/>
            <w:b w:val="false"/>
            <w:color w:val="0000FF"/>
            <w:sz w:val="20"/>
            <w:u w:val="single"/>
            <w:shd w:fill="FFFFFF" w:val="clear"/>
          </w:rPr>
          <w:t>Annual Report on Form 10-K</w:t>
        </w:r>
      </w:hyperlink>
      <w:r>
        <w:rPr>
          <w:color w:val="0563C1"/>
          <w:u w:val="single"/>
          <w:shd w:fill="FFFFFF" w:val="clear"/>
        </w:rPr>
        <w:t> </w:t>
      </w:r>
      <w:r>
        <w:rPr>
          <w:rFonts w:ascii="Times New Roman;serif" w:hAnsi="Times New Roman;serif"/>
          <w:b w:val="false"/>
          <w:color w:val="000000"/>
          <w:sz w:val="20"/>
        </w:rPr>
        <w:t>and the information in Note 12 to our unaudited consolidated financial statements appearing in </w:t>
      </w:r>
      <w:r>
        <w:rPr>
          <w:rFonts w:ascii="Times New Roman;serif" w:hAnsi="Times New Roman;serif"/>
          <w:b w:val="false"/>
          <w:color w:val="000000"/>
          <w:sz w:val="20"/>
          <w:shd w:fill="FFFFFF" w:val="clear"/>
        </w:rPr>
        <w:t xml:space="preserve">our most recent </w:t>
      </w:r>
      <w:hyperlink r:id="rId16">
        <w:r>
          <w:rPr>
            <w:rStyle w:val="InternetLink"/>
            <w:rFonts w:ascii="Times New Roman;serif" w:hAnsi="Times New Roman;serif"/>
            <w:b w:val="false"/>
            <w:color w:val="0000FF"/>
            <w:sz w:val="20"/>
            <w:u w:val="single"/>
            <w:shd w:fill="FFFFFF" w:val="clear"/>
          </w:rPr>
          <w:t>Quarterly Report on Form 10-Q</w:t>
        </w:r>
      </w:hyperlink>
      <w:r>
        <w:rPr>
          <w:color w:val="000000"/>
          <w:shd w:fill="FFFFFF" w:val="clear"/>
        </w:rPr>
        <w:t xml:space="preserve"> </w:t>
      </w:r>
      <w:r>
        <w:rPr>
          <w:rFonts w:ascii="Times New Roman;serif" w:hAnsi="Times New Roman;serif"/>
          <w:b w:val="false"/>
          <w:color w:val="000000"/>
          <w:sz w:val="20"/>
          <w:shd w:fill="FFFFFF" w:val="clear"/>
        </w:rPr>
        <w:t>is incorporated by reference herein</w:t>
      </w:r>
      <w:r>
        <w:rPr>
          <w:rFonts w:ascii="Times New Roman;serif" w:hAnsi="Times New Roman;serif"/>
          <w:b w:val="false"/>
          <w:color w:val="000000"/>
          <w:sz w:val="20"/>
        </w:rPr>
        <w:t>.</w:t>
      </w:r>
    </w:p>
    <w:p>
      <w:pPr>
        <w:pStyle w:val="TextBody"/>
        <w:bidi w:val="0"/>
        <w:spacing w:lineRule="auto" w:line="288" w:before="0" w:after="0"/>
        <w:ind w:left="0" w:right="0" w:firstLine="360"/>
        <w:jc w:val="both"/>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 xml:space="preserve">Investing in our securities involves a number of significant risks. In addition to the other information contained in this prospectus and any accompanying prospectus supplement, you should consider carefully the following information before making an investment in our securities. Before deciding whether to invest in our securities, you should carefully consider the risks and uncertainties described in the section titled “Risk Factors” in the applicable prospectus supplement and any related free writing prospectus, and discussed in the section titled “Risk Factors” in our most recent </w:t>
      </w:r>
      <w:hyperlink r:id="rId17">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 xml:space="preserve">and any subsequent filings we have made with the SEC that are incorporated by reference into this prospectus, together with other information in this prospectus, the documents incorporated by reference </w:t>
      </w:r>
      <w:r>
        <w:rPr>
          <w:rFonts w:ascii="Times New Roman;serif" w:hAnsi="Times New Roman;serif"/>
          <w:b w:val="false"/>
          <w:color w:val="000000"/>
          <w:sz w:val="20"/>
          <w:shd w:fill="FFFFFF" w:val="clear"/>
        </w:rPr>
        <w:t>in this prospectus or any prospectus supplement</w:t>
      </w:r>
      <w:r>
        <w:rPr>
          <w:rFonts w:ascii="Times New Roman;serif" w:hAnsi="Times New Roman;serif"/>
          <w:b w:val="false"/>
          <w:color w:val="000000"/>
          <w:sz w:val="20"/>
        </w:rPr>
        <w:t xml:space="preserve">, and any free writing prospectus that we may authorize for use in connection with this offering. The risks and uncertainties described in these documents could materially adversely affect our business, financial condition and results of operations. The risks described in these documents are not the only ones we face. Additional risks and uncertainties that we are unaware of, or that we currently believe are not material, also may become important factors that could adversely affect our business. If any of the risks described in these documents, or risks not presently known to us, actually occur, the trading price of our common stock could decline, and you may lose all or part of your investment. Please also read carefully the section titled “Cautionary Statement Concerning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information in “Part II, Item 7. Management’s Discussion and Analysis of Financial Condition and Results of Operations” of </w:t>
      </w:r>
      <w:r>
        <w:rPr>
          <w:rFonts w:ascii="Times New Roman;serif" w:hAnsi="Times New Roman;serif"/>
          <w:b w:val="false"/>
          <w:color w:val="000000"/>
          <w:sz w:val="20"/>
          <w:shd w:fill="FFFFFF" w:val="clear"/>
        </w:rPr>
        <w:t xml:space="preserve">our most recent </w:t>
      </w:r>
      <w:hyperlink r:id="rId18">
        <w:r>
          <w:rPr>
            <w:rStyle w:val="InternetLink"/>
            <w:rFonts w:ascii="Times New Roman;serif" w:hAnsi="Times New Roman;serif"/>
            <w:b w:val="false"/>
            <w:color w:val="0000FF"/>
            <w:sz w:val="20"/>
            <w:u w:val="single"/>
            <w:shd w:fill="FFFFFF" w:val="clear"/>
          </w:rPr>
          <w:t>Annual Report on Form 10-K</w:t>
        </w:r>
      </w:hyperlink>
      <w:r>
        <w:rPr>
          <w:color w:val="000000"/>
          <w:shd w:fill="FFFFFF" w:val="clear"/>
        </w:rPr>
        <w:t xml:space="preserve"> </w:t>
      </w:r>
      <w:r>
        <w:rPr>
          <w:rFonts w:ascii="Times New Roman;serif" w:hAnsi="Times New Roman;serif"/>
          <w:b w:val="false"/>
          <w:color w:val="000000"/>
          <w:sz w:val="20"/>
          <w:shd w:fill="FFFFFF" w:val="clear"/>
        </w:rPr>
        <w:t xml:space="preserve">and the information in “Part I, Item 2. Management’s Discussion and Analysis of Financial Condition and Results of Operations” of our most recent </w:t>
      </w:r>
      <w:hyperlink r:id="rId19">
        <w:r>
          <w:rPr>
            <w:rStyle w:val="InternetLink"/>
            <w:rFonts w:ascii="Times New Roman;serif" w:hAnsi="Times New Roman;serif"/>
            <w:b w:val="false"/>
            <w:color w:val="0000FF"/>
            <w:sz w:val="20"/>
            <w:u w:val="single"/>
            <w:shd w:fill="FFFFFF" w:val="clear"/>
          </w:rPr>
          <w:t>Quarterly Report on Form 10-Q</w:t>
        </w:r>
      </w:hyperlink>
      <w:r>
        <w:rPr>
          <w:color w:val="000000"/>
          <w:shd w:fill="FFFFFF" w:val="clear"/>
        </w:rPr>
        <w:t xml:space="preserve"> </w:t>
      </w:r>
      <w:r>
        <w:rPr>
          <w:rFonts w:ascii="Times New Roman;serif" w:hAnsi="Times New Roman;serif"/>
          <w:b w:val="false"/>
          <w:color w:val="000000"/>
          <w:sz w:val="20"/>
          <w:shd w:fill="FFFFFF" w:val="clear"/>
        </w:rPr>
        <w:t>is incorporated by reference herein</w:t>
      </w:r>
      <w:r>
        <w:rPr>
          <w:rFonts w:ascii="Times New Roman;serif" w:hAnsi="Times New Roman;serif"/>
          <w:b w:val="false"/>
          <w:color w:val="000000"/>
          <w:sz w:val="20"/>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CAUTIONARY STATEMENT CONCERNING FORWARD-LOOKING STATEMENTS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prospectus, including the documents that we incorporate by reference herein, contains, and any applicable prospectus supplement or free writing prospectus, including the documents we incorporate by reference therein, may contain forward-looking statements, including statements regarding our future financial condition, business strategy, and plans and objectives of management for future operations. All statements other than statements of historical facts, including statements regarding our future results of operations or financial condition, business strategy and plans, and objectives of management for future operations, are forward-looking statements. Any such forward-looking statements may involve known and unknown risks, uncertainties and other factors which may cause our actual results, performance or achievements to be materially different from future results, performance or achievements expressed or implied by any forward-looking statements. Forward-looking statements, which involve assumptions and describe our future plans, strategies and expectations are generally identifiable by use of the words “may,” “predict,” “will,” “continue,” “likely,” “would,” “could,” “should,” “expect,” “anticipate,” “potential,” “estimate,” “indicate,” “seek,” “believe,” “target,” “intend,” "plan" or “project” or the negative of these words or other variations on these words or comparable terminology. These forward-looking statements involve risks and uncertainties and are based on assumptions that may be incorrect, and we cannot assure you that the projections included in these forward-looking statements will come to pass. Accordingly, there are or will be important factors that could cause our actual results to differ materially from those expressed or implied by the forward-looking statements. The forward-looking statements contained or incorporated by reference in this prospectus and any applicable prospectus supplement or free writing prospectus may include statements as to:</w:t>
      </w:r>
    </w:p>
    <w:p>
      <w:pPr>
        <w:pStyle w:val="TextBody"/>
        <w:bidi w:val="0"/>
        <w:spacing w:before="0" w:after="0"/>
        <w:jc w:val="both"/>
        <w:rPr/>
      </w:pPr>
      <w:r>
        <w:rPr/>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future operating results;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market conditions and our ability to access debt and equity capital and our ability to manage our capital resources effectively;</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changes in the markets in which we invest and changes in financial and lending markets generally;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of cash flows, if any, from the operations of our portfolio companies;</w:t>
      </w:r>
    </w:p>
    <w:p>
      <w:pPr>
        <w:pStyle w:val="TextBody"/>
        <w:bidi w:val="0"/>
        <w:spacing w:lineRule="auto" w:line="288" w:before="0" w:after="160"/>
        <w:ind w:left="0" w:right="0" w:hanging="360"/>
        <w:jc w:val="both"/>
        <w:rPr/>
      </w:pPr>
      <w:r>
        <w:rPr>
          <w:color w:val="000000"/>
        </w:rPr>
        <w:t>• </w:t>
      </w:r>
      <w:r>
        <w:rPr>
          <w:rFonts w:ascii="Times New Roman;serif" w:hAnsi="Times New Roman;serif"/>
          <w:b w:val="false"/>
          <w:color w:val="000000"/>
          <w:sz w:val="20"/>
        </w:rPr>
        <w:t>our business prospects and the prospects of our existing and prospective portfolio companies;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financial condition and ability of our existing and prospective portfolio companies to achieve their objectives;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adequacy of our cash resources and working capital;</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recover unrealized losses;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expected financings and investments;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contractual arrangements and other relationships with third parties;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impact of interest rate volatility and inflation on our business and our portfolio companies;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impact of a protracted decline in the liquidity of credit markets on our business;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operate as a BDC and to qualify and maintain our qualification as a RIC, including the impact of changes in laws or regulations, including tax reform, governing our operations or the operations of our portfolio companies;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operate our wholly owned subsidiary, SBIC I, as an SBIC;</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dependence of our future success on the general economy and its impact on the industries in which we invest;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supply chain disruptions and labor shortages on our portfolio companies;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changes in laws and regulations, changes in political, economic or industry conditions, and changes in the interest rate environment or other conditions affecting the financial and capital markets;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successfully invest any capital raised in an offering;</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return or impact of current and future investments;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performance and the valuation of our investments in portfolio companies, particularly those having no liquid trading market;</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regulatory structure and tax treatment;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timing, form and amount of any dividends or distributions.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Discussions containing these forward-looking statements may be found in the sections titled “Business,” “Risk Factors” and “Management’s Discussion and Analysis of Financial Condition and Results of Operations” incorporated by reference from our most recent Annual Report on Form 10-K and our subsequent SEC filings. We discuss in greater detail, and incorporate by reference into this prospectus in their entirety, many of these risks and uncertainties in the sections titled “Risk Factors” in the applicable prospectus supplement, in any free writing prospectus we may authorize for use in connection with a specific offering and in our most recent Annual Report on Form 10-K, as well as in any of our subsequent SEC filings. In addition, statements that we “believe” and similar statements reflect our beliefs and opinions on the relevant subject. These statements are based on information available to us as of the applicable date of this prospectus, free writing prospectus and documents incorporated by reference into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any applicable prospectus supplement or in any free writing prospectus we have authorized for use in connection with a specific offering, we intend to use the net proceeds from any offering to make investments in portfolio companies in accordance with our investment objective and strategies, repay outstanding indebtedness (which will be subject to re-borrowing), make investments in marketable securities and other temporary investments, and for other general corporate purposes, including payment of operating expenses. We anticipate that substantially all of the net proceeds of an offering will be invested in accordance with our investment objective and strategies within twelve months following completion of such offering, depending on the availability of appropriate investment opportunities, market conditions, and the amount raised. We cannot assure you that we will achieve our targeted investment pace. Pending our investments in portfolio companies, we will invest the remaining net proceeds of an offering primarily in cash, cash equivalents, U.S. Government securities and other high-quality debt investments that mature in one year or less from the time of investment. These securities may have lower yields than our other investments and accordingly may result in lower distributions, if any, during such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seek shareholder authorization to issue common stock at a price below NAV per share at our 2024 annual meeting of shareholders.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PRICE RANGE OF COMMON STOCK</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Market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traded on Nasdaq under the symbol “CSWC.”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 forth, for each fiscal quarter within the two most recent fiscal years and any subsequent interim periods, the range of high and low selling prices of our common stock as reported on Nasdaq, as applicable, and the sales price as a percentage of the NAV per share of our common stock.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38"/>
        <w:gridCol w:w="562"/>
        <w:gridCol w:w="56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563"/>
        <w:gridCol w:w="403"/>
        <w:gridCol w:w="1011"/>
        <w:gridCol w:w="109"/>
        <w:gridCol w:w="109"/>
        <w:gridCol w:w="109"/>
        <w:gridCol w:w="544"/>
        <w:gridCol w:w="375"/>
        <w:gridCol w:w="1102"/>
      </w:tblGrid>
      <w:tr>
        <w:trPr/>
        <w:tc>
          <w:tcPr>
            <w:tcW w:w="63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NAV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Premium (Discount) of High Sales Price to NAV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Premium (Discount) of Low Sales Price to NAV (2)</w:t>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Year ending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(through October 22,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First Quarter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Year ending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56.05 </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37.51 </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1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Year ended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1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1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(1)NAV per share, is determined as of the last day in the relevant quarter and therefore may not reflect the NAV per share on the date of the high and low sales prices. The NAVs shown are based on outstanding shares at the end of each period.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(2)Calculated as the respective high or low share price divided by NAV and subtracting 1.</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NAV has not yet been determined for this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2024, we had 315 holders of record of our common stock, which did not include shareholders for whom shares are held in “nominee” or “street name.” On October 22, 2024, the closing price of our common stock on the Nasdaq Global Select Market was $25.84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Shares of BDCs may trade at a market price that is less than the value of the net assets attributable to those shares. The possibility that our shares of common stock will trade at a discount from NAV per share or at premiums that are unsustainable over the long term are separate and distinct from the risk that our NAV per share will decrease. It is not possible to predict whether our common stock will trade at, above, or below NAV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SENIOR SECURITIES</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Information about our senior securities as of each of the years ended March 31, 2024, 2023, 2022, 2021, 2020, 2019, 2018, and 2017 in “Part II, Item 5. Market for Registrant’s Common Equity, Related Shareholder Matters and Issuer Purchases of Equity Securities” of </w:t>
      </w:r>
      <w:r>
        <w:rPr>
          <w:rFonts w:ascii="Times New Roman;serif" w:hAnsi="Times New Roman;serif"/>
          <w:b w:val="false"/>
          <w:color w:val="000000"/>
          <w:sz w:val="20"/>
          <w:shd w:fill="FFFFFF" w:val="clear"/>
        </w:rPr>
        <w:t xml:space="preserve">our most recent </w:t>
      </w:r>
      <w:hyperlink r:id="rId20">
        <w:r>
          <w:rPr>
            <w:rStyle w:val="InternetLink"/>
            <w:rFonts w:ascii="Times New Roman;serif" w:hAnsi="Times New Roman;serif"/>
            <w:b w:val="false"/>
            <w:color w:val="0000FF"/>
            <w:sz w:val="20"/>
            <w:u w:val="single"/>
            <w:shd w:fill="FFFFFF" w:val="clear"/>
          </w:rPr>
          <w:t>Annual Report on Form 10-K</w:t>
        </w:r>
      </w:hyperlink>
      <w:r>
        <w:rPr>
          <w:color w:val="000000"/>
          <w:shd w:fill="FFFFFF" w:val="clear"/>
        </w:rPr>
        <w:t xml:space="preserve"> </w:t>
      </w:r>
      <w:r>
        <w:rPr>
          <w:rFonts w:ascii="Times New Roman;serif" w:hAnsi="Times New Roman;serif"/>
          <w:b w:val="false"/>
          <w:color w:val="000000"/>
          <w:sz w:val="20"/>
          <w:shd w:fill="FFFFFF" w:val="clear"/>
        </w:rPr>
        <w:t>is incorporated by reference herein.</w:t>
      </w:r>
      <w:r>
        <w:rPr>
          <w:color w:val="000000"/>
        </w:rPr>
        <w:t xml:space="preserve"> </w:t>
      </w:r>
      <w:r>
        <w:rPr>
          <w:rFonts w:ascii="Times New Roman;serif" w:hAnsi="Times New Roman;serif"/>
          <w:b w:val="false"/>
          <w:color w:val="000000"/>
          <w:sz w:val="20"/>
        </w:rPr>
        <w:t xml:space="preserve">The Company did not have any senior securities outstanding prior to the year ended March 31, 2017. The report of RSM US LLP, our independent registered public accountants for the fiscal years ended March 31, 2024, 2023, 2022, 2021, 2020, 2019 and 2018, on the senior securities table as of March 31, 2024, 2023, 2022, 2021, 2020, 2019 and 2018, has been incorporated by reference as an exhibit to the registration statement of which this prospectus is a part. The report of our former independent registered public accountants for the fiscal year ended March 31, 2017, on the senior securities table as of March 31, 2017, has been incorporated by reference as an exhibit to the registration statement of which this prospectus is a part.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about our senior securities is shown in the following table as of June 30, 2024 (unaudited).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5"/>
        <w:gridCol w:w="517"/>
        <w:gridCol w:w="391"/>
        <w:gridCol w:w="109"/>
        <w:gridCol w:w="109"/>
        <w:gridCol w:w="109"/>
        <w:gridCol w:w="457"/>
        <w:gridCol w:w="1792"/>
        <w:gridCol w:w="236"/>
        <w:gridCol w:w="109"/>
        <w:gridCol w:w="109"/>
        <w:gridCol w:w="109"/>
        <w:gridCol w:w="436"/>
        <w:gridCol w:w="436"/>
        <w:gridCol w:w="438"/>
        <w:gridCol w:w="109"/>
        <w:gridCol w:w="109"/>
        <w:gridCol w:w="109"/>
        <w:gridCol w:w="654"/>
        <w:gridCol w:w="654"/>
        <w:gridCol w:w="656"/>
        <w:gridCol w:w="109"/>
        <w:gridCol w:w="109"/>
        <w:gridCol w:w="109"/>
        <w:gridCol w:w="352"/>
        <w:gridCol w:w="1029"/>
        <w:gridCol w:w="264"/>
      </w:tblGrid>
      <w:tr>
        <w:trPr/>
        <w:tc>
          <w:tcPr>
            <w:tcW w:w="58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and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Amount Outstanding Exclusive of Treasury Securities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Coverage per Unit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Involuntary Liquidating Preference per Unit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Market Value per Unit (4)</w:t>
            </w:r>
          </w:p>
        </w:tc>
      </w:tr>
      <w:tr>
        <w:trPr/>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SPV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October 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August 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(1)Total amount of each class of senior securities outstanding at the end of the period presented.</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(2)Asset coverage per unit is expressed in terms of dollar amounts per $1,000 of indebtedness. On August 11, 2021, we received an exemptive order from the SEC to permit us to exclude the senior securities issued by SBIC I or any future SBIC subsidiary of CSWC from the definition of senior securities in the asset coverage requirement applicable to CSWC under the 1940 Act. The asset coverage ratio for a class of senior securities representing indebtedness is calculated as our consolidated total assets, less all liabilities and indebtedness not represented by senior securities (including the SBA Debentures, which represents indebtedness not represented by senior securities pursuant to our exemptive order), divided by senior securities representing indebtedness. </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amount to which such class of senior security would be entitled upon the involuntary liquidation of the issuer in preference to any security junior to it. The “-” indicates information which the SEC expressly does not required to be disclosed for certain types of senior securities.</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(4)Average market value per unit for the Corporate Credit Facility, the SPV Credit Facility, the January 2026 Notes and the October 2026 Notes is not applicable because these are not registered for public trading.</w:t>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BUSINESS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information in “Part I, Item 1. Business” of </w:t>
      </w:r>
      <w:r>
        <w:rPr>
          <w:rFonts w:ascii="Times New Roman;serif" w:hAnsi="Times New Roman;serif"/>
          <w:b w:val="false"/>
          <w:color w:val="000000"/>
          <w:sz w:val="20"/>
          <w:shd w:fill="FFFFFF" w:val="clear"/>
        </w:rPr>
        <w:t xml:space="preserve">our most recent </w:t>
      </w:r>
      <w:hyperlink r:id="rId21">
        <w:r>
          <w:rPr>
            <w:rStyle w:val="InternetLink"/>
            <w:rFonts w:ascii="Times New Roman;serif" w:hAnsi="Times New Roman;serif"/>
            <w:b w:val="false"/>
            <w:color w:val="0000FF"/>
            <w:sz w:val="20"/>
            <w:u w:val="single"/>
            <w:shd w:fill="FFFFFF" w:val="clear"/>
          </w:rPr>
          <w:t>Annual Report on Form 10-K</w:t>
        </w:r>
      </w:hyperlink>
      <w:r>
        <w:rPr>
          <w:color w:val="000000"/>
          <w:shd w:fill="FFFFFF" w:val="clear"/>
        </w:rPr>
        <w:t xml:space="preserve"> </w:t>
      </w:r>
      <w:r>
        <w:rPr>
          <w:rFonts w:ascii="Times New Roman;serif" w:hAnsi="Times New Roman;serif"/>
          <w:b w:val="false"/>
          <w:color w:val="000000"/>
          <w:sz w:val="20"/>
          <w:shd w:fill="FFFFFF" w:val="clear"/>
        </w:rPr>
        <w:t>is incorporated by reference herein</w:t>
      </w:r>
      <w:r>
        <w:rPr>
          <w:rFonts w:ascii="Times New Roman;serif" w:hAnsi="Times New Roman;serif"/>
          <w:b w:val="false"/>
          <w:color w:val="000000"/>
          <w:sz w:val="20"/>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PORTFOLIO COMPANIES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as of June 30, 2024, for the portfolio companies in which we had a debt or equity investment. Other than these investments, our only formal relationships with our portfolio companies are the managerial assistance ancillary to our investments and the board observer or participation rights we may receive. As of June 30, 2024, there were no investments in a portfolio company that represented greater than 5% of our total assets. The following table excludes our investments in marketable securities and temporary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21"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Debt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Aerospace &amp; 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ADS TACTICAL,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621 Lynnhaven Parkway, Suite 160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Virginia Beach, VA 23452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P+4.75% (Floor 1.00%)/M, Current Coupon 13.25%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EDGE AUTONOMY HOLDINGS,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831 Buckley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San Luis Obispo, CA 93401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2.00%)/Q, Current Coupon 11.98%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2.00%)/Q, Current Coupon 13.98%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STELLANT MIDCO,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3100 Lomita Blvd.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Torrance, CA 90505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SOFR+5.50% (Floor 0.75%)/S, Current Coupon 11.04%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SOFR+5.75% (Floor 0.75%)/S, Current Coupon 11.19%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Aerospace &amp; Defense (3.43%)*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Building &amp; Infrastructure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BRANDNER DESIGN, LLC</w:t>
            </w:r>
            <w:r>
              <w:rPr>
                <w:rFonts w:ascii="Times New Roman;serif" w:hAnsi="Times New Roman;serif"/>
                <w:b/>
                <w:color w:val="000000"/>
                <w:sz w:val="10"/>
              </w:rPr>
              <w:t>7</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34 Wildcat Way</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Bozeman, MT 59718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4/13/2029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SOFR+10.00% (Floor 2.00%)/Q, Current Coupon 15.33%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4/13/2029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MAKO STEEL LP</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5650 El Camino Real</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Carlsbad, CA 92008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0.75%)/Q, Current Coupon 12.99%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Building &amp; Infrastructure Products (2.09%)*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Business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49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78"/>
        <w:gridCol w:w="278"/>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DYNAMIC COMMUNITIES,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5415 W Sligh Ave., Ste 102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Tampa, FL 33634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PIK (Floor 2.00%)/M, Current Coupon 11.44%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PIK (Floor 2.00%)/M, Current Coupon 13.44%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FS VECTOR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1307 New York Ave NW</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Washington, DC 20005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2.00%)/Q, Current Coupon 11.95%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2.00%)/Q, Current Coupon 13.95%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GAINS INTERMEDIATE,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3610-2 N Josey Lane, Suite 223</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Carrollton, TX 75007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2.00%)/Q, Current Coupon 12.06%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2.00%)/Q, Current Coupon 14.06%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INTEGRO PARENT, INC.</w:t>
            </w:r>
            <w:r>
              <w:rPr>
                <w:rFonts w:ascii="Times New Roman;serif" w:hAnsi="Times New Roman;serif"/>
                <w:b/>
                <w:color w:val="000000"/>
                <w:sz w:val="10"/>
              </w:rPr>
              <w:t>9,22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State Street Plaza, 9th Floor</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New York, NY 19801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SOFR+12.25% PIK (Floor 1.00%)/Q, Current Coupon 17.58%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SPOTLIGHT AR,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1906 Wyandotte Street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Kansas City, MO 64108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1.00%)/Q, Current Coupon 12.20%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23"/>
        <w:gridCol w:w="323"/>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US COURTSCRIPT HOLDINGS,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7227 North 16th Street, Suite 207</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Phoenix, AZ 85020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1.00%)/Q, Current Coupon 11.56%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WINTER SERVICES OPERATIONS,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2100 S 116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West Allis, WI 53227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1.00%)/Q, Current Coupon 14.56%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Business Services (12.29%)*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95,373 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95,554 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ALLIANCE SPORTS GROUP, L.P.</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3959 Van Dyke Road, Suite 286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Lutz, FL 33558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Convertible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6.00%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7/15/2020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HEAT TRAK,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3645 Clearview Pkwy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Doraville, GA 30340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SOFR+10.00% (Floor 2.00%)/Q, Current Coupon 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SOFR+10.00% (Floor 2.00%)/Q, Current Coupon 15.46%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HYBRID APPAREL,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10711 Walker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Cypress, CA 90630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Second Lien</w:t>
            </w:r>
            <w:r>
              <w:rPr>
                <w:rFonts w:ascii="Times New Roman;serif" w:hAnsi="Times New Roman;serif"/>
                <w:b w:val="false"/>
                <w:color w:val="000000"/>
                <w:sz w:val="1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SOFR+8.25% (Floor 1.00%)/Q, Current Coupon 13.81%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LASH OPCO,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1051 Heights Blvd, Suite 250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Houston, TX 77008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SOFR+2.65%, 5.10% PIK (Floor 1.00%)/Q, Current Coupon 13.18%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SOFR+2.65%, 5.10% PIK (Floor 1.00%)/Q, Current Coupon 13.18%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76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68"/>
        <w:gridCol w:w="368"/>
        <w:gridCol w:w="236"/>
        <w:gridCol w:w="109"/>
        <w:gridCol w:w="109"/>
        <w:gridCol w:w="109"/>
        <w:gridCol w:w="380"/>
        <w:gridCol w:w="356"/>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REVO BRANDS,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5480 Nathan Ln N Ste 120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Plymouth, Minnesota 55442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1.50%)/Q, Current Coupon 12.84%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1.50%)/Q, Current Coupon 11.80%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1.50%)/Q, Current Coupon 12.80%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1.50%)/Q, Current Coupon 13.80%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33,947 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34,048 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TRU FRAGRANCE &amp; BEAUTY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7725 South Quincy Street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Willowbrook, IL 60527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SOFR+6.25% (Floor 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SOFR+5.25% (Floor 1.50%)/Q, Current Coupon 10.55%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SOFR+7.25% (Floor 1.50%)/Q, Current Coupon 12.55%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29,848 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YS GARMENTS,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15730 South Figueroa Street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Gardena, CA 90248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1.00%)/Q, Current Coupon 12.92%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Consumer Products (14.48%)*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112,324 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112,569 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AIR CONDITIONING SPECIALIST, INC.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3025 N. Great Southwest Parkway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Grand Prairie, TX 75050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SOFR+7.25% (Floor 1.00%)/Q, Current Coupon 12.81%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SOFR+7.25% (Floor 1.00%)/Q, Current Coupon 12.82%</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SOFR+7.25%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27,390 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APPLE ROOFING ADMINISTRATIVE SERVICES, LLC (fka ROOF OPCO,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3001 E Plano Pkwy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Plano, TX 75074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23"/>
        <w:gridCol w:w="323"/>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1.00%)/Q, Current Coupon 14.56%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LIFT BRANDS,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2411 Galpin Court, Suite 110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Chanhassen, MN 55317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Tranche A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1.00%)/M, Current Coupon 12.94%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Tranche B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9.50%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Tranche C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POOL SERVICE HOLDINGS,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1605 Ben Franklin Highway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Douglassville, PA 19518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2.00%)/Q, Current Coupon 11.80%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2.00%)/Q, Current Coupon 11.80%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TMT BHC BUYER,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3400 Belle Chase Way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Lansing, MI 48911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1.50%)/Q, Current Coupon 11.30%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ZIPS CAR WASH,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8400 Belleview Drive, Suite 210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Plano, TX 75024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 -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SOFR+5.75%, 1.50% PIK (Floor 1.00%)/M, Current Coupon 12.69%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 -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SOFR+5.75%, 1.50% PIK (Floor 1.00%)/M, Current Coupon 12.69%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Consumer Services (11.55%)*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91,794 </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89,772 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Data Processing &amp; Outsourced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BURNING GLASS INTERMEDIATE HOLDING COMPANY,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Lewis Wharf</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Boston, MA 02110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SOFR+5.00%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SOFR+5.00% (Floor 1.00%)/M, Current Coupon 10.44%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LIGHTBOX INTERMEDIATE, L.P.</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 Armstrong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Shelton, CT 06484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SOFR+5.00%/Q, Current Coupon 10.60%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RESEARCH NOW GROUP,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5800 Tennyson Parkway, Suite 600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Plano, TX 75024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SOFR+5.50% (Floor 1.00%)/Q, Current Coupon 11.09%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Second Lien</w:t>
            </w:r>
            <w:r>
              <w:rPr>
                <w:rFonts w:ascii="Times New Roman;serif" w:hAnsi="Times New Roman;serif"/>
                <w:b w:val="false"/>
                <w:color w:val="000000"/>
                <w:sz w:val="1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SOFR+9.50% (Floor 1.00%)/Q, Current Coupon 15.09%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RETAIL SERVICES WIS CORPORATION</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9265 Sky Park Ct, Ste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San Diego, CA 92123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SOFR+8.35% (Floor 1.00%)/Q, Current Coupon 13.83%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Data Processing &amp; Outsourced Services (1.83%)*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KMS,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811 E Waterman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Wichita, KS 67202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SOFR+7.75% (Floor 1.00%)/Q, Current Coupon 13.23%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Distribution (1.94%)*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STUDENT RESOURCE CENTER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110 John Scott Hwy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Steubenville, OH 43952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8.50%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WALL STREET PREP,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180 Wells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Newton, MA 02459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Education (1.54%)*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Energy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ACE GATHERING,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24275 Katy Freeway, Suite 325</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Katy, TX 77494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Second Lien</w:t>
            </w:r>
            <w:r>
              <w:rPr>
                <w:rFonts w:ascii="Times New Roman;serif" w:hAnsi="Times New Roman;serif"/>
                <w:b w:val="false"/>
                <w:color w:val="000000"/>
                <w:sz w:val="1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2.00%)/M, Current Coupon 13.56%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12/13/2018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PIPELINE TECHNIQUE LTD.</w:t>
            </w:r>
            <w:r>
              <w:rPr>
                <w:rFonts w:ascii="Times New Roman;serif" w:hAnsi="Times New Roman;serif"/>
                <w:b/>
                <w:color w:val="000000"/>
                <w:sz w:val="10"/>
              </w:rPr>
              <w:t>9,22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23411 Clay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Katy, TX 77493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SOFR+6.75% (Floor 1.00%)/Q, Current Coupon 12.24%</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1.00%)/Q, Current Coupon 12.34%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VEREGY CONSOLIDATED,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3312 E Broadway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Phoenix, AZ 85040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1.00%)/Q, Current Coupon 11.59%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WELL-FOAM,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4215 N Sierra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Odessa, TX 79764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Energy Services (3.59%)*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27,927 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Environmental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ARBORWORKS,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40266 Junction Drive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Oakhurst, CA 93644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15.00%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PIK (Floor 1.00%)/M, Current Coupon 11.99%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ISLAND PUMP AND TANK,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40 Doyle Court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East Northport, NY 11731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SOFR+5.50% (Floor 2.00%)/Q Current Coupon 11.06%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2.00%)/Q, Current Coupon 12.06%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2.00%)/Q, Current Coupon 13.06%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11,801 </w:t>
            </w:r>
          </w:p>
        </w:tc>
        <w:tc>
          <w:tcPr>
            <w:tcW w:w="2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23"/>
        <w:gridCol w:w="323"/>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LIGHTING RETROFIT INTERNATIONAL,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750 MD Route 3 South, Suite 19</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Gambills, MD 21054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Second Lien</w:t>
            </w:r>
            <w:r>
              <w:rPr>
                <w:rFonts w:ascii="Times New Roman;serif" w:hAnsi="Times New Roman;serif"/>
                <w:b w:val="false"/>
                <w:color w:val="000000"/>
                <w:sz w:val="1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Environmental Services (6.60%)*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51,216 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51,341 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JACKSON HEWITT TAX SERVICE,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 Exchange Place, 27th Floor</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Jersey City, NJ 07302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2.50%)/Q, Current Coupon 13.80%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9/14/2028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NATIONAL CREDIT CARE,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1499 W 121st Ave #300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Westminster, CO 80234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1.00%)/Q, Current Coupon 11.90%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1.00%)/Q, Current Coupon 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NINJATRADER,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1422 Delgany St., Suite 400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Denver, CO 80202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12/18/2019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1.00%)/Q, Current Coupon 12.20%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12/18/2019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34,097 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34,094 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Financial Services (8.05%)*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67,450 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62,568 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Food, Agriculture &amp;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AMERICAN NUTS OPERATIONS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12950 San Fernando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Sylmar, CA 91342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 - Term Loan A</w:t>
            </w:r>
            <w:r>
              <w:rPr>
                <w:rFonts w:ascii="Times New Roman;serif" w:hAnsi="Times New Roman;serif"/>
                <w:b w:val="false"/>
                <w:color w:val="000000"/>
                <w:sz w:val="1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SOFR+9.75% PIK (Floor 1.00%)/Q, Current Coupon 15.20%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 - Term Loan B</w:t>
            </w:r>
            <w:r>
              <w:rPr>
                <w:rFonts w:ascii="Times New Roman;serif" w:hAnsi="Times New Roman;serif"/>
                <w:b w:val="false"/>
                <w:color w:val="000000"/>
                <w:sz w:val="1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SOFR+11.75% PIK (Floor 1.00%)/Q, Current Coupon 17.20%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FOOD PHARMA SUBSIDIARY HOLDINGS,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10012 Painter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Santa Fe Srpings, CA 90670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SOFR+6.00% (Floor 2.00%)/M, Current Coupon 11.36%</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23"/>
        <w:gridCol w:w="323"/>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SOFR+7.00% (Floor 2.00%)/M, Current Coupon 12.36%</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SOFR+8.00% (Floor 2.00%)/M, Current Coupon 13.36%</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41,794 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42,591 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GULF PACIFIC ACQUISITION,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12010 Taylor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Houston, TX 77041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SOFR+6.00% (Floor 1.00%)/Q, Current Coupon 11.49%</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1.00%)/Q, Current Coupon 11.48%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1.00%)/Q, Current Coupon 11.45%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INW MANUFACTURING,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310 Park Lane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Farmington, UT 84025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SOFR+5.75% (Floor 0.75%)/Q, Current Coupon 11.35%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MAMMOTH BORROWCO,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235 Asylum Street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Norwich, CT 06360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SOFR+6.25% (Floor 1.50%)/Q, Current Coupon 11.58%</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SOFR+5.25% (Floor 1.50%)/Q, Current Coupon 10.60%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SOFR+7.25% (Floor 1.50%)/Q, Current Coupon 12.60%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SOFR+6.25% (Floor 1.50%)/Q, Current Coupon 11.59%</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26,014 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MUENSTER MILLING COMPANY,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202 S Main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Muenster, TX 76252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76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68"/>
        <w:gridCol w:w="368"/>
        <w:gridCol w:w="236"/>
        <w:gridCol w:w="109"/>
        <w:gridCol w:w="109"/>
        <w:gridCol w:w="109"/>
        <w:gridCol w:w="402"/>
        <w:gridCol w:w="334"/>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NEW SKINNY MIXES,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2849 Executive Drive, Suite 210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Clearwater, FL 33762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2.00%)/Q, Current Coupon 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Food, Agriculture &amp; Beverage (16.30%)*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133,583 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126,724 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Healthcare Equipment &amp;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CENTRAL MEDICAL SUPPLY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240 US-206 Ste A</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Flanders, NJ 07836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SOFR+7.00% (Floor 1.75%)/Q, Current Coupon 12.47%</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1.75%)/Q, Current Coupon 12.45%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Capex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1.75%)/Q, Current Coupon 12.45%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COMMAND GROUP ACQUISITION,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15 Signal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Ormond Beach, FL 32174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2.00%)/Q, Current Coupon 13.30%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LKC TECHNOLOGIES,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Professional Drive, Suite 222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Gaithersburg, MD 20879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2.00%)/Q, Current Coupon 12.56%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SCRIP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360 Veterans Parkway, Suite 115</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Bolingbrook, IL 60440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2.00%)/M, Current Coupon 13.47%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Healthcare Equipment &amp; Supplies (4.74%)*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36,939 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Healthcare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ISAGENIX INTERNATIONAL,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155 E. Rivulon Blvd.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Gilbert, AZ 85297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 SOFR+4.10% PIK (Floor 1.00%)/Q, Current Coupon 11.93%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LIGHTNING INTERMEDIATE II,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10950 San Jose Blvd, Suite 288</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Jacksonville, FL 32223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23"/>
        <w:gridCol w:w="323"/>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1.00%)/S, Current Coupon 12.01%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21,703 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21,287 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21,287 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MICROBE FORMULAS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3750 East Pewter Falls Street, Suite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Meridian, ID 83642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1.00%)/M, Current Coupon 11.44%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Healthcare Products (4.07%)*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Healthcare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AAC NEW HOLDCO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Powell Place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Brentwood, TN 37027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18.00%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18.00%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CAVALIER BUYER,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445 Charles H Dimmock Pkwy, Ste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Colonial Heights, VA 23834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2.00%)/Q, Current Coupon 13.47%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CDC DENTAL MANAGEMENT 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3100 Zinfandel Dr. Ste 400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Rancho Cordova, CA 95670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2.00%)/Q, Current Coupon 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2.00%)/Q, Current Coupon 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CITYVET,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2727 Oak Lawn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Dallas, TX 75219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SOFR+7.00% (Floor 2.00%)/Q, Current Coupon 12.41%</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HH-INSPIRE ACQUISITION,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1010 South Federal Highway, Suite 1010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Delray Beach, FL 33483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SOFR+8.00% (Floor 2.00%)/Q, Current Coupon 13.44%</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2.00%)/Q, Current Coupon 13.43%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INSTITUTES OF HEALTH,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9246 Lightwave Ave, Suite 120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San Diego, CA 92123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2.00%)/Q, Current Coupon 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2.00%)/Q, Current Coupon 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NEUROPSYCHIATRIC HOSPITALS,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112 W. Jefferson Blvd, Suite 600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South Bend, IN 46601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1.00%)/Q, Current Coupon 12.95%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1.00%)/Q, Current Coupon 11.95%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1.00%)/Q, Current Coupon 13.95%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SOFR+10.00% (Floor 1.00%)/Q, Current Coupon 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36,432 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36,932 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ROSELAND MANAGEMENT,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2737 S Broadway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Tyler, TX 75701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2.00%)/Q, Current Coupon 12.45%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76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68"/>
        <w:gridCol w:w="368"/>
        <w:gridCol w:w="236"/>
        <w:gridCol w:w="109"/>
        <w:gridCol w:w="109"/>
        <w:gridCol w:w="109"/>
        <w:gridCol w:w="368"/>
        <w:gridCol w:w="368"/>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SPECTRUM OF HOPE,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11820 Cypress Corner Lane, Ste. B</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Houston, TX 77065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1.00%)/Q, Current Coupon 13.95%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TALKNY MANAGEMENT HOLDINGS,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16 Sumner Pl.</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Brooklyn, NY 11206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3.00%)/Q, Current Coupon 12.35%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VERSICARE MANAGEMENT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210 Town Center Drive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Troy, MI 48084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SOFR+8.00% (Floor 1.00%)/Q, Current Coupon 13.58%</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8/18/2027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1.00%)/Q, Current Coupon 14.56%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Healthcare Services (22.70%)*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180,232 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176,489 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Industrial Machinery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C&amp;M CONVEYOR,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446 E 131st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Cleveland, OH 44108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 - Term Loan A</w:t>
            </w:r>
            <w:r>
              <w:rPr>
                <w:rFonts w:ascii="Times New Roman;serif" w:hAnsi="Times New Roman;serif"/>
                <w:b w:val="false"/>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SOFR+5.50% (Floor 1.50%)/M, Current Coupon 10.94%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 - Term Loan B</w:t>
            </w:r>
            <w:r>
              <w:rPr>
                <w:rFonts w:ascii="Times New Roman;serif" w:hAnsi="Times New Roman;serif"/>
                <w:b w:val="false"/>
                <w:color w:val="000000"/>
                <w:sz w:val="1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1.50%)/M, Current Coupon 12.94%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SUREKAP,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579 Barrow Park Dr.</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Winder, GA 30680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SOFR+5.00% (Floor 1.50%)/Q, Current Coupon 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1.50%)/Q, Current Coupon 12.35%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SYSTEC CORPORATION</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3245 N Mitthoefer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Indianapolis, IN 46235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SOFR+ 8.00% (Floor 1.00%)/Q, Current Coupon 13.46%</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Industrial Machinery (5.01%)*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38,946 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38,952 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Industrial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DAMOTECH INC.</w:t>
            </w:r>
            <w:r>
              <w:rPr>
                <w:rFonts w:ascii="Times New Roman;serif" w:hAnsi="Times New Roman;serif"/>
                <w:b/>
                <w:color w:val="000000"/>
                <w:sz w:val="10"/>
              </w:rPr>
              <w:t>9,22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3620 Ave. des Grande Tourelles Boisbriand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Qc J7H 0A1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SOFR+5.75% (Floor 2.00%)/Q, Current Coupon 11.20%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SOFR+7.75% (Floor 2.00%)/Q, Current Coupon 13.20%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SOFR+6.75% (Floor 2.00%)/Q, Current Coupon 12.20%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GPT INDUSTRIES,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4990 N Iris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Wheat Ridge, CO 80033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2.00%)/Q, Current Coupon 13.56%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LLFLEX,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1225 W Burnett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Louisville, KY 40210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0.50% PIK (Floor 1.00%)/Q, Current Coupon 14.95%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8/16/2021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Industrial Products (3.65%)*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Industrial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BP LOENBRO HOLDINGS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7401 Church Ranch Blvd, Suite 210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Westminster, CO 80021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SOFR+6.00% (Floor 1.50%)/M, Current Coupon 11.44%</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1.50%)/Q, Current Coupon 11.43%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Industrial Services (1.33%)*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10,129 </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10,343 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Media &amp;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360 QUOTE TOPCO,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3853 Northdale Blvd, Suite 373</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Tampa, FL 33624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(Floor 1.00%)/Q, Current Coupon 11.98%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SOFR+6.50%, 3.00% PIK (Floor 1.00%)/Q, Current Coupon 14.98%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23,687 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ACCELERATION,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1875 Century Park E, Suite 1200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 Angeles, CA 90067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SOFR+8.75% (Floor 1.00%)/Q, Current Coupon 14.34%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SOFR+7.75% (Floor 1.00%)/Q, Current Coupon 13.31%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SOFR+8.75% (Floor 1.00%)/Q, Current Coupon 14.31%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SOFR+9.75% (Floor 1.00%)/Q, Current Coupon 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27,236 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ACCELERATION PARTNERS,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16 Rae Avenue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Needham, MA 02492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SOFR+8.10% (Floor 1.00%)/Q, Current Coupon 13.55%</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BOND BRAND LOYALTY ULC</w:t>
            </w:r>
            <w:r>
              <w:rPr>
                <w:rFonts w:ascii="Times New Roman;serif" w:hAnsi="Times New Roman;serif"/>
                <w:b/>
                <w:color w:val="000000"/>
                <w:sz w:val="10"/>
              </w:rPr>
              <w:t>9,22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25 King Street West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Commerce Court, 20th Floor</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Toronto, Ontario, M5L 2AI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2.00%)/Q, Current Coupon 11.45%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2.00%)/Q, Current Coupon 13.45%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EXACT BORROWER,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16 Division Street West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Greenwich, CT 06830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76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68"/>
        <w:gridCol w:w="368"/>
        <w:gridCol w:w="236"/>
        <w:gridCol w:w="109"/>
        <w:gridCol w:w="109"/>
        <w:gridCol w:w="109"/>
        <w:gridCol w:w="380"/>
        <w:gridCol w:w="356"/>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2.00%)/Q, Current Coupon 12.95%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2.00%)/Q, Current Coupon 12.95%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2.00%)/Q, Current Coupon 12.95%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IGNITE VISIBILITY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4520 Executive Square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 Jolla, CA 92037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SOFR+5.00% (Floor 1.50%)/M, Current Coupon 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1.50%)/M, Current Coupon 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Media &amp; Marketing (14.70%)*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118,562 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114,270 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Movies &amp;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CRAFTY APES,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127 Lomita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El Segundo, CA 90245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SOFR+9.25% PIK (Floor 1.00%)/M, Current Coupon 14.59%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Movies &amp; Entertainment (2.01%)*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LGM PHARMA,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2758 Circleport Dr.</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Erlanger, KY 41018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1.00%)/M, Current Coupon 12.43%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1.00%)/M, Current Coupon 14.43%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1.00%)/M, Current Coupon 13.43%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1.00%)/M, Current Coupon 13.43%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3/16/2018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18,733 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STATINMED,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5360 Legacy Dr. Ste 120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Plano, TX 75024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SOFR+9.50% PIK (Floor 2.00%)/M, Current Coupon 14.94%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Pharmaceuticals, Biotechnology &amp; Life Sciences (2.63%)*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26,293 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ONE GROUP,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717 6th Avenue NE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Decatur, AL 35601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SOFR+8.25% (Floor 1.00%)/M, Current Coupon 13.69%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SOFR+8.25%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SWENSONS DRIVE-IN RESTAURANTS,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680 E Cuyahoga Falls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Akron, OH 44310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SOFR+ 6.50% (Floor 2.00%)/Q, Current Coupon 11.80%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SOFR+8.50% (Floor 2.00%)/Q, Current Coupon 13.80%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Restaurants (3.27%)*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25,435 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Software &amp; IT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ACACIA BUYERCO V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60 East Rio Salado Parkway, Suite 900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Tempe, AZ 85281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CADMIUM,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19 Newport Drive, Suite 101</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Forest Hill, MD 21050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SOFR+0.00%, 8.00% PIK (Floor 1.00%)/Q, Current Coupon 13.60%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COREL, INC.</w:t>
            </w:r>
            <w:r>
              <w:rPr>
                <w:rFonts w:ascii="Times New Roman;serif" w:hAnsi="Times New Roman;serif"/>
                <w:b/>
                <w:color w:val="000000"/>
                <w:sz w:val="10"/>
              </w:rPr>
              <w:t>9,22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333 Preston St. Suite 700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Ottawa, ON, K18 5N4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SOFR+5.00% /Q, Current Coupon 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GRAMMATECH, INC.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6903 Rockledge Dr., Suite 820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Bethesda, MD 20817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SOFR+9.50% (Floor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SOFR+9.50% (Floor 2.00%)/Q, Current Coupon 14.95%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INFOGAIN CORPORATION</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485 Alberto Way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 Gatos, CA 95032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SOFR+5.75% (Floor 1.00%)/M, Current Coupon 11.19%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7/28/2028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ISI ENTERPRISES,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250 Exchange Place, Suite 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Herndon, VA 20170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ZENFOLIO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3515A Edison Way</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Menlo Park, CA 94025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1.00%)/Q, Current Coupon 14.45%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7/17/2017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(Floor 1.00%)/Q, Current Coupon 14.45%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7/17/2017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Software &amp; IT Services (7.18%)*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55,186 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55,814 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Specialty Chemicals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SOUTH COAST TERMINALS,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7402 Wallisville Road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Houston, TX 77020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SOFR+6.00% (Floor 1.00%)/M, Current Coupon 11.44%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Specialty Chemicals (1.85%)*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14,238 </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14,413 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Specialty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ATS OPERATING,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1900 Crestwood Blvd, Suite 302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Irondale, AL 35210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SOFR+6.50% (Floor 1.00%)/Q, Current Coupon 12.06%</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SOFR+5.50% (Floor 1.00%)/Q, Current Coupon 11.06%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SOFR+7.50% (Floor 1.00%)/Q, Current Coupon 13.06%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CATBIRD NYC,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108 N 7th 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Brooklyn, NY 11249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Specialty Retail (4.50%)*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34,951 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Technology Products &amp; Components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EMERALD TECHNOLOGIES (U.S.) ACQUISITIONCO,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2243 Lundy Avenue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San Jose, CA 95131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B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SOFR+6.25% (Floor 1.00%)/Q, Current Coupon 11.75%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TRAFERA, LLC (FKA TRINITY 3,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2550 University Ave W, Suite 315-S</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Saint Paul, MN 55114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First Lien</w:t>
            </w:r>
            <w:r>
              <w:rPr>
                <w:rFonts w:ascii="Times New Roman;serif" w:hAnsi="Times New Roman;serif"/>
                <w:b w:val="false"/>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SOFR+7.00% (Floor 1.00%)/Q, Current Coupon 12.45%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Unsecured convertible note</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Technology Products &amp; Components (1.12%)*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Telecommunications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BROAD SKY NETWORKS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745 Northwest Mount Washington Dr., Suite 300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Bend, OR 97701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Unsecured convertible note</w:t>
            </w:r>
            <w:r>
              <w:rPr>
                <w:rFonts w:ascii="Times New Roman;serif" w:hAnsi="Times New Roman;serif"/>
                <w:b w:val="false"/>
                <w:color w:val="000000"/>
                <w:sz w:val="10"/>
              </w:rPr>
              <w:t>9,10,13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20.00%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12/13/2028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LOGIX HOLDINGS COMPANY,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2950 North Loop West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Houston, TX 77092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P+4.75% (Floor 2.00%)/Q, Current Coupon 13.25%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MERCURY ACQUISITION 2021,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3033 Wilson Blvd, Suite 700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Arlington, VA 22201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1.00%)/Q, Current Coupon 13.56%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8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323"/>
        <w:gridCol w:w="323"/>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Second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SOFR+11.00% (Floor 1.00%)/Q, Current Coupon 16.56%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U.S. TELEPACIFIC CORP.</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303 Colorado St, Suite 2075</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Austin, TX 78701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 6.25% PIK (Floor 1.00%)/Q, Current Coupon 12.75%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Telecommunications (2.24%)*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17,407 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Transportation &amp; Logistics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EVEREST TRANSPORTATION SYSTEMS,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200 N La Salle St, Suite 2950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Chicago, IL 60601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(Floor 1.00%)/M, Current Coupon 13.44%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8/26/2026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GUARDIAN FLEET SERVICES,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4701 East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West Palm Beach, FL 33407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SOFR+7.25%, 1.75% PIK (Floor 2.50%)/Q, Current Coupon 14.45%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ITA HOLDINGS GROUP, LLC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4105 Tradewind St, Hangar #4</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Amarillo, TX 79118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Revolving Loan</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SOFR+9.00%, 2.00% PIK (Floor 2.00%)/Q, Current Coupon 16.45%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2.00% PIK (Floor 2.00%)/Q, Current Coupon 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 Term B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SOFR+10.00%, 2.00% PIK (Floor 2.00%)/Q, Current Coupon 17.45%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 - A</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SOFR+8.00%, 2.00% PIK (Floor 2.00%)/Q, Current Coupon 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Delayed Draw Term Loan - B</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SOFR+10.00%, 2.00% PIK (Floor 2.00%)/Q, Current Coupon 17.45%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28,416 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1146"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41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11"/>
        <w:gridCol w:w="437"/>
        <w:gridCol w:w="118"/>
        <w:gridCol w:w="109"/>
        <w:gridCol w:w="109"/>
        <w:gridCol w:w="109"/>
        <w:gridCol w:w="196"/>
        <w:gridCol w:w="871"/>
        <w:gridCol w:w="109"/>
        <w:gridCol w:w="109"/>
        <w:gridCol w:w="109"/>
        <w:gridCol w:w="109"/>
        <w:gridCol w:w="196"/>
        <w:gridCol w:w="87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LAB LOGISTICS,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1221 S Belt Line Rd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Coppell, TX 75019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SOFR+7.25% (Floor 1.00%)/M, Current Coupon 12.69%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Transportation &amp; Logistics (7.07%)*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Debt Investments (171.78%)*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Building &amp; Infrastructure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BRANDNER DESIGN, LLC</w:t>
            </w:r>
            <w:r>
              <w:rPr>
                <w:rFonts w:ascii="Times New Roman;serif" w:hAnsi="Times New Roman;serif"/>
                <w:b/>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27,000 Class A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Building &amp; Infrastructure Products (0.10%)*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Business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DYNAMIC COMMUNITIES,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250,000 Class A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5,435,211.03 Class B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255,984.22 Class C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2,500,000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FS VECTOR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 Common units</w:t>
            </w:r>
            <w:r>
              <w:rPr>
                <w:rFonts w:ascii="Times New Roman;serif" w:hAnsi="Times New Roman;serif"/>
                <w:b w:val="false"/>
                <w:color w:val="000000"/>
                <w:sz w:val="10"/>
              </w:rPr>
              <w:t>9,11,13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SPOTLIGHT AR,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750 Common Units</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US COURTSCRIPT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D-3 LP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211,862.61 Class D-4 LP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211,465.87 Class D-5 LP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Business Services (0.61%)*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ALLIANCE SPORTS GROUP,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3.88% membership preferred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 TRAK,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Warrants (Expiration - April 4, 2034)</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SHEARWATER RESEARCH, INC.</w:t>
            </w:r>
            <w:r>
              <w:rPr>
                <w:rFonts w:ascii="Times New Roman;serif" w:hAnsi="Times New Roman;serif"/>
                <w:b/>
                <w:color w:val="000000"/>
                <w:sz w:val="10"/>
              </w:rPr>
              <w:t>22</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10200 Shellbridge Way, Suite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Richmond, BC V6X 2W9,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1,200,000 Class A Preferred Units</w:t>
            </w:r>
            <w:r>
              <w:rPr>
                <w:rFonts w:ascii="Times New Roman;serif" w:hAnsi="Times New Roman;serif"/>
                <w:b w:val="false"/>
                <w:color w:val="000000"/>
                <w:sz w:val="10"/>
              </w:rPr>
              <w:t>9,11,13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40,000 Class A Common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TRU FRAGRANCE &amp; BEAUTY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Consumer Products (0.66%)*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AIR CONDITIONING SPECIALIST, INC.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1,006,045.85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40"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50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55"/>
        <w:gridCol w:w="255"/>
        <w:gridCol w:w="256"/>
        <w:gridCol w:w="109"/>
        <w:gridCol w:w="109"/>
        <w:gridCol w:w="109"/>
        <w:gridCol w:w="278"/>
        <w:gridCol w:w="278"/>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APPLE ROOFING ADMINISTRATIVE SERVICES, LLC (fka ROOF 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535,714.29 Class A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250,000 Class B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169,584.62 Class A-1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LIFT BRANDS,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1,051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POOL SERVICE PARTNERS, INC.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TMT BHC BUYER,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500,000.00 Class A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Consumer Services (0.86%)*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BINSWANGER HOLDING CORP.</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965 Ridge Lake Blvd, Suite 305</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Memphis, TN 38120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900,000 shares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Distribution (0.08%)*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STUDENT RESOURCE CENTER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10,502,487.46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2,000,000.00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WALL STREET PREP,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A-1 Preferred Shares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Education (0.26%)*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Environmental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ARBORWORKS,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 Class A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13,898.32 Class A-1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13,898.32 Class B-1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1,666.67 Class A-1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ISLAND PUMP AND TANK,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1,204,099.26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LIGHTING RETROFIT INTERNATIONAL,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208,333.3333 Series A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203,124.9999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Environmental Services (0.66%)*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NATIONAL CREDIT CARE,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191,049.33 Class A-3 Preferred units</w:t>
            </w:r>
            <w:r>
              <w:rPr>
                <w:rFonts w:ascii="Times New Roman;serif" w:hAnsi="Times New Roman;serif"/>
                <w:b w:val="false"/>
                <w:color w:val="000000"/>
                <w:sz w:val="10"/>
              </w:rPr>
              <w:t>9,11,13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NINJATRADER,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2,000,000 Preferred Units</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12/18/2019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Financial Services (2.40%)*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18,685 </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360"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41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55"/>
        <w:gridCol w:w="255"/>
        <w:gridCol w:w="256"/>
        <w:gridCol w:w="109"/>
        <w:gridCol w:w="109"/>
        <w:gridCol w:w="109"/>
        <w:gridCol w:w="278"/>
        <w:gridCol w:w="278"/>
        <w:gridCol w:w="236"/>
        <w:gridCol w:w="109"/>
        <w:gridCol w:w="109"/>
        <w:gridCol w:w="109"/>
        <w:gridCol w:w="288"/>
        <w:gridCol w:w="268"/>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Food, Agriculture &amp; Beverage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AMERICAN NUTS OPERATIONS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3,000,000 units of Class A common stock</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FOOD PHARMA SUBSIDIARY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75,000 Class A Units</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MAMMOTH BORROWCO,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A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MUENSTER MILLING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A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1,130,387.32 Class A-1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Food, Agriculture &amp; Beverage (0.52%)*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Healthcare Equipment &amp;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CENTRAL MEDICAL SUPPLY LLC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2,620,670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COMMAND GROUP ACQUISITION,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1,250,000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LKC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A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SCRIP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Healthcare Equipment &amp; Supplies (0.60%)*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Healthcare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LIGHTNING INTERMEDIATE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0.42% LLC interest</w:t>
            </w:r>
            <w:r>
              <w:rPr>
                <w:rFonts w:ascii="Times New Roman;serif" w:hAnsi="Times New Roman;serif"/>
                <w:b w:val="false"/>
                <w:color w:val="000000"/>
                <w:sz w:val="10"/>
              </w:rPr>
              <w:t>9,11,13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Healthcare Products (0.03%)*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Healthcare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AAC NEW HOLDCO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617,803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(Expiration - December 11,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ASC ORTHO MANAGEMENT COMPANY,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10215 Fernwood Rd. Ste 506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Bethesda, MD 20817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2,572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8/31/2018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CAVALIER BUYER,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780,413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780,413 Class A-1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CDC DENTAL MANAGEMENT 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1,568.70 Class Y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DELPHI LENDER HOLDCO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4421 N Oakland Ave 201</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Milwaukee, WI 53211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254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HH-INSPIRE ACQUISITION,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108,211.42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INSTITUTES OF HEALTH,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 Class A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450"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2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55"/>
        <w:gridCol w:w="255"/>
        <w:gridCol w:w="256"/>
        <w:gridCol w:w="109"/>
        <w:gridCol w:w="109"/>
        <w:gridCol w:w="109"/>
        <w:gridCol w:w="323"/>
        <w:gridCol w:w="323"/>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OPCO BORROWER,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1050 East Flamingo Rd, Suite R-180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Las Vegas, NV 89119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1,111.11 shares of common stock</w:t>
            </w:r>
            <w:r>
              <w:rPr>
                <w:rFonts w:ascii="Times New Roman;serif" w:hAnsi="Times New Roman;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ROSELAND MANAGEMENT, LLC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3,364 Class A-2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1,100 Class A-1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16,084 Class A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SPECTRUM OF HOPE,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1,110,081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TALKNY MANAGEMENT HOLDINGS,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1,500,000 Class A-1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Healthcare Services (0.93%)*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Industrial Machinery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SUREKAP,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413,223.14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Industrial Machinery (0.06%)*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Industrial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DAMOTECH INC.</w:t>
            </w:r>
            <w:r>
              <w:rPr>
                <w:rFonts w:ascii="Times New Roman;serif" w:hAnsi="Times New Roman;serif"/>
                <w:b/>
                <w:color w:val="000000"/>
                <w:sz w:val="1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1,127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1,127 Class A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GPT INDUSTRIES, LLC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A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THE PRODUCTO GROUP,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2980 Turner Road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Jamestown, NY 14701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1,500,000 Class A units</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Industrial Products (1.94%)*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15,067 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Media &amp;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ACCELERATION,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13,451.22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1,611.22 Common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ACCELERATION PARTNERS,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1,019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1,019 Class A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BOND BRAND LOYALTY ULC</w:t>
            </w:r>
            <w:r>
              <w:rPr>
                <w:rFonts w:ascii="Times New Roman;serif" w:hAnsi="Times New Roman;serif"/>
                <w:b/>
                <w:color w:val="000000"/>
                <w:sz w:val="1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 Class A common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EXACT BORROWER,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615.156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IGNITE VISIBILITY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833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833 Class A Common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10"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470"/>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55"/>
        <w:gridCol w:w="255"/>
        <w:gridCol w:w="256"/>
        <w:gridCol w:w="109"/>
        <w:gridCol w:w="109"/>
        <w:gridCol w:w="109"/>
        <w:gridCol w:w="278"/>
        <w:gridCol w:w="278"/>
        <w:gridCol w:w="236"/>
        <w:gridCol w:w="109"/>
        <w:gridCol w:w="109"/>
        <w:gridCol w:w="109"/>
        <w:gridCol w:w="334"/>
        <w:gridCol w:w="312"/>
        <w:gridCol w:w="263"/>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INFOLINKS MEDIA BUYCO,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 North Maple Avenue, Suite 1</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Ridgewood, NJ 07450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1.67% LP interest</w:t>
            </w:r>
            <w:r>
              <w:rPr>
                <w:rFonts w:ascii="Times New Roman;serif" w:hAnsi="Times New Roman;serif"/>
                <w:b w:val="false"/>
                <w:color w:val="000000"/>
                <w:sz w:val="10"/>
              </w:rPr>
              <w:t>9,10,11,13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OUTERBOX,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175 Montrose W Ave</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Copley, OH 44321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11,008.6744 Class A common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SONOBI, INC.</w:t>
            </w:r>
            <w:r>
              <w:rPr>
                <w:rFonts w:ascii="Times New Roman;serif" w:hAnsi="Times New Roman;serif"/>
                <w:b/>
                <w:color w:val="000000"/>
                <w:sz w:val="10"/>
              </w:rPr>
              <w:t>6</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444 W New England Ave, Suite 220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Winter Park, FL 32789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500,000 Class A Common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9/17/2020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VISTAR MEDIA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1420 Walnut Street</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Philadelphia, PA 19102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171,617 shares of Series A preferred stock</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Media &amp; Marketing (2.36%)*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LGM PHARMA,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161,825.84 units of Class A common stock</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STATINMED, LLC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4,718.62 Class A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39,097.96 Class B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Pharmaceuticals, Biotechnology &amp; Life Sciences (0.75%)*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Software &amp; IT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ACACIA BUYERCO 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B-2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GRAMMATECH, INC.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1,000 Class A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360.06 Class A-1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ISI ENTERPRISES,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1,000,000 Series A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166,667 Series A-1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VTX HOLDINGS, INC.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250 E Arapaho Rd., Suite 100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Richardson, TX 75081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1,597,707 Series A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7/23/2019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Software &amp; IT Services (0.80%)*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Specialty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ATS OPERATING,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CATBIRD NYC, LLC</w:t>
            </w:r>
            <w:r>
              <w:rPr>
                <w:rFonts w:ascii="Times New Roman;serif" w:hAnsi="Times New Roman;serif"/>
                <w:b/>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1,000,000 Class A units</w:t>
            </w:r>
            <w:r>
              <w:rPr>
                <w:rFonts w:ascii="Times New Roman;serif" w:hAnsi="Times New Roman;serif"/>
                <w:b w:val="false"/>
                <w:color w:val="000000"/>
                <w:sz w:val="10"/>
              </w:rPr>
              <w:t>9,11,13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500,000 Class B units</w:t>
            </w:r>
            <w:r>
              <w:rPr>
                <w:rFonts w:ascii="Times New Roman;serif" w:hAnsi="Times New Roman;serif"/>
                <w:b w:val="false"/>
                <w:color w:val="000000"/>
                <w:sz w:val="10"/>
              </w:rPr>
              <w:t>9,10,11,13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Specialty Retail (0.48%)*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3,758 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1071" w:type="dxa"/>
        <w:jc w:val="left"/>
        <w:tblInd w:w="0" w:type="dxa"/>
        <w:tblLayout w:type="fixed"/>
        <w:tblCellMar>
          <w:top w:w="28" w:type="dxa"/>
          <w:left w:w="28" w:type="dxa"/>
          <w:bottom w:w="28" w:type="dxa"/>
          <w:right w:w="28" w:type="dxa"/>
        </w:tblCellMar>
      </w:tblPr>
      <w:tblGrid>
        <w:gridCol w:w="783"/>
        <w:gridCol w:w="688"/>
        <w:gridCol w:w="690"/>
        <w:gridCol w:w="109"/>
        <w:gridCol w:w="109"/>
        <w:gridCol w:w="109"/>
        <w:gridCol w:w="109"/>
        <w:gridCol w:w="335"/>
        <w:gridCol w:w="320"/>
        <w:gridCol w:w="321"/>
        <w:gridCol w:w="109"/>
        <w:gridCol w:w="109"/>
        <w:gridCol w:w="109"/>
        <w:gridCol w:w="230"/>
        <w:gridCol w:w="230"/>
        <w:gridCol w:w="231"/>
        <w:gridCol w:w="109"/>
        <w:gridCol w:w="109"/>
        <w:gridCol w:w="109"/>
        <w:gridCol w:w="305"/>
        <w:gridCol w:w="305"/>
        <w:gridCol w:w="306"/>
        <w:gridCol w:w="109"/>
        <w:gridCol w:w="109"/>
        <w:gridCol w:w="109"/>
        <w:gridCol w:w="255"/>
        <w:gridCol w:w="255"/>
        <w:gridCol w:w="256"/>
        <w:gridCol w:w="109"/>
        <w:gridCol w:w="109"/>
        <w:gridCol w:w="109"/>
        <w:gridCol w:w="255"/>
        <w:gridCol w:w="255"/>
        <w:gridCol w:w="256"/>
        <w:gridCol w:w="109"/>
        <w:gridCol w:w="109"/>
        <w:gridCol w:w="109"/>
        <w:gridCol w:w="196"/>
        <w:gridCol w:w="871"/>
        <w:gridCol w:w="109"/>
        <w:gridCol w:w="109"/>
        <w:gridCol w:w="109"/>
        <w:gridCol w:w="109"/>
        <w:gridCol w:w="196"/>
        <w:gridCol w:w="87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Portfolio Company</w:t>
            </w:r>
            <w:r>
              <w:rPr>
                <w:rFonts w:ascii="Times New Roman;serif" w:hAnsi="Times New Roman;serif"/>
                <w:b/>
                <w:color w:val="000000"/>
                <w:sz w:val="10"/>
              </w:rPr>
              <w:t>1,5,6,7,18,21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Type of Investment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Current Interest Rate</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Acquisition Date</w:t>
            </w:r>
            <w:r>
              <w:rPr>
                <w:rFonts w:ascii="Times New Roman;serif" w:hAnsi="Times New Roman;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w:t>
            </w:r>
            <w:r>
              <w:rPr>
                <w:rFonts w:ascii="Times New Roman;serif" w:hAnsi="Times New Roman;serif"/>
                <w:b/>
                <w:color w:val="000000"/>
                <w:sz w:val="10"/>
              </w:rPr>
              <w:t>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Fair Value</w:t>
            </w:r>
            <w:r>
              <w:rPr>
                <w:rFonts w:ascii="Times New Roman;serif" w:hAnsi="Times New Roman;serif"/>
                <w:b/>
                <w:color w:val="000000"/>
                <w:sz w:val="10"/>
              </w:rPr>
              <w:t>4</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Technology Products &amp; 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FLIP ELECTRONICS, LLC</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6520 Corporate Ct., Suite 300</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Alpharetta, GA 30005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2,446,170 Common Units</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TRAFERA, LLC (FKA TRINITY 3,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896.43 Class A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Technology Products &amp; Components (1.10%)*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Telecommunications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BROAD SKY NETWORKS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1,131,579 Series A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89,335 Series C Preferred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93,790 Series D Preferred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MERCURY ACQUISITION 2021,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12,059,033 Series A Units</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Telecommunications (0.23%)*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Transportation &amp; Logistics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GUARDIAN FLEET SERVICES,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1,500,000 Class A Units</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Warrants (Expiration - February 10, 2033)</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Warrants (Expiration - November 30, 2033)</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Warrants (Expiration - January 24, 2034)</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ITA HOLDINGS GROUP, LLC</w:t>
            </w:r>
            <w:r>
              <w:rPr>
                <w:rFonts w:ascii="Times New Roman;serif" w:hAnsi="Times New Roman;serif"/>
                <w:b/>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Warrants (Expiration - March 29, 2029)</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3/29/2019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Warrants (Expiration - June 21, 2033)</w:t>
            </w:r>
            <w:r>
              <w:rPr>
                <w:rFonts w:ascii="Times New Roman;serif" w:hAnsi="Times New Roman;serif"/>
                <w:b w:val="false"/>
                <w:color w:val="000000"/>
                <w:sz w:val="1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9.25% Class A Membership Interest</w:t>
            </w:r>
            <w:r>
              <w:rPr>
                <w:rFonts w:ascii="Times New Roman;serif" w:hAnsi="Times New Roman;serif"/>
                <w:b w:val="false"/>
                <w:color w:val="000000"/>
                <w:sz w:val="10"/>
              </w:rPr>
              <w:t>9,11,13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2/14/2018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Subtotal: Transportation &amp; Logistics (1.66%)*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Equity Investments (17.09%)*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Investments (188.87%)*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1,484,078 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1,468,126 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*Value as a percent of net assets. All amounts are stated in U.S. Dollars. </w:t>
      </w:r>
    </w:p>
    <w:p>
      <w:pPr>
        <w:pStyle w:val="TextBody"/>
        <w:bidi w:val="0"/>
        <w:spacing w:before="0" w:after="0"/>
        <w:jc w:val="left"/>
        <w:rPr/>
      </w:pPr>
      <w:r>
        <w:rPr/>
      </w:r>
    </w:p>
    <w:p>
      <w:pPr>
        <w:pStyle w:val="TextBody"/>
        <w:bidi w:val="0"/>
        <w:spacing w:lineRule="auto" w:line="312" w:before="0" w:after="16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All debt investments are income-producing, unless otherwise noted. Equity investments are non-income producing, unless otherwise noted.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16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All of the Company’s investments, the investments of SPV and the investments of SBIC I are pledged as collateral for the Company’s senior secured revolving credit facility, the SPV's financing credit facility or in support of the SBA-guaranteed debentures to be issued by SBIC I, the Company's wholly-owned subsidiary that operates as a small business investment company, respectively.</w:t>
      </w:r>
    </w:p>
    <w:p>
      <w:pPr>
        <w:pStyle w:val="TextBody"/>
        <w:bidi w:val="0"/>
        <w:spacing w:lineRule="auto" w:line="312" w:before="0" w:after="16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 xml:space="preserve">The majority of investments bear interest at a rate that may be determined by reference to Secured Overnight Financing Rate ("SOFR") or Prime (“P”) and reset daily (D), monthly (M), quarterly (Q), or semiannually (S). For each investment, the Company has provided the spread over SOFR or Prime and the current contractual interest rate in effect at June 30, 2024. Certain investments are subject to an interest rate floor. As noted, certain investments accrue payment-in-kind ("PIK") interest. SOFR based contracts may include a credit spread adjustment (the "Adjustment") that is charged in addition to the stated spread. The Adjustment is applied when the SOFR rate, plus the Adjustment, exceeds the stated floor rate, as applicable. As of June 30, 2024, SOFR based contracts in the portfolio had Adjustments ranging from 0.00% to 0.26161%. Refer to Note 4 — Fair Value Measurements to our unaudited consolidated financial statements in our most recent Quarterly Report on Form 10-Q for further discussion. </w:t>
      </w:r>
    </w:p>
    <w:p>
      <w:pPr>
        <w:pStyle w:val="TextBody"/>
        <w:bidi w:val="0"/>
        <w:spacing w:lineRule="auto" w:line="312" w:before="0" w:after="16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The Company's investment portfolio is comprised entirely of debt and equity securities of privately held companies for which quoted prices falling within the categories of Level 1 and Level 2 inputs are not readily available. Therefore, the Company values all of its portfolio investments at fair value, as determined in good faith by the valuation committee comprised of certain officers of the Company as the valuation designee of the Board of Directors pursuant to Rule 2a-5 under the Investment Company Act of 1940, as amended (the “1940 Act”), using significant unobservable Level 3 inputs. </w:t>
      </w:r>
    </w:p>
    <w:p>
      <w:pPr>
        <w:pStyle w:val="TextBody"/>
        <w:bidi w:val="0"/>
        <w:spacing w:lineRule="auto" w:line="312" w:before="0" w:after="16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Non-Control/Non-Affiliate investments are generally defined by the 1940 Act, as investments that are neither control investments nor affiliate investments. At June 30, 2024, the Company held $1,274.6 million of non-control/non-affiliate investments, which represented approximately 86.8% of the Company’s investment assets. The fair value of these investments as a percent of net assets is 164.0%.</w:t>
      </w:r>
    </w:p>
    <w:p>
      <w:pPr>
        <w:pStyle w:val="TextBody"/>
        <w:bidi w:val="0"/>
        <w:spacing w:lineRule="auto" w:line="312" w:before="0" w:after="160"/>
        <w:ind w:left="0" w:right="0" w:hanging="360"/>
        <w:jc w:val="both"/>
        <w:rPr/>
      </w:pPr>
      <w:r>
        <w:rPr>
          <w:rFonts w:ascii="Times New Roman;serif" w:hAnsi="Times New Roman;serif"/>
          <w:b w:val="false"/>
          <w:color w:val="000000"/>
          <w:sz w:val="12"/>
        </w:rPr>
        <w:t>6.</w:t>
      </w:r>
      <w:r>
        <w:rPr>
          <w:rFonts w:ascii="Times New Roman;serif" w:hAnsi="Times New Roman;serif"/>
          <w:b w:val="false"/>
          <w:color w:val="000000"/>
          <w:sz w:val="18"/>
        </w:rPr>
        <w:t>Affiliate investments are generally defined by the 1940 Act as investments in which between 5% and 25% of the voting securities are owned and the investments are not classified as control investments. At June 30, 2024, the Company held $184.2 million of affiliate investments, which represented approximately 12.6% of the Company’s investment assets. The fair value of these investments as a percent of net assets is 23.7%.</w:t>
      </w:r>
    </w:p>
    <w:p>
      <w:pPr>
        <w:pStyle w:val="TextBody"/>
        <w:bidi w:val="0"/>
        <w:spacing w:lineRule="auto" w:line="312" w:before="0" w:after="160"/>
        <w:ind w:left="0" w:right="0" w:hanging="360"/>
        <w:jc w:val="both"/>
        <w:rPr/>
      </w:pPr>
      <w:r>
        <w:rPr>
          <w:rFonts w:ascii="Times New Roman;serif" w:hAnsi="Times New Roman;serif"/>
          <w:b w:val="false"/>
          <w:color w:val="000000"/>
          <w:sz w:val="12"/>
        </w:rPr>
        <w:t>7.</w:t>
      </w:r>
      <w:r>
        <w:rPr>
          <w:rFonts w:ascii="Times New Roman;serif" w:hAnsi="Times New Roman;serif"/>
          <w:b w:val="false"/>
          <w:color w:val="000000"/>
          <w:sz w:val="18"/>
        </w:rPr>
        <w:t>Control investments are generally defined by the 1940 Act as investments in which more than 25% of the voting securities are owned. At June 30, 2024, the Company held $9.4 million of control investments, which represented approximately 0.6% of the Company's investment assets. The fair value of these investments as a percent of net assets is 1.2%.</w:t>
      </w:r>
    </w:p>
    <w:p>
      <w:pPr>
        <w:pStyle w:val="TextBody"/>
        <w:bidi w:val="0"/>
        <w:spacing w:lineRule="auto" w:line="312" w:before="0" w:after="160"/>
        <w:ind w:left="0" w:right="0" w:hanging="360"/>
        <w:jc w:val="both"/>
        <w:rPr/>
      </w:pPr>
      <w:r>
        <w:rPr>
          <w:rFonts w:ascii="Times New Roman;serif" w:hAnsi="Times New Roman;serif"/>
          <w:b w:val="false"/>
          <w:color w:val="000000"/>
          <w:sz w:val="12"/>
        </w:rPr>
        <w:t>8.</w:t>
      </w:r>
      <w:r>
        <w:rPr>
          <w:rFonts w:ascii="Times New Roman;serif" w:hAnsi="Times New Roman;serif"/>
          <w:b w:val="false"/>
          <w:color w:val="000000"/>
          <w:sz w:val="18"/>
        </w:rPr>
        <w:t>The investment is structured as a first lien last out term loan.</w:t>
      </w:r>
    </w:p>
    <w:p>
      <w:pPr>
        <w:pStyle w:val="TextBody"/>
        <w:bidi w:val="0"/>
        <w:spacing w:lineRule="auto" w:line="312" w:before="0" w:after="160"/>
        <w:ind w:left="0" w:right="0" w:hanging="360"/>
        <w:jc w:val="both"/>
        <w:rPr/>
      </w:pPr>
      <w:r>
        <w:rPr>
          <w:rFonts w:ascii="Times New Roman;serif" w:hAnsi="Times New Roman;serif"/>
          <w:b w:val="false"/>
          <w:color w:val="000000"/>
          <w:sz w:val="12"/>
        </w:rPr>
        <w:t>9.</w:t>
      </w:r>
      <w:r>
        <w:rPr>
          <w:rFonts w:ascii="Times New Roman;serif" w:hAnsi="Times New Roman;serif"/>
          <w:b w:val="false"/>
          <w:color w:val="000000"/>
          <w:sz w:val="18"/>
        </w:rPr>
        <w:t>Indicates assets that are not considered "qualifying assets" under Section 55(a) of the 1940 Act. Qualifying assets must represent at least 70% of total assets at the time of acquisition of any additional non-qualifying assets. As of June 30, 2024, approximately 10.9% of the Company's total assets (at fair value) were non-qualifying assets.</w:t>
      </w:r>
    </w:p>
    <w:p>
      <w:pPr>
        <w:pStyle w:val="TextBody"/>
        <w:bidi w:val="0"/>
        <w:spacing w:lineRule="auto" w:line="312" w:before="0" w:after="160"/>
        <w:ind w:left="0" w:right="0" w:hanging="360"/>
        <w:jc w:val="both"/>
        <w:rPr/>
      </w:pPr>
      <w:r>
        <w:rPr>
          <w:rFonts w:ascii="Times New Roman;serif" w:hAnsi="Times New Roman;serif"/>
          <w:b w:val="false"/>
          <w:color w:val="000000"/>
          <w:sz w:val="12"/>
        </w:rPr>
        <w:t>10.</w:t>
      </w:r>
      <w:r>
        <w:rPr>
          <w:rFonts w:ascii="Times New Roman;serif" w:hAnsi="Times New Roman;serif"/>
          <w:b w:val="false"/>
          <w:color w:val="000000"/>
          <w:sz w:val="18"/>
        </w:rPr>
        <w:t>The investment has an unfunded commitment as of June 30, 2024. Refer to Note 10 - Commitments and Contingencies to our unaudited consolidated financial statements in our most recent Quarterly Report on Form 10-Q for further discussion.</w:t>
      </w:r>
    </w:p>
    <w:p>
      <w:pPr>
        <w:pStyle w:val="TextBody"/>
        <w:bidi w:val="0"/>
        <w:spacing w:lineRule="auto" w:line="312" w:before="0" w:after="160"/>
        <w:ind w:left="0" w:right="0" w:hanging="360"/>
        <w:jc w:val="both"/>
        <w:rPr/>
      </w:pPr>
      <w:r>
        <w:rPr>
          <w:rFonts w:ascii="Times New Roman;serif" w:hAnsi="Times New Roman;serif"/>
          <w:b w:val="false"/>
          <w:color w:val="000000"/>
          <w:sz w:val="12"/>
        </w:rPr>
        <w:t>11.</w:t>
      </w:r>
      <w:r>
        <w:rPr>
          <w:rFonts w:ascii="Times New Roman;serif" w:hAnsi="Times New Roman;serif"/>
          <w:b w:val="false"/>
          <w:color w:val="000000"/>
          <w:sz w:val="18"/>
        </w:rPr>
        <w:t>Income producing through dividends or distributions.</w:t>
      </w:r>
    </w:p>
    <w:p>
      <w:pPr>
        <w:pStyle w:val="TextBody"/>
        <w:bidi w:val="0"/>
        <w:spacing w:lineRule="auto" w:line="312" w:before="0" w:after="160"/>
        <w:ind w:left="0" w:right="0" w:hanging="360"/>
        <w:jc w:val="both"/>
        <w:rPr/>
      </w:pPr>
      <w:r>
        <w:rPr>
          <w:rFonts w:ascii="Times New Roman;serif" w:hAnsi="Times New Roman;serif"/>
          <w:b w:val="false"/>
          <w:color w:val="000000"/>
          <w:sz w:val="12"/>
        </w:rPr>
        <w:t>12.</w:t>
      </w:r>
      <w:r>
        <w:rPr>
          <w:rFonts w:ascii="Times New Roman;serif" w:hAnsi="Times New Roman;serif"/>
          <w:b w:val="false"/>
          <w:color w:val="000000"/>
          <w:sz w:val="18"/>
        </w:rPr>
        <w:t>As of June 30, 2024, the cumulative gross unrealized appreciation for U.S. federal income tax purposes was approximately $98.0 million; cumulative gross unrealized depreciation for federal income tax purposes was $111.3 million. Cumulative net unrealized depreciation was $13.3 million, based on a tax cost of $1,475.7 million.</w:t>
      </w:r>
    </w:p>
    <w:p>
      <w:pPr>
        <w:pStyle w:val="TextBody"/>
        <w:bidi w:val="0"/>
        <w:spacing w:lineRule="auto" w:line="312" w:before="0" w:after="160"/>
        <w:ind w:left="0" w:right="0" w:hanging="360"/>
        <w:jc w:val="both"/>
        <w:rPr/>
      </w:pPr>
      <w:r>
        <w:rPr>
          <w:rFonts w:ascii="Times New Roman;serif" w:hAnsi="Times New Roman;serif"/>
          <w:b w:val="false"/>
          <w:color w:val="000000"/>
          <w:sz w:val="12"/>
        </w:rPr>
        <w:t>13.</w:t>
      </w:r>
      <w:r>
        <w:rPr>
          <w:rFonts w:ascii="Times New Roman;serif" w:hAnsi="Times New Roman;serif"/>
          <w:b w:val="false"/>
          <w:color w:val="000000"/>
          <w:sz w:val="18"/>
        </w:rPr>
        <w:t>Investment is held through a wholly-owned taxable subsidiary that has elected to be treated as a corporation for U.S. federal income tax purposes. Refer to Prospectus Summary - Organization in this Prospectus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160"/>
        <w:ind w:left="0" w:right="0" w:hanging="360"/>
        <w:jc w:val="both"/>
        <w:rPr/>
      </w:pPr>
      <w:r>
        <w:rPr>
          <w:rFonts w:ascii="Times New Roman;serif" w:hAnsi="Times New Roman;serif"/>
          <w:b w:val="false"/>
          <w:color w:val="000000"/>
          <w:sz w:val="12"/>
        </w:rPr>
        <w:t>14.</w:t>
      </w:r>
      <w:r>
        <w:rPr>
          <w:rFonts w:ascii="Times New Roman;serif" w:hAnsi="Times New Roman;serif"/>
          <w:b w:val="false"/>
          <w:color w:val="000000"/>
          <w:sz w:val="18"/>
        </w:rPr>
        <w:t>The Company generally acquires its investments in private transactions exempt from registration under the Securities Act of 1933. These investments, which, as of June 30, 2024, represented 188.9% of the Company's net assets or 95.1% of the Company's total assets, are generally subject to certain limitations on resale, and may be deemed "restricted securities" under the Securities Act.</w:t>
      </w:r>
    </w:p>
    <w:p>
      <w:pPr>
        <w:pStyle w:val="TextBody"/>
        <w:bidi w:val="0"/>
        <w:spacing w:lineRule="auto" w:line="312" w:before="0" w:after="160"/>
        <w:ind w:left="0" w:right="0" w:hanging="360"/>
        <w:jc w:val="both"/>
        <w:rPr/>
      </w:pPr>
      <w:r>
        <w:rPr>
          <w:rFonts w:ascii="Times New Roman;serif" w:hAnsi="Times New Roman;serif"/>
          <w:b w:val="false"/>
          <w:color w:val="000000"/>
          <w:sz w:val="12"/>
        </w:rPr>
        <w:t>15.</w:t>
      </w:r>
      <w:r>
        <w:rPr>
          <w:rFonts w:ascii="Times New Roman;serif" w:hAnsi="Times New Roman;serif"/>
          <w:b w:val="false"/>
          <w:color w:val="000000"/>
          <w:sz w:val="18"/>
        </w:rPr>
        <w:t>The investment is structured as a split lien term loan, which provides the Company with a first lien priority on certain assets of the obligor and a second lien priority on different assets of the obligor.</w:t>
      </w:r>
    </w:p>
    <w:p>
      <w:pPr>
        <w:pStyle w:val="TextBody"/>
        <w:bidi w:val="0"/>
        <w:spacing w:lineRule="auto" w:line="312" w:before="0" w:after="160"/>
        <w:ind w:left="0" w:right="0" w:hanging="360"/>
        <w:jc w:val="both"/>
        <w:rPr/>
      </w:pPr>
      <w:r>
        <w:rPr>
          <w:rFonts w:ascii="Times New Roman;serif" w:hAnsi="Times New Roman;serif"/>
          <w:b w:val="false"/>
          <w:color w:val="000000"/>
          <w:sz w:val="12"/>
        </w:rPr>
        <w:t>16.</w:t>
      </w:r>
      <w:r>
        <w:rPr>
          <w:rFonts w:ascii="Times New Roman;serif" w:hAnsi="Times New Roman;serif"/>
          <w:b w:val="false"/>
          <w:color w:val="000000"/>
          <w:sz w:val="18"/>
        </w:rPr>
        <w:t>Investment is on non-accrual status as of June 30, 2024, meaning the Company has ceased to recognize interest income on the investment.</w:t>
      </w:r>
    </w:p>
    <w:p>
      <w:pPr>
        <w:pStyle w:val="TextBody"/>
        <w:bidi w:val="0"/>
        <w:spacing w:lineRule="auto" w:line="312" w:before="0" w:after="160"/>
        <w:ind w:left="0" w:right="0" w:hanging="360"/>
        <w:jc w:val="both"/>
        <w:rPr/>
      </w:pPr>
      <w:r>
        <w:rPr>
          <w:rFonts w:ascii="Times New Roman;serif" w:hAnsi="Times New Roman;serif"/>
          <w:b w:val="false"/>
          <w:color w:val="000000"/>
          <w:sz w:val="12"/>
        </w:rPr>
        <w:t>17.</w:t>
      </w:r>
      <w:r>
        <w:rPr>
          <w:rFonts w:ascii="Times New Roman;serif" w:hAnsi="Times New Roman;serif"/>
          <w:b w:val="false"/>
          <w:color w:val="000000"/>
          <w:sz w:val="18"/>
        </w:rPr>
        <w:t>Negative cost in this column represents the original issue discount of certain undrawn revolvers and delayed draw term loans.</w:t>
      </w:r>
    </w:p>
    <w:p>
      <w:pPr>
        <w:pStyle w:val="TextBody"/>
        <w:bidi w:val="0"/>
        <w:spacing w:lineRule="auto" w:line="312" w:before="0" w:after="160"/>
        <w:ind w:left="0" w:right="0" w:hanging="360"/>
        <w:jc w:val="both"/>
        <w:rPr/>
      </w:pPr>
      <w:r>
        <w:rPr>
          <w:rFonts w:ascii="Times New Roman;serif" w:hAnsi="Times New Roman;serif"/>
          <w:b w:val="false"/>
          <w:color w:val="000000"/>
          <w:sz w:val="12"/>
        </w:rPr>
        <w:t>18.</w:t>
      </w:r>
      <w:r>
        <w:rPr>
          <w:rFonts w:ascii="Times New Roman;serif" w:hAnsi="Times New Roman;serif"/>
          <w:b w:val="false"/>
          <w:color w:val="000000"/>
          <w:sz w:val="18"/>
        </w:rPr>
        <w:t>Equity ownership may be held in shares or units of a company that is either wholly owned by the portfolio company or under common control by the same parent company to the portfolio company.</w:t>
      </w:r>
    </w:p>
    <w:p>
      <w:pPr>
        <w:pStyle w:val="TextBody"/>
        <w:bidi w:val="0"/>
        <w:spacing w:lineRule="auto" w:line="312" w:before="0" w:after="160"/>
        <w:ind w:left="0" w:right="0" w:hanging="360"/>
        <w:jc w:val="both"/>
        <w:rPr/>
      </w:pPr>
      <w:r>
        <w:rPr>
          <w:rFonts w:ascii="Times New Roman;serif" w:hAnsi="Times New Roman;serif"/>
          <w:b w:val="false"/>
          <w:color w:val="000000"/>
          <w:sz w:val="12"/>
        </w:rPr>
        <w:t>19.</w:t>
      </w:r>
      <w:r>
        <w:rPr>
          <w:rFonts w:ascii="Times New Roman;serif" w:hAnsi="Times New Roman;serif"/>
          <w:b w:val="false"/>
          <w:color w:val="000000"/>
          <w:sz w:val="18"/>
        </w:rPr>
        <w:t>The investment is structured as a first lien first out term loan.</w:t>
      </w:r>
    </w:p>
    <w:p>
      <w:pPr>
        <w:pStyle w:val="TextBody"/>
        <w:bidi w:val="0"/>
        <w:spacing w:lineRule="auto" w:line="312" w:before="0" w:after="160"/>
        <w:ind w:left="0" w:right="0" w:hanging="360"/>
        <w:jc w:val="both"/>
        <w:rPr/>
      </w:pPr>
      <w:r>
        <w:rPr>
          <w:rFonts w:ascii="Times New Roman;serif" w:hAnsi="Times New Roman;serif"/>
          <w:b w:val="false"/>
          <w:color w:val="000000"/>
          <w:sz w:val="12"/>
        </w:rPr>
        <w:t>20.</w:t>
      </w:r>
      <w:r>
        <w:rPr>
          <w:rFonts w:ascii="Times New Roman;serif" w:hAnsi="Times New Roman;serif"/>
          <w:b w:val="false"/>
          <w:color w:val="000000"/>
          <w:sz w:val="18"/>
        </w:rPr>
        <w:t>The rate presented represents a weighted average rate for borrowings under the facility as of June 30, 2024.</w:t>
      </w:r>
    </w:p>
    <w:p>
      <w:pPr>
        <w:pStyle w:val="TextBody"/>
        <w:bidi w:val="0"/>
        <w:spacing w:lineRule="auto" w:line="312" w:before="0" w:after="160"/>
        <w:ind w:left="0" w:right="0" w:hanging="360"/>
        <w:jc w:val="both"/>
        <w:rPr/>
      </w:pPr>
      <w:r>
        <w:rPr>
          <w:rFonts w:ascii="Times New Roman;serif" w:hAnsi="Times New Roman;serif"/>
          <w:b w:val="false"/>
          <w:color w:val="000000"/>
          <w:sz w:val="12"/>
        </w:rPr>
        <w:t>21.</w:t>
      </w:r>
      <w:r>
        <w:rPr>
          <w:rFonts w:ascii="Times New Roman;serif" w:hAnsi="Times New Roman;serif"/>
          <w:b w:val="false"/>
          <w:color w:val="000000"/>
          <w:sz w:val="18"/>
        </w:rPr>
        <w:t>Unless otherwise noted, all portfolio company headquarters are based in the United States.</w:t>
      </w:r>
    </w:p>
    <w:p>
      <w:pPr>
        <w:pStyle w:val="TextBody"/>
        <w:bidi w:val="0"/>
        <w:spacing w:lineRule="auto" w:line="312" w:before="0" w:after="160"/>
        <w:ind w:left="0" w:right="0" w:hanging="360"/>
        <w:jc w:val="both"/>
        <w:rPr/>
      </w:pPr>
      <w:r>
        <w:rPr>
          <w:rFonts w:ascii="Times New Roman;serif" w:hAnsi="Times New Roman;serif"/>
          <w:b w:val="false"/>
          <w:color w:val="000000"/>
          <w:sz w:val="12"/>
        </w:rPr>
        <w:t>22.</w:t>
      </w:r>
      <w:r>
        <w:rPr>
          <w:rFonts w:ascii="Times New Roman;serif" w:hAnsi="Times New Roman;serif"/>
          <w:b w:val="false"/>
          <w:color w:val="000000"/>
          <w:sz w:val="18"/>
        </w:rPr>
        <w:t>Portfolio company headquarters are located outside of the United States.</w:t>
      </w:r>
    </w:p>
    <w:p>
      <w:pPr>
        <w:pStyle w:val="TextBody"/>
        <w:bidi w:val="0"/>
        <w:spacing w:lineRule="auto" w:line="312" w:before="0" w:after="160"/>
        <w:jc w:val="both"/>
        <w:rPr>
          <w:rFonts w:ascii="Times New Roman;serif" w:hAnsi="Times New Roman;serif"/>
          <w:b w:val="false"/>
          <w:color w:val="000000"/>
          <w:sz w:val="18"/>
        </w:rPr>
      </w:pPr>
      <w:r>
        <w:rPr>
          <w:rFonts w:ascii="Times New Roman;serif" w:hAnsi="Times New Roman;serif"/>
          <w:b w:val="false"/>
          <w:color w:val="000000"/>
          <w:sz w:val="18"/>
        </w:rPr>
        <w:t>As of June 30, 2024, there were no investments that represented greater than 5% of our total assets.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MANAGEMENT</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 xml:space="preserve">The information in the sections titled “Governance of the Company” and “Compensation Discussion and Analysis” in our most recent </w:t>
      </w:r>
      <w:hyperlink r:id="rId22">
        <w:r>
          <w:rPr>
            <w:rStyle w:val="InternetLink"/>
            <w:rFonts w:ascii="Times New Roman;serif" w:hAnsi="Times New Roman;serif"/>
            <w:b w:val="false"/>
            <w:color w:val="0000FF"/>
            <w:sz w:val="20"/>
            <w:u w:val="single"/>
          </w:rPr>
          <w:t>Definitive Proxy Statement on Schedule 14A</w:t>
        </w:r>
      </w:hyperlink>
      <w:r>
        <w:rPr>
          <w:color w:val="000000"/>
        </w:rPr>
        <w:t xml:space="preserve"> </w:t>
      </w:r>
      <w:r>
        <w:rPr>
          <w:rFonts w:ascii="Times New Roman;serif" w:hAnsi="Times New Roman;serif"/>
          <w:b w:val="false"/>
          <w:color w:val="000000"/>
          <w:sz w:val="20"/>
          <w:shd w:fill="FFFFFF" w:val="clear"/>
        </w:rPr>
        <w:t>is incorporated by reference herein</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CERTAIN RELATIONSHIPS AND RELATED TRANSACTIONS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information in the section titled “Certain Relationships and Related Party Transactions” in our most recent </w:t>
      </w:r>
      <w:hyperlink r:id="rId23">
        <w:r>
          <w:rPr>
            <w:rStyle w:val="InternetLink"/>
            <w:rFonts w:ascii="Times New Roman;serif" w:hAnsi="Times New Roman;serif"/>
            <w:b w:val="false"/>
            <w:color w:val="0000FF"/>
            <w:sz w:val="20"/>
            <w:u w:val="single"/>
          </w:rPr>
          <w:t>Definitive Proxy Statement on Schedule 14A</w:t>
        </w:r>
      </w:hyperlink>
      <w:r>
        <w:rPr>
          <w:color w:val="000000"/>
        </w:rPr>
        <w:t xml:space="preserve"> </w:t>
      </w:r>
      <w:r>
        <w:rPr>
          <w:rFonts w:ascii="Times New Roman;serif" w:hAnsi="Times New Roman;serif"/>
          <w:b w:val="false"/>
          <w:color w:val="000000"/>
          <w:sz w:val="20"/>
          <w:shd w:fill="FFFFFF" w:val="clear"/>
        </w:rPr>
        <w:t>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CONTROL PERSONS AND PRINCIPAL SHAREHOLDERS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information contained under the captions “Security Ownership of Certain Beneficial Owners and Management” in our most recent </w:t>
      </w:r>
      <w:hyperlink r:id="rId24">
        <w:r>
          <w:rPr>
            <w:rStyle w:val="InternetLink"/>
            <w:rFonts w:ascii="Times New Roman;serif" w:hAnsi="Times New Roman;serif"/>
            <w:b w:val="false"/>
            <w:color w:val="0000FF"/>
            <w:sz w:val="20"/>
            <w:u w:val="single"/>
          </w:rPr>
          <w:t>Definitive Proxy Statement on Schedule 14A</w:t>
        </w:r>
      </w:hyperlink>
      <w:r>
        <w:rPr>
          <w:color w:val="000000"/>
        </w:rPr>
        <w:t xml:space="preserve"> </w:t>
      </w:r>
      <w:r>
        <w:rPr>
          <w:rFonts w:ascii="Times New Roman;serif" w:hAnsi="Times New Roman;serif"/>
          <w:b w:val="false"/>
          <w:color w:val="000000"/>
          <w:sz w:val="20"/>
        </w:rPr>
        <w:t>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DETERMINATION OF NET ASSET VALUE</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The NAV per share of our outstanding shares of common stock is determined quarterly by dividing the value of total assets minus liabilities by the total number of shares outstanding. We calculate the value of our investments in accordance with the procedures described in “Part I, Item 1. Business – Determination of Net Asset Value” of </w:t>
      </w:r>
      <w:r>
        <w:rPr>
          <w:rFonts w:ascii="Times New Roman;serif" w:hAnsi="Times New Roman;serif"/>
          <w:b w:val="false"/>
          <w:color w:val="000000"/>
          <w:sz w:val="20"/>
          <w:shd w:fill="FFFFFF" w:val="clear"/>
        </w:rPr>
        <w:t xml:space="preserve">our most recent </w:t>
      </w:r>
      <w:hyperlink r:id="rId25">
        <w:r>
          <w:rPr>
            <w:rStyle w:val="InternetLink"/>
            <w:rFonts w:ascii="Times New Roman;serif" w:hAnsi="Times New Roman;serif"/>
            <w:b w:val="false"/>
            <w:color w:val="0000FF"/>
            <w:sz w:val="20"/>
            <w:u w:val="single"/>
            <w:shd w:fill="FFFFFF" w:val="clear"/>
          </w:rPr>
          <w:t>Annual Report on Form 10-K</w:t>
        </w:r>
      </w:hyperlink>
      <w:r>
        <w:rPr>
          <w:rFonts w:ascii="Times New Roman;serif" w:hAnsi="Times New Roman;serif"/>
          <w:b w:val="false"/>
          <w:color w:val="000000"/>
          <w:sz w:val="20"/>
          <w:shd w:fill="FFFFFF" w:val="clear"/>
        </w:rPr>
        <w:t>, which </w:t>
      </w:r>
      <w:r>
        <w:rPr>
          <w:rFonts w:ascii="Times New Roman;serif" w:hAnsi="Times New Roman;serif"/>
          <w:b w:val="false"/>
          <w:color w:val="000000"/>
          <w:sz w:val="20"/>
        </w:rPr>
        <w:t>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SALES OF COMMON STOCK BELOW NET ASSET VALUE</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do not currently anticipate doing so, our shareholders may from time to time be asked to vote to allow us to issue common stock at a price below the NAV per share of our common stock. In such an approval, our shareholders may not specify a maximum discount below NAV at which we are able to issue our common stock. In order to sell shares pursuant to such a shareholder authorization: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majority of our independent directors who have no financial interest in the sale must have approved the sale;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majority of such directors, who are not “interested persons” (as defined in Section 2(a)(19) of the 1940 Act) of CSWC, in consultation with the underwriter or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offering of common stock below NAV per share will be designed to raise capital for investment in accordance with our investment objective and strategies.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making a determination that an offering below NAV per share is in our and our shareholders’ best interests, the Board would consider a variety of factors including: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that an offering below NAV per share would have on our shareholders, including the potential dilution they would experience as a result of the offering;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amount per share by which the offering price per share and the net proceeds per share are less than the most recently determined NAV per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relationship of recent market prices of our common stock to NAV per share and the potential impact of the offering on the market price per share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whether the proposed offering price would closely approximate the market value of our shares;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potential market impact of being able to raise capital during the current financial market difficulties;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nature of any new investors anticipated to acquire shares in the offering;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anticipated rate of return on and quality, type and availability of investments to be funded with the proceeds from the offering, if any;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the leverage available to us, both before and after any offering, and the terms thereof.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Sales by us of our common stock at a discount to NAV pose potential risks for our existing shareholders whether or not they participate in the offering, as well as for new investors who participate in the offering.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three headings and accompanying tables will explain and provide hypothetical examples on the impact of an offering at a price less than NAV per share on three different sets of investors: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existing shareholders who do not purchase any shares in the offering;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existing shareholders who purchase a relatively small amount of shares in the offering or a relatively large amount of shares in the offering;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new investors who become shareholders by purchasing shares in the offering.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Impact on Existing Shareholders who do not Participate in the Offering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existing shareholders who do not participate in an offering below NAV per share or who do not buy additional shares in the secondary market at the same or lower price we obtain in the offering (after expenses and commissions) face the greatest potential risks. These shareholders will experience an immediate decrease (often called dilution) in the NAV of the shares they hold and their NAV per share. These shareholders also will experience a disproportionately greater decrease in their participation in our earnings and assets and their voting power than the increase we will experience in our assets, potential earning power and voting interests due to the offering. These shareholders also may experience a decline in the market price of their shares, which often reflects to some degree announced or potential decreases in NAV per share. This decrease could be more pronounced as the size of the offering and level of discount to NAV increases.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illustrates the level of NAV dilution that would be experienced by a nonparticipating shareholders in four different hypothetical offerings of different sizes and levels of discount from NAV per share. Actual sales prices and discounts may differ from the presentation below.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examples assume that Company XYZ has 1,000,000 common shares outstanding, $15,000,000 in total assets and $5,000,000 in total liabilities. The current NAV and NAV per share are thus $10,000,000 and $10.00, respectively. The table illustrates the dilutive effect on nonparticipating Shareholder A of (1) an offering of 50,000 shares (5% of the outstanding shares) at $9.50 per share after offering expenses and commissions (a 5% discount from NAV), (2) an offering of 100,000 shares (10% of the outstanding shares) at $9.00 per share after offering expenses and commissions (a 10% discount from NAV), (3) an offering of 250,000 shares (25% of the outstanding shares) at $8.00 per share after offering expenses and commissions (a 20% discount from NAV) and (4) an offering of 250,000 shares (25% of the outstanding shares) at $0.01 per share after offering expenses and commissions (a 100% discount from NAV). The prospectus supplement pursuant to which any discounted offering is made will include a chart based on the actual number of shares in such offering and the actual discount to the most recently determined NAV.</w:t>
      </w:r>
    </w:p>
    <w:p>
      <w:pPr>
        <w:pStyle w:val="TextBody"/>
        <w:bidi w:val="0"/>
        <w:spacing w:before="0" w:after="0"/>
        <w:jc w:val="both"/>
        <w:rPr/>
      </w:pPr>
      <w:r>
        <w:rPr/>
      </w:r>
    </w:p>
    <w:tbl>
      <w:tblPr>
        <w:tblW w:w="12897" w:type="dxa"/>
        <w:jc w:val="left"/>
        <w:tblInd w:w="0" w:type="dxa"/>
        <w:tblLayout w:type="fixed"/>
        <w:tblCellMar>
          <w:top w:w="28" w:type="dxa"/>
          <w:left w:w="28" w:type="dxa"/>
          <w:bottom w:w="28" w:type="dxa"/>
          <w:right w:w="28" w:type="dxa"/>
        </w:tblCellMar>
      </w:tblPr>
      <w:tblGrid>
        <w:gridCol w:w="861"/>
        <w:gridCol w:w="229"/>
        <w:gridCol w:w="231"/>
        <w:gridCol w:w="109"/>
        <w:gridCol w:w="109"/>
        <w:gridCol w:w="109"/>
        <w:gridCol w:w="196"/>
        <w:gridCol w:w="736"/>
        <w:gridCol w:w="241"/>
        <w:gridCol w:w="109"/>
        <w:gridCol w:w="109"/>
        <w:gridCol w:w="109"/>
        <w:gridCol w:w="196"/>
        <w:gridCol w:w="736"/>
        <w:gridCol w:w="241"/>
        <w:gridCol w:w="240"/>
        <w:gridCol w:w="241"/>
        <w:gridCol w:w="459"/>
        <w:gridCol w:w="109"/>
        <w:gridCol w:w="109"/>
        <w:gridCol w:w="109"/>
        <w:gridCol w:w="196"/>
        <w:gridCol w:w="736"/>
        <w:gridCol w:w="241"/>
        <w:gridCol w:w="278"/>
        <w:gridCol w:w="278"/>
        <w:gridCol w:w="459"/>
        <w:gridCol w:w="109"/>
        <w:gridCol w:w="109"/>
        <w:gridCol w:w="109"/>
        <w:gridCol w:w="196"/>
        <w:gridCol w:w="736"/>
        <w:gridCol w:w="241"/>
        <w:gridCol w:w="285"/>
        <w:gridCol w:w="286"/>
        <w:gridCol w:w="459"/>
        <w:gridCol w:w="109"/>
        <w:gridCol w:w="109"/>
        <w:gridCol w:w="109"/>
        <w:gridCol w:w="196"/>
        <w:gridCol w:w="736"/>
        <w:gridCol w:w="241"/>
        <w:gridCol w:w="285"/>
        <w:gridCol w:w="286"/>
        <w:gridCol w:w="520"/>
      </w:tblGrid>
      <w:tr>
        <w:trPr/>
        <w:tc>
          <w:tcPr>
            <w:tcW w:w="8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1</w:t>
              <w:br/>
              <w:t>5% Offering at 5%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2</w:t>
              <w:br/>
              <w:t>10% Offering at 10%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3</w:t>
              <w:br/>
              <w:t>25% Offering at 20%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4</w:t>
              <w:br/>
              <w:t>25% Offering at 100% Discount</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 to Sale Below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Price per Share to Public</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per Share to Issuer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Increase in Shares and Decrease to 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NAV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Dilution to Nonparticipating Shareholder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Held by Shareholder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Outstanding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NAV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NAV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by Shareholder A (Assumed to be $10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Dilution to Shareholder A (Total NAV Less Total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NAV Dilution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NAV per Share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per Share Held by Shareholder A (Assumed to be $10 per Share on Shares Held Prior to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NAV Dilution per Share Experienced by Shareholder A (NAV per Share Less Investment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NAV Dilution per Share Experienced by Shareholder A (NAV Dilution per Share Divided by Investment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(1)Assumes 5% in selling compensation and expenses paid by us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Impact on Existing Shareholders who do Participate in the Offering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existing shareholders who participate in an offering below NAV per share or who buy additional shares in the secondary market at the same or lower price as we obtain in the offering (after expenses and commissions) will experience the same types of NAV dilution as the nonparticipating shareholders, albeit at a lower level, to the extent they purchase less than the same percentage of the discounted offering as their interest in our shares immediately prior to the offering. The level of NAV dilution to such shareholders will decrease as the number of shares such shareholders purchase increases. Existing shareholders who buy more than their proportionate percentage will experience NAV dilution but will, in contrast to existing shareholders who purchase less than their proportionate share of the offering, experience an increase (often called accretion) in NAV per share over their investment per share and also will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purchased by such shareholders increases. Even a shareholder who over-participates, however, will be subject to the risk that we may make additional discounted offerings in which such shareholders does not participate, in which case such a shareholder will experience NAV dilution as described above in such subsequent offerings. These shareholders also may experience a decline in the market price of their shares, which often reflects to some degree announced or potential decreases in NAV per share. This decrease could be more pronounced as the size of the offering and the level of discount to NAV increases.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chart illustrates the level of dilution and accretion in the hypothetical 25% offering at a 20% discount from the prior chart (Example 3) for a shareholder that acquires shares equal to (1) 50% of its proportionate share of the offering (i.e., 1,250 shares, which is 0.5% of an offering of 250,000 shares rather than its 1.0% proportionate share) and (2) 150% of such percentage (i.e., 3,750 shares, which is 1.5% of an offering of 250,000 shares rather than its 1.0% proportionate share). The prospectus supplement pursuant to which any discounted offering is made will include a chart for this example based on the actual number of shares in such offering and the actual discount from the most recently determined NAV per share.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64"/>
        <w:gridCol w:w="764"/>
        <w:gridCol w:w="767"/>
        <w:gridCol w:w="109"/>
        <w:gridCol w:w="109"/>
        <w:gridCol w:w="109"/>
        <w:gridCol w:w="229"/>
        <w:gridCol w:w="900"/>
        <w:gridCol w:w="295"/>
        <w:gridCol w:w="109"/>
        <w:gridCol w:w="109"/>
        <w:gridCol w:w="109"/>
        <w:gridCol w:w="211"/>
        <w:gridCol w:w="826"/>
        <w:gridCol w:w="271"/>
        <w:gridCol w:w="320"/>
        <w:gridCol w:w="321"/>
        <w:gridCol w:w="483"/>
        <w:gridCol w:w="109"/>
        <w:gridCol w:w="109"/>
        <w:gridCol w:w="109"/>
        <w:gridCol w:w="211"/>
        <w:gridCol w:w="826"/>
        <w:gridCol w:w="271"/>
        <w:gridCol w:w="308"/>
        <w:gridCol w:w="308"/>
        <w:gridCol w:w="549"/>
      </w:tblGrid>
      <w:tr>
        <w:trPr/>
        <w:tc>
          <w:tcPr>
            <w:tcW w:w="13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50% Participation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150% Participation</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 to Sale Below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Price per Share to Public</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per Share to Issuer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Increase in Shares and Decrease to 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NAV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Dilution to Nonparticipating Shareholder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Held by Shareholder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Outstanding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NAV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NAV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by Shareholder A (Assumed to be $10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Dilution to Shareholder A (Total NAV Less Total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NAV Dilution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NAV per Share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per Share Held by Shareholder A (Assumed to be $10 per Share on Shares Held Prior to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NAV Dilution per Share Experienced by Shareholder A (NAV per Share Less Investment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NAV Dilution per Share Experienced by Shareholder A (NAV Dilution per Share Divided by Investment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(1)Assumes 5% in selling compensation and expenses paid by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Impact on New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Investors who are not currently shareholders,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(Example 1 below). On the other hand, investors who are not currently shareholders, but who participate in an offering below NAV per share and whose investment per share is also less than the resulting NAV per share will experience an immediate increase in the NAV of their shares and their NAV per share compared to the price they pay for their shares (Examples 2, 3 and 4 below). These latter investors will experience a disproportionately greater participation in our earnings and assets and their voting power than our increase in assets, potential earning power and voting interests. These investors, however, will be subject to the risk that we may make additional discounted offerings in which such new shareholders does not participate, in which case such new shareholders will experience dilution as described above in such subsequent offerings. These investors also may experience a decline in the market price of their shares, which often reflects to some degree announced or potential decreases in NAV per share. This decrease could be more pronounced as the size of the offering and level of discount to NAV increases.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chart illustrates the level of dilution or accretion for new investors that would be experienced by a new investor in the same hypothetical discounted offerings as described in the first chart above. The illustration is for a new investor who purchases the same percentage (1.00%) of the shares in the offering as Shareholder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NAV per share.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663" w:type="dxa"/>
        <w:jc w:val="left"/>
        <w:tblInd w:w="0" w:type="dxa"/>
        <w:tblLayout w:type="fixed"/>
        <w:tblCellMar>
          <w:top w:w="28" w:type="dxa"/>
          <w:left w:w="28" w:type="dxa"/>
          <w:bottom w:w="28" w:type="dxa"/>
          <w:right w:w="28" w:type="dxa"/>
        </w:tblCellMar>
      </w:tblPr>
      <w:tblGrid>
        <w:gridCol w:w="861"/>
        <w:gridCol w:w="229"/>
        <w:gridCol w:w="231"/>
        <w:gridCol w:w="109"/>
        <w:gridCol w:w="109"/>
        <w:gridCol w:w="109"/>
        <w:gridCol w:w="291"/>
        <w:gridCol w:w="580"/>
        <w:gridCol w:w="252"/>
        <w:gridCol w:w="109"/>
        <w:gridCol w:w="109"/>
        <w:gridCol w:w="109"/>
        <w:gridCol w:w="297"/>
        <w:gridCol w:w="574"/>
        <w:gridCol w:w="241"/>
        <w:gridCol w:w="240"/>
        <w:gridCol w:w="241"/>
        <w:gridCol w:w="459"/>
        <w:gridCol w:w="109"/>
        <w:gridCol w:w="109"/>
        <w:gridCol w:w="109"/>
        <w:gridCol w:w="315"/>
        <w:gridCol w:w="556"/>
        <w:gridCol w:w="241"/>
        <w:gridCol w:w="278"/>
        <w:gridCol w:w="278"/>
        <w:gridCol w:w="459"/>
        <w:gridCol w:w="109"/>
        <w:gridCol w:w="109"/>
        <w:gridCol w:w="109"/>
        <w:gridCol w:w="225"/>
        <w:gridCol w:w="646"/>
        <w:gridCol w:w="241"/>
        <w:gridCol w:w="278"/>
        <w:gridCol w:w="278"/>
        <w:gridCol w:w="459"/>
        <w:gridCol w:w="109"/>
        <w:gridCol w:w="109"/>
        <w:gridCol w:w="109"/>
        <w:gridCol w:w="225"/>
        <w:gridCol w:w="646"/>
        <w:gridCol w:w="241"/>
        <w:gridCol w:w="322"/>
        <w:gridCol w:w="324"/>
        <w:gridCol w:w="520"/>
      </w:tblGrid>
      <w:tr>
        <w:trPr/>
        <w:tc>
          <w:tcPr>
            <w:tcW w:w="8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1</w:t>
              <w:br/>
              <w:t>5% Offering at 5%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2</w:t>
              <w:br/>
              <w:t>10% Offering at 10%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3</w:t>
              <w:br/>
              <w:t>25% Offering at 20%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Example 4</w:t>
              <w:br/>
              <w:t>25% Offering at 100% Discount</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 to Sale Below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Following Sale</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Price per Share to Public</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per Share to Issuer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Increase in Shares and Decrease to 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NAV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Dilution to Nonparticipating Shareholder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Held by Shareholder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Outstanding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NAV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NAV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by Shareholder A (Assumed to be $10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Dilution to Shareholder A (Total NAV Less Total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NAV Dilution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NAV per Share Held by Shareholder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per Share Held by Shareholder A (Assumed to be $10 per Share on Shares Held Prior to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NAV Dilution per Share Experienced by Shareholder A (NAV per Share Less Investment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NAV Dilution per Share Experienced by Shareholder A (NAV Dilution per Share Divided by Investment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79,920 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(1)Assumes 5% in selling compensation and expenses paid by us</w:t>
      </w:r>
    </w:p>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DIVIDEND REINVESTMENT PLAN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 DRIP that provides for the reinvestment of dividends on behalf of our registered shareholders who hold their shares with Equiniti Trust Company, LLC, the plan administrator and our transfer agent and registrar. As a result, if we declare a cash dividend, our registered shareholders who have “opted in” to our DRIP by the dividend record date will have their cash dividend automatically reinvested into additional shares of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reinvestment of dividends, participating shareholders have the option of purchasing additional shares of common stock on a periodic basis through our DRIP. A participating shareholders may elect to invest from $100 to $10,000 in any calendar month into the DRIP by sending occasional cash payments or by authorizing monthly automatic cash withdrawals from the participants checking, savings or other bank accounts.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participate in the DRIP, a holder of record of 25 or more shares must sign and return an authorization form to the plan administrator.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share requirements of our DRIP may be satisfied through open market purchases of common stock by the plan administrator. Shares purchased in the open market to satisfy the DRIP requirements will be valued based upon the average price of the applicable shares purchased by the plan administrator, before any associated brokerage or other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Participants in the DRIP will only pay their share of brokerage costs. We will pay the plan administrator’s fees under the DRIP.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Shareholders who receive dividends in the form of stock generally are subject to the same U.S. federal, state and local tax consequences as are shareholders who elect to receive their dividends in cash. A shareholder’s adjusted tax basis for determining gain or loss upon the sale of stock received in a dividend from us will be equal to the total dollar amount of the dividend payable to the shareholder. Any stock received in a dividend will have a holding period for tax purposes commencing on the day following the day on which the shares are credited to the U.S. shareholder’s account.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Participants may terminate their accounts under the plan by notifying the plan administrator via its website at www.equiniti.com/us/ast-access, by filling out the transaction request form located at the bottom of their statement and sending it to the plan administrator at Equiniti Trust Company, LLC, Plan Administration, P.O. Box 10027, Newark, New Jersey 07101 or by calling the plan administrators at (888) 666-0141. If notice of termination is received less than five (5) business days before a dividend record date, the plan administrator may not be able to process participant’s notice until after the reinvestment of that dividend.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terminate the plan upon notice in writing mailed to each participant at least 30 days prior to any record date for the payment of any dividend by us. All correspondence concerning the plan should be directed to the plan administrator by mail at Equiniti Trust Company, LLC, Plan Administration, P.O. Box 10027, Newark, New Jersey 07101 or by telephone at (888) 666-0141.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COMMON STOCK</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Please refer to </w:t>
      </w:r>
      <w:hyperlink r:id="rId26">
        <w:r>
          <w:rPr>
            <w:rStyle w:val="InternetLink"/>
            <w:rFonts w:ascii="Times New Roman;serif" w:hAnsi="Times New Roman;serif"/>
            <w:b w:val="false"/>
            <w:color w:val="0000FF"/>
            <w:sz w:val="20"/>
            <w:u w:val="single"/>
            <w:shd w:fill="FFFFFF" w:val="clear"/>
          </w:rPr>
          <w:t>Exhibit 4.11 to our Annual Report on Form 10-K for the fiscal year ended March 31, 2024</w:t>
        </w:r>
      </w:hyperlink>
      <w:r>
        <w:rPr>
          <w:rFonts w:ascii="Times New Roman;serif" w:hAnsi="Times New Roman;serif"/>
          <w:b w:val="false"/>
          <w:color w:val="000000"/>
          <w:sz w:val="20"/>
          <w:shd w:fill="FFFFFF" w:val="clear"/>
        </w:rPr>
        <w:t>, which is incorporated by reference into this prospectus, for a description of our common stock. </w:t>
      </w:r>
      <w:r>
        <w:rPr>
          <w:rFonts w:ascii="Times New Roman;serif" w:hAnsi="Times New Roman;serif"/>
          <w:b w:val="false"/>
          <w:color w:val="000000"/>
          <w:sz w:val="20"/>
        </w:rPr>
        <w:t>We urge you to read the applicable prospectus supplement and any related free writing prospectus that we may authorize to be provided to you related to any shares of our common stock being offered.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DESCRIPTION OF OUR DEBT SECURITIES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We urge you to read the applicable prospectus supplement and any free writing prospectus that we may authorize to be provided to you related to the series of debt securities being offered, as well as the complete indentures that contain the terms of the debt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required by U.S.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 with respect to the debt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indenture is attached as an exhibit to the registration statement of which this prospectus is a part. We urge you to read the indenture, including any supplemental indenture applicable to the debt securities, because it, and not this description, defines rights of a holder of debt securities. See “Available Information” for information on how to obtain a copy of the indenture.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prospectus supplement, which will accompany this prospectus, will describe the particular series of debt securities being offered by including, among other things: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designation or title of the series of debt securities;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total principal amount of the series of debt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percentage of the principal amount at which the series of debt securities will be offered;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date or dates on which principal will be payable;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rate or rates (which may be either fixed or variable) and/or the method of determining such rate or rates of interest, if 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date or dates from which any interest will accrue, or the method of determining such date or dates, and the date or dates on which any interest will be payable;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any interest may be paid by issuing additional securities of the same series in lieu of cash (and the terms upon which any such interest may be paid by issuing additional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terms for redemption, extension or early repayment, if 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currencies in which the series of debt securities are issued and payable;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place or places of payment, transfer, conversion and/or exchange of the debt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denominations in which the offered debt securities will be issued (if other than $2,000 and integral multiple of $1,000 thereof);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provision for any sinking fund;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restrictive covenants;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events of default;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whether the series of debt securities are issuable in certificated form;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provisions for defeasance, covenant defeasance or discharge;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special U.S. federal income tax implications, including, if applicable, U.S. federal income tax considerations relating to original issue discount;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provisions for convertibility or exchangeability of the debt securities into or for any other securities;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the debt securities are subject to subordination and the terms of such subordination;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the debt securities are secured and the terms of any security interests;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listing, if any, on a securities exchange;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other terms.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debt securities may be secured or unsecured obligations. Under the provisions of the 1940 Act, we are permitted, as a BDC, to issue debt only in amounts such that our asset coverage, as defined in the 1940 Act, equals at least 150% after each issuance of debt. In accordance with the 1940 Act, on April 25, 2018, the Board unanimously approved the application of the modified asset coverage requirements set forth in Section 61(a)(2) of the 1940 Act. As a result, the minimum asset coverage ratio applicable to the Company was decreased from 200% to 150%, which became effective on April 25, 2019. The Board also approved a resolution that limits the Company’s issuance of senior securities such that the asset coverage ratio, taking into account such issuance, would not be less than 166%, at any time after the effective date. For a discussion of the risks involved with incurring additional leverage, see “Risk Factors” in our annual, quarterly and other reports filed with the SEC from time to time. Unless the prospectus supplement states otherwise, principal (and premium, if any) and interest, if any, will be paid by us in immediately available funds.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provides that any debt securities proposed to be sold under this prospectus and the accompanying prospectus supplement (“offered debt securities”) may be issued under the indenture in one or more series.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described under “ – Merger or Consolidation” below, the indenture does not contain any provisions that give you protection in the event we issue a large amount of debt or we are acquired by another entity.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refer you to the applicable prospectus supplement for information with respect to any deletions from, modifications of or additions to the Events of Default or our covenants that are described below, including any addition of a covenant or other provision providing event risk protection or similar protection.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we will usually issue debt securities in book entry only form represented by global securities and will specify the method of issuance in the applicable prospectus supplement.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Conversion and Exchange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also may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Payment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the prospectus supplement, we will pay interest to the person listed in the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the debt securities must work out between themselves the appropriate purchase price. The most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Payments on Global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Payment When Offices Are Closed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Book-entry and other indirect holders should consult their banks or brokers for information on how they will receive payments on their debt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Events of Default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You will have rights if an Event of Default occurs in respect of the debt securities of your series and is not cured, as described later in this subsection.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term “Event of Default” in respect of the debt securities of your series means any of the following (unless the applicable prospectus supplement or supplemental indenture relating to such debt securities states otherwise):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do not pay the principal of, or any premium on, a debt security of the series on its due 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do not pay interest on a debt security of the series within 30 days of its due 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do not deposit any sinking fund payment in respect of debt securities of the series within 2 business days of its due 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file for bankruptcy or certain other events of bankruptcy, insolvency or reorganization occur and, in the case of certain orders or decrees entered against us under any bankruptcy law, such order or decree remains undischarged or unstayed for a period of 60 days;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series of debt securities issued under the indenture has an asset coverage, as such term is defined in the 1940 Act, of less than 100 per centum on the last business day of each of twenty-four consecutive calendar months; giving effect to any exemptive relief granted to us by the SEC;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other Event of Default in respect of debt securities of the series described in the prospectus supplement occurs.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Remedies if an Event of Default Occurs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prospectus supplement specifies otherwise, if an Event of Default has occurred and has not been cured, the trustee or the holders of at least 25% in principal amount of the outstanding debt securities of the affected series may (and the trustee shall at the request of such holders) declare the entire principal amount of all the debt securities of that series to be due and immediately payable, but does not entitle any holder to any redemption payout or redemption premium. This is called a declaration of acceleration of maturity. A declaration of acceleration of maturity may be canceled by the holders of a majority in principal amount of the outstanding debt securities of the affected series if (1) we have deposited with the trustee all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due and owing with respect to the securities (other than principal or payments that have become due solely by reason of such acceleration) and certain other amounts, and (2) all Events of Default have been cured or waived.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you must give your trustee written notice that an Event of Default with respect to the relevant series of debt securities has occurred and remains uncured;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trustee must not have taken action for 60 days after receipt of the above notice and offer of indemnity;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holders of a majority in principal amount of the debt securities of that series must not have given the trustee a direction inconsistent with the above notice during that 60-day period.</w:t>
      </w:r>
    </w:p>
    <w:p>
      <w:pPr>
        <w:pStyle w:val="TextBody"/>
        <w:bidi w:val="0"/>
        <w:spacing w:before="0" w:after="2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However, you are entitled at any time to bring a lawsuit for the payment of money due on your debt securities on or after the due date.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a majority in principal amount of the outstanding debt securities of the affected series may waive any past defaults other than: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respect of the payment of principal, any premium or interest;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respect of a covenant that cannot be modified or amended without the consent of each 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Merger or Consolidation </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where we merge out of existence or sell all or substantially all of our assets, the resulting entity must agree to be legally responsible for our obligations under the debt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certain certificates and documents to the trustee;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satisfy any other requirements specified in the prospectus supplement relating to a particular series of debt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 of the foregoing, any subsidiary of ours may consolidate with, merge into or transfer all or part of its property and assets to other subsidiaries of ours or to us. Additionally, this covenant shall not apply to: (1) our merger or the merger of one of our subsidiaries with an affiliate solely for the purpose of reincorporating in another jurisdiction; (2) any conversion by us or a subsidiary from an entity formed under the laws of one state to any entity formed under the laws of another state; (3) any conversion by us or a subsidiary from a limited liability company, corporation, limited partnership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similar entity to a limited liability company, corporation, limited partnership or similar entity, whether the converting entity and converted entity are formed under the laws of the same state or a different state; or (4) any combination of (1) through (3)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Modification or Waiver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three types of changes we can make to the indenture and the debt securities issued thereunder.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Requiring Your Approval </w:t>
      </w:r>
    </w:p>
    <w:p>
      <w:pPr>
        <w:pStyle w:val="TextBody"/>
        <w:bidi w:val="0"/>
        <w:spacing w:before="0" w:after="0"/>
        <w:jc w:val="both"/>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First, there are changes that we cannot make to your debt securities without your specific approval. The following is a list of those types of changes: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 the stated maturity of the principal of, or interest on, a debt security or the terms of any sinking fund with respect to any security;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any amounts due on a debt security;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the amount of principal payable upon acceleration of the maturity of an original issue discount or indexed security following a default or upon the redemption thereof or the amount thereof provable in a bankruptcy proceeding;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adversely affect any right of repayment at the holder’s option;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 the place (except as otherwise described in the prospectus or prospectus supplement) or currency of payment on a debt security;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 your right to sue for payment;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adversely affect any right to convert or exchange a debt security in accordance with its terms;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modify the subordination provisions in the indenture in a manner that is adverse to holders of the outstanding debt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the percentage of holders of debt securities whose consent is needed to modify or amend the indenture;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the percentage of holders of debt securities whose consent is needed to waive compliance with certain provisions of the indenture or to waive certain defaults or reduce the percentage of holders of debt securities required to satisfy quorum or voting requirements at a meeting of 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modify any other aspect of the provisions of the indenture dealing with supplemental indentures with the consent of holders, waiver of past defaults, or the waiver of certain covenants;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 any obligation we have to pay additional amounts.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Not Requiring Approval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type of change does not require any vote by the holders of the debt securities. This type is limited to clarifications, corrections in the indenture to match this “Description of our Debt Securities” or a similar section in any prospectus supplement,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Requiring Majority Approval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Any other change to the indenture and the debt securities would require the following approval: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change affects only one series of debt securities, it must be approved by the holders of a majority in principal amount of that series.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each case, the required approval must be given by written consent.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Further Details Concerning Voting </w:t>
      </w:r>
    </w:p>
    <w:p>
      <w:pPr>
        <w:pStyle w:val="TextBody"/>
        <w:bidi w:val="0"/>
        <w:spacing w:before="0" w:after="0"/>
        <w:jc w:val="both"/>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When taking a vote, we will use the following rules to decide how much principal to attribute to a debt security: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original issue discount securities, we will use the principal amount that would be due and payable on the voting date if the maturity of these debt securities were accelerated to that date because of a default.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debt securities whose principal amount is not known (for example, because it is based on an index), we will use the principal face amount at original issuance or a special rule for that debt security described in the prospectus supplement.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debt securities denominated in one or more foreign currencies, we will use the U.S. dollar equivalent.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Debt securities will not be considered outstanding, and therefore not eligible to vote, if we have deposited or set aside in trust money for their payment or redemption or if we, any other obligor, or any affiliate of us or any obligor own such debt securities. Debt securities also will not be eligible to vote if they have been fully defeased as described later under “Defeasance — Full Defeasance.”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Defeasance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Covenant Defeasance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of our counsel and officers’ certificate stating that all conditions precedent to covenant defeasance have been complied with;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defeasance must not result in a breach or violation of, or result in a default under, the indenture or any of our other material agreements or instruments;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satisfy the conditions for covenant defeasance contained in any supplemental indentures.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Full Defeasance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If there is a change in U.S. federal tax law or we obtain ruling from the U.S. Internal Revenue Service (the “IRS”), as described in the second bullet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must deliver to the trustee a legal opinion of our counsel and officers’ certificate stating that all conditions precedent to defeasance have been complied with;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defeasance must not result in a breach or violation of, or constitute a default under, the indenture or any of our other material agreements or instruments;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satisfy the conditions for full defeasance contained in any supplemental indentures.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 — Subordination.”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Form, Exchange and Transfer of Certificated Registered Securities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If registered debt securities cease to be issued in book-entry form, they will be issued: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only in fully registered certificated 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without interest coupons,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unless we indicate otherwise in the prospectus supplement, in minimum denominations of $2,000 and increased amounts that are multiples of $1,000.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have designated additional transfer agents for your debt security, they will be named in the prospectus supplement. We may appoint additional transfer agents or cancel the appointment of any particular transfer agent. We also may approve a change in the office through which any transfer agent acts.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may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Resignation of Trustee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Indenture Provisions-Subordination and Senior Indebtedness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Senior Indebtedness is defined in the indenture as the principal of (and premium, if any) and unpaid interest 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renewals, extensions, modifications and refinancings of any of this 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Secured Indebtedness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In the event of a distribution of our assets upon our insolvency, the holders of unsecured indenture securities may recover less, ratably, than holders of any of our secured indebtedness.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The Trustee under the Indenture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U.S. Bank Trust Company, National Association (as successor in interest to U.S. Bank National Association) serves as the trustee under the indenture.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Certain Considerations Relating to Foreign Currencies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Book-Entry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the applicable prospectus supplement, the Depository Trust Company, or DTC, will act as securities depositary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or DTCC.</w:t>
      </w:r>
    </w:p>
    <w:p>
      <w:pPr>
        <w:pStyle w:val="TextBody"/>
        <w:bidi w:val="0"/>
        <w:spacing w:lineRule="auto" w:line="288" w:before="0" w:after="0"/>
        <w:jc w:val="both"/>
        <w:rPr/>
      </w:pPr>
      <w:r>
        <w:rPr>
          <w:rFonts w:ascii="Times New Roman;serif" w:hAnsi="Times New Roman;serif"/>
          <w:b w:val="false"/>
          <w:color w:val="000000"/>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Standard &amp; Poor’s Ratings Services’ highest rating: AAA. The DTC Rules applicable to its participants are on file with the SEC. More information about DTC can be found at </w:t>
      </w:r>
      <w:r>
        <w:rPr>
          <w:rFonts w:ascii="Times New Roman;serif" w:hAnsi="Times New Roman;serif"/>
          <w:b w:val="false"/>
          <w:i/>
          <w:color w:val="000000"/>
          <w:sz w:val="20"/>
        </w:rPr>
        <w:t>www.dtcc.com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www.dtc.org</w:t>
      </w:r>
      <w:r>
        <w:rPr>
          <w:rFonts w:ascii="Times New Roman;serif" w:hAnsi="Times New Roman;serif"/>
          <w:b w:val="false"/>
          <w:color w:val="000000"/>
          <w:sz w:val="2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Purchases of debt securities under the DTC system must be made by or through Direct Participants, which will receive a credit for the debt securities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DTC may discontinue providing its services as securities depository with respect to the debt securities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U.S. FEDERAL INCOME TAX CONSIDERATIONS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is a general summary of certain U.S. federal income tax considerations applicable to us and to an investment in our common stock. This summary does not purport to be a complete description of the income tax considerations applicable to us or to investors holding our common stock. For example, we have not described tax consequences that we assume to be generally known by investors or certain considerations that may be relevant to certain types of holders subject to special treatment under U.S. federal income tax laws, including shareholders subject to the alternative minimum tax, tax-exempt organizations, insurance companies, dealers in securities, pension plans and trusts, financial institutions, U.S. shareholders (as defined below) whose functional currency is not the U.S. dollar, persons who mark-to-market our shares, persons who hold our shares as part of a “straddle,” “hedge” or “conversion” transaction, United States expatriates, “controlled foreign corporations,” “passive foreign investment companies,” or corporations that accumulate earnings to avoid U.S. federal income tax, real estate investment trusts, personal holding companies, persons required to accelerate the recognition of gross income as a result of such income being recognized on an applicable financial statement, and persons who acquire an interest in us in connection with the performance of services. Such persons should consult with their own tax advisers as to the U.S. federal income tax consequences of investment, which may differ substantially from those described herein. This summary assumes that investors hold shares of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This summary does not discuss any aspects of U.S. federal estate or gift taxation or foreign, state or local taxation. It does not discuss the special treatment under U.S. federal income tax laws that could result if we invested in tax-exempt securities or certain other investment assets. </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our discussion, a “U.S. shareholder” means a beneficial owner of shares of our common stock that is for U.S. federal income tax purposes: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citizen or individual resident of the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corporation, or other entity treated as a corporation, created or organized in or under the laws of the United States, any state thereof of, or the District of Columbia;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estate, the income of which is subject to U.S. federal income taxation regardless of its source;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trust if (1) a U.S. court is able to exercise primary supervision over the administration of the trust and one or more U.S. persons have the authority to control all substantial decisions of the trust or (2) it has a valid election in place under applicable U.S. Treasury regulations to be treated as a U.S. person.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discussion, a “Non-U.S. shareholder” means a beneficial owner of shares of our common stock that is neither a U.S. shareholder nor a partnership (including an entity or arrangement treated as a partnership for U.S. federal income tax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 entity or arrangement treated as a partnership for U.S. federal income tax purposes holds shares of our common stock, the tax treatment of a partner of the partnership generally will depend upon the status of the partner and the activities of the partnership. A prospective shareholder that is a partner in a partnership holding shares of our common stock should consult his, her or its tax advisors with respect to the purchase, ownership and disposition of shares of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Tax matters are very complicated and the tax consequences to an investor of an investment in our common stock will depend on the facts of such investor's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Taxation as a Regulated Investment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Election to be Taxed as a Regulated Investment Company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elected, and intend to qualify annually, to be treated as a RIC under Subchapter M of the Code. As a RIC, we generally are not subject to U.S. federal income tax on any income that we timely distribute to our shareholders from our tax earnings and profits. To qualify as a RIC, we must, among other things, meet certain source-of-income and asset-diversification requirements (as described below). In addition, in order to qualify for RIC tax treatment, we must distribute to our shareholders, for each taxable year, at least 90% of our “investment company taxable income,” which is generally our net ordinary income plus the excess, if any, of realized net short-term capital gain over realized net long-term capital loss, (the “Annual Distribution Requirement”). Depending on the level of taxable income earned in a tax year, we may choose to carry forward taxable income in excess of current year distributions into the next year. In such case, we generally will be subject to U.S. federal income tax imposed at corporate rates on our undistributed taxable income and may be subject to U.S. federal excise, state, local and foreign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Taxation as a RIC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Provided that we qualify as a RIC, we will not be subject to U.S. federal income tax on the portion of our investment company taxable income and net capital gain (which we define as net long-term capital gain in excess of net short-term capital loss) that we timely distribute (or are deemed to distribute) to shareholders. We will be subject to U.S. federal income tax at the regular corporate tax rate on any income or capital gain not distributed (or deemed distributed) to our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calendar year ended December 31 and (3) any net ordinary income and capital gain net income that we recognized, but did not distribute, in preceding years and on which we paid no U.S. federal income tax.</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qualify as a RIC for U.S. federal income tax purposes, we must, among other things: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meet the Annual Distribution Requirement;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qualify to be treated as a BDC or be registered as a management investment company under the 1940 Act at all times during each taxable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derive in each taxable year at least 90% of our gross income from dividends, interest, payments with respect to certain securities loans, gains from the sale or other disposition of stock or other securities or foreign currencies or other income derived with respect to our business of investing in such stock, securities or currencies and net income derived from an interest in a “qualified publicly traded partnership” (as defined in the Code), or the "90% Income Test";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diversify our holdings so that at the end of each quarter of the taxable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(which for these purposes includes the equity securities of a “qualified publicly traded partnership”);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 more than 25% of the value of our assets is invested in (1) the securities, other than U.S. Government securities or securities of other RICs, of one issuer, (2) the securities, other than securities of other RICs, of two or more issuers that are controlled, as determined under applicable tax rules, by us and that are engaged in the same or similar or related trades or businesses or (3) the securities of one or more “qualified publicly traded partnerships” (collectively, the "Diversification Tests").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we invest in entities or arrangements treated as partnerships for U.S. federal income tax purposes (other than a “qualified publicly traded partnership”), we generally must include the items of gross income derived by these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facilitate our compliance with the 90% Income Test, we have established a wholly-owned subsidiary that is treated as a corporation for U.S. federal income tax purposes to hold assets from which we do not anticipate earning dividend, interest or other income under the 90% Income Test (the “Taxable Subsidiary”). We may establish additional subsidiaries for the same purpose in the future. Any investments held through the Taxable Subsidiary generally are subject to U.S. federal income, as well as state, local, and other taxes, and therefore we can expect to achieve a reduced after-tax yield on such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required to recognize taxable income in circumstances in which we do not receive a corresponding payment in cash. For example, if we hold debt obligations that are treated under applicable tax rules as having original issue discount (including debt instruments with payment-in-kind interest or, in certain cases, increasing interest rates or issued with warrants), we must include in income each year a portion of the original issue discount or payment-in-kind interest that accrues over the life of the obligation, regardless of whether cash representing such income is received by us in the same taxable year. We anticipate that a portion of our income may constitute original issue discount or other income required to be included in taxable income prior to receipt of cash.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Because any original issue discount or other amounts accrued will be included in our investment company taxable income for the year of the accrual, we may be required to make a distribution to our shareholders in order to satisfy the Annual Distribution Requirement, even though we will not have received any corresponding cash amount. As a result, we may have difficulty meeting the Annual Distribution Requirement necessary to obtain and maintain RIC tax treatment under the Code.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U.S. federal income tax.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a portfolio company in which we invest may face financial difficulty that requires us to work-out, modify or otherwise restructure our investment in the portfolio company. Any such restructuring may result in unusable capital losses and future non-cash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Gain or loss realized by us from warrants acquired by us as well as any loss attributable to the lapse of such warrants generally will be treated as capital gain or loss.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by us in non-U.S. securities may be subject to non-U.S. income, withholding and other taxes, and therefore, our yield on any such securities may be reduced by such non-U.S. taxes. Shareholders generally will not be entitled to claim a credit or deduction with respect to non-U.S. taxes paid by 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to borrow funds and to sell assets in order to satisfy distribution requirements. Under the 1940 Act, we are not permitted to make distributions to our shareholders while our debt obligations and other senior securities are outstanding unless certain “asset coverage” tests are met. See “Regulation as a Business Development Company” in our most recently filed Annual Report on Form 10-K, as well as in subsequent filings we make with the SEC.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excise tax, we may make such dispositions at times that, from an investment standpoint, are not advantageous.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RIC, we are not permitted to carry forward or carry back a net operating loss for purposes of computing our investment company taxable income in other taxable years. U.S. federal income tax law generally permits a RIC to carry forward (1) the excess of its net short-term capital loss over its net long-term capital gain for a given year as a short-term capital loss arising on the first day of the following year and (2) the excess of its net long-term capital loss over its net short-term capital gain for a given year as a long-term capital loss arising on the first day of the following year. Future transactions we engage in may cause our ability to use any capital loss carryforwards, and unrealized losses once realized, to be limited under Section 382 of the Code. Certain of our investment practices may be subject to special and complex U.S. federal income tax provisions that may, among other things, (1) disallow, suspend or otherwise limit the allowance of certain losses or deductions, (2) convert lower taxed long-term capital gain and qualified dividend income into higher taxed short-term capital gain or ordinary income, (3) convert an ordinary loss or a deduction into a capital loss (the deductibility of which is more limited), (4) cause us to recognize income or gain without a corresponding receipt of cash, (5) adversely affect the time as to when a purchase or sale of stock or securities is deemed to occur, (6) adversely alter the characterization of certain complex financial transactions and (7) produce income that will not be qualifying income for purposes of the 90% Income Test. We will monitor our transactions and may make certain tax elections in order to mitigate the effect of these provisions.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above, to the extent that we invest in equity securities of entities or arrangements that are treated as partnerships for U.S. federal income tax purposes, the effect of such investments for purposes of the 90% Income Test and the Diversification Tests will depend on whether or not the partnership is a “qualified publicly traded partnership” (as defined in the Code). If the entity or arrangement is a “qualified publicly traded partnership,” the net income derived from such investments will be qualifying income for purposes of the 90% Income Test and will constitute “securities” for purposes of the Diversification Tests. If the entity or arrangement is not treated as a “qualified publicly traded partnership,” however, the consequences of an investment in the partnership will depend upon the amount and type of income and assets of the partnership allocable to us. The income derived from such investments may not be qualifying income for purposes of the 90% Income Test and, therefore, could adversely affect our qualification as a RIC. We intend to monitor our investments in equity securities of entities that are treated as partnerships for U.S. federal income tax purposes to prevent our disqualification as a RIC.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invest in preferred securities or other securities the U.S. federal income tax treatment of which may not be clear or may be subject to recharacterization by the IRS. To the extent the tax treatment of such securities or the income from such securities differs from the expected tax treatment, it could affect the timing or character of income recognized, requiring us to purchase or sell securities, or otherwise change our portfolio, in order to comply with the tax rules applicable to RICs under the Code.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certain applicable Treasury regulations and published guidance by the IRS, a publicly offered RIC may treat a distribution of its own stock as fulfilling its RIC distribution requirements if each shareholder may elect to receive his or her entire distribution in either cash or stock of the RIC, subject to a limitation that the aggregate amount of cash to be distributed to all shareholders must be at least 20% of the aggregate declared distribution. If too many shareholders elect to receive cash,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available for distribution must be allocated among the shareholders electing to receive cash (with the balance of the distribution paid in stock). In no event will any shareholder, electing to receive cash, receive less than the lesser of: (a) the portion of the distribution such shareholder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We may pay dividends in shares of our stock in accordance with these Treasury regulations or published guidance.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Failure to Maintain RIC Tax Treatment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satisfy the 90% Income Test or the Diversification Tests for any taxable year, we may nevertheless continue to qualify as a RIC for that year if certain relief provisions are applicable (which may, among other things, require us to pay U.S. federal income tax imposed at corporate rates or to dispose of certain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were unable to maintain tax treatment as a RIC, we would be subject to U.S. federal income tax on all of our taxable income at regular corporate rates. We would not be able to deduct distributions to shareholders, nor would they be required to be made. Distributions would generally be taxable to our shareholders as dividend income to the extent of our current and accumulated earnings and profits. Subject to certain holding period and other limitations under the Code, corporate distributees may be eligible for the dividends-received deduction, and non-corporate distributees generally may be able to treat such dividends as "qualified dividend income," which is subject to reduced rates of U.S. federal income tax. Distributions in excess of our current and accumulated earnings and profits would be treated first as a return of capital to the extent of the shareholder’s adjusted tax basis, and any remaining distributions would be treated as a capital gain.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qualify again to be taxed as a RIC in a subsequent year, we would be required to distribute to our shareholders our earnings and profits attributable to non-RIC years. In addition, if we fail to meet the RIC requirements for more than two consecutive years and then seek to re-qualify as a RIC, we would be subject to U.S. federal income tax on any built-in gain recognized during the succeeding 5-year period unless we made a special election to recognize all built-in gain upon our re-qualification as a RIC and to pay the U.S. federal income tax on such built-in gain.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Taxation of U.S.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Whether an investment in shares of our common stock is appropriate for a U.S. shareholder will depend upon that shareholder’s particular circumstances. An investment in shares of our common stock by a U.S. shareholder may have adverse tax consequences. U.S. shareholders should consult their own tax advisors before making an investment in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by us are generally taxable to U.S. shareholders as ordinary income or capital gain. Distributions of our “investment company taxable income” (which generally is our ordinary income excluding net capital gain) will be taxable as ordinary income to U.S. shareholders to the extent of our current or accumulated earnings and profits, whether paid in cash or reinvested in additional common stock. To the extent such distributions paid by us to non-corporate U.S. shareholders (including individuals) are attributable to dividends from U.S. corporations and certain qualified foreign corporations, such distributions generally will be eligible for taxation at the reduced U.S. federal income tax rates applicable to “qualifying dividends,” provided that we properly report such distribution as “qualified dividend income” in a written statement furnished to our shareholders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 capital gain (which generally is our net long-term capital gain in excess of net short-term capital loss) properly designated by us as “capital gain dividends” will be taxable to a U.S. shareholder as long-term capital gain (at a maximum U.S. federal income tax rate of 20% in the case of individuals, trusts or estates), regardless of the U.S. shareholder’s holding period for his, her or its common stock and regardless of whether paid in cash or reinvested in additional common stock. Distributions in excess of our current and accumulated earnings and profits first will reduce a U.S. shareholder’s adjusted tax basis in such shareholder’s common stock and, after the adjusted tax basis is reduced to zero, will constitute capital gain to such U.S. shareholder.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lieu of actually distributing our realized net capital gains, we may retain some or all of our long-term capital gain and elect to be deemed to have made a distribution of the retained portion to our shareholders (a “deemed distribution”). In that case, among other consequences, we will pay tax on the retained amount, each U.S. shareholder will be required to include his, her or its proportionate share of the deemed distribution in income as if it had been actually distributed to the U.S. shareholder, and the U.S. shareholder will be entitled to claim a credit equal to his, her or its allocable share of the tax paid thereon by us. The amount of the deemed distribution net of such tax will be added to the U.S. shareholder’s adjusted tax basis for his, her or its common stock. We expect to pay tax on any retained capital gain at our regular corporate tax rate. If the amount of tax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pay and for which a shareholder receives a credit exceeds the tax a shareholder owes on the retained net capital gain, such excess generally may be claimed as a credit against the U.S. shareholder’s other U.S. federal income tax obligations or may be refunded to the extent it exceeds a shareholder’s liability for U.S. federal income tax. A shareholder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shareholders prior to the expiration of 60 days after the close of the relevant taxable year. We cannot treat any of our investment company taxable income as a “deemed distribution.”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shareholder will still be treated as receiving the dividend in the taxable year in which the distribution is made. However, any dividend declared by us in October, November or December of any calendar year, payable to shareholders of record on a specified date in any such month and actually paid during January of the following year, will be treated as if it had been received by our U.S. shareholders on December 31 of the year in which the dividend was declared.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U.S. shareholder generally will recognize taxable gain or loss if the shareholder sells or otherwise disposes of his, her or its shares of our common stock. The amount of gain or loss will be measured by the difference between such shareholder’s adjusted tax basis in the common stock sold and the amount of the proceeds received in exchange therefor. Any gain arising from such sale or disposition generally will be treated as long-term capital gain or loss if the shareholder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 through reinvestment of distributions or otherwise) within 30 days before or after the disposition. The ability to otherwise deduct capital loss may be subject to other limitations under the Code.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non-corporate U.S. shareholders, including individuals, trusts and estates, are subject to U.S. federal income tax at a maximum rate of 20% on their net capital gain, or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shareholders currently are subject to U.S. federal income tax on net capital gain at the maximum 21% corporate tax rate, which also applies to ordinary income. Non-corporate U.S. shareholders with net capital loss for a year (which we define as capital loss in excess of capital gain) generally may deduct up to $3,000 of such losses against their ordinary income each year; any net capital loss of a noncorporate shareholder in excess of $3,000 generally may be carried forward and used in subsequent years as provided in the Code. Corporate U.S. shareholders generally may not deduct any net capital loss for a year, but may carry back such losses for three years or carry forward such losses for five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U.S. shareholders who are individuals, estates or trusts generally are subject to a 3.8% Medicare surtax on the lesser of (1) the U.S. shareholder’s “net investment income” (or “undistributed net investment income” in the case of an estate or trust) for the relevant taxable year and (2) the excess of the U.S shareholder’s modified adjusted gross income for the taxable year over a certain threshold (which in the case of individuals is between $125,000 and $250,000, depending on the individual’s circumstances). A U.S. shareholder’s net investment income generally includes its dividends on, and capital gain from the sale or other disposition of, shares of our common stock.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“publicly offered” RIC is a RIC whose shares are either (1) continuously offered pursuant to a public offering, (2) regularly traded on an established securities market or (3) held by at least 500 persons at all times during the taxable year. If we are not a publicly offered RIC for any period, a non-corporate U.S. shareholder’s pro rata portion of our affected expenses, including our management fees, will be treated as an additional dividend to the shareholder and will be deductible by such shareholder only to the extent permitted under the limitations described below. For non-corporate U.S. shareholders, including individuals, trusts, and estates, significant limitations generally apply to the deductibility of certain expenses of a non-publicly offered RIC, including advisory fees. In particular, these expenses, referred to as miscellaneous itemized deductions, are not currently deductible by individuals, and for taxable years beginning on or after January 1, 2026, will be deductible only to individuals to the extent they exceed 2.0% of such a shareholder’s adjusted gross income, and are not deductible for AMT purposes. Because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that shares of our common stock will continue to be regularly traded on an established securities market, we anticipate that we will continue to qualify as a “publicly offered regulated investment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or the applicable withholding agent, will send to each of our U.S. shareholders, as promptly as possible after the end of each calendar year, a written statement detailing the amounts includible in such U.S. shareholder’s taxable income for such year as ordinary income and long-term capital gain. In addition, the U.S. federal tax status of each year’s distributions generally will be reported to the IRS. Distributions paid by us generally will not be eligible for the dividends-received deduction or the preferential tax rate applicable to qualifying dividends. Distributions also may be subject to additional state, local and foreign taxes depending on a U.S. shareholder’s particular situation.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an exemption applies, we may be required to withhold U.S. federal income tax, or backup withholding, from all taxable distributions to any U.S. shareholder (1) who fails to furnish us with a correct taxpayer identification number or a certificate that such shareholder is exempt from backup withholding or (2) with respect to whom the IRS notifies us that such shareholder has failed to properly report certain interest and dividend income to the IRS and to respond to notices to that effect. An individual’s U.S. taxpayer identification number generally is his or her social security number. Backup withholding is not an additional tax, and any amount withheld may be refunded or credited against a U.S. shareholder’s U.S. federal income tax liability, provided that proper information is timely provided to the IRS.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U.S. Treasury regulations, if a U.S. shareholder recognizes a loss with respect to shares of our common stock of $2 million or more for an individual, subchapter S corporation, trust or a partnership with at least one non-corporate partner or $10 million or more for a shareholder that is either a corporation or a partnership with only corporate partners in any single taxable year (or a greater loss over a combination of years), the shareholder must file with the IRS a disclosure statement on IRS Form 8886 (or successor form). Direct shareholders of portfolio securities in many cases are exempted from this reporting requirement, but under current guidance, shareholders of a RIC are not exempted. Future guidance may extend the current exception from this reporting requirement to shareholders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also may have a similar reporting requirement. Shareholders should consult their own tax advisors to determine the applicability of these regulations in light of their individual circumstances.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Taxation of Non-U.S.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Whether an investment in shares of our common stock is appropriate for a Non-U.S. shareholder will depend upon that shareholder’s particular circumstances. An investment in shares of our common stock by a Non-U.S. shareholder may have adverse tax consequences. Non-U.S. shareholders should consult their tax advisors before investing in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of our “investment company taxable income” to Non-U.S. shareholders that are not “effectively connected” with the conduct of a U.S. trade or business by the Non-U.S. shareholder, generally will be subject to withholding of U.S. federal income tax at a rate of 30% (or such lower rate provided by an applicable treaty) to the extent of our current and accumulated earnings and profits, unless an applicable exception applies. An exception will apply to any dividends that are properly reported by us as “interest-related dividends” or “short-term capital gain dividends.” In general, we may report a dividend as an interest-related dividend to the extent it is attributable to our “qualified net interest income” (generally, our U.S.-source interest income, other than certain contingent interest and interest from obligations of a corporation or partnership in which we are at least a 10% shareholder, reduced by expenses that are allocable to such income), or we may report a dividend as a short-term capital gain dividend to the extent it is attributable to our “qualified short-term capital gains” (generally, the excess of our realized net short-term capital gain over our realized net long-term capital loss for such taxable year). Depending on the circumstances, we may report all, some or none of our potentially eligible dividends as interest-related dividends or short-term capital gain dividends. However, we cannot determine what portion of our distributions (if any) will be eligible for this exemption until after the end of our taxable year. No certainty can be provided that any of our distributions will be reported as eligible for this exemption. In the case of shares held through an intermediary, the intermediary could withhold even if we report the payment as eligible for this exemption. Non-U.S. shareholders should contact their intermediaries with respect to the application of these rules to their accounts.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Actual or deemed distributions of our net capital gain to a Non-U.S. shareholder, and gains realized by a Non-U.S. shareholder upon the sale or redemption of our common stock, will not be subject to U.S. federal income tax unless the distributions or gains are effectively connected with the conduct of a U.S. trade or business by the Non-U.S. shareholder and, if an income tax treaty applies, are attributable to a permanent establishment maintained by the Non-U.S. shareholder in the United States, or, in the case of an individual, the Non-U.S. shareholder was present in the United States for 183 days or more during the taxable year and certain other conditions are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distribute our net capital gain in the form of deemed rather than actual distributions (which we may do in the future), a Non-U.S. shareholder will be entitled to a U.S. federal income tax credit or tax refund equal to the shareholder’s allocable share of the tax we pay on the capital gain deemed to have been distributed. In order to obtain the refund, the Non-U.S. shareholder must obtain a U.S. taxpayer identification number and file a U.S. federal income tax return even if the Non-U.S. shareholder would not otherwise be required to obtain a U.S. taxpayer identification number or file a U.S. federal income tax return. Accordingly, investment in shares of our common stock may not be appropriate for a Non-U.S. shareholder.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of our “investment company taxable income” and net capital gain (including deemed distributions) to Non-U.S. shareholders, and gain realized by Non-U.S. shareholders upon the sale of our common stock that is “effectively connected” with the conduct of a U.S. trade or business by the Non-U.S. shareholder (or if an income tax treaty applies, attributable to a “permanent establishment” in the United States), will be subject to U.S. federal income tax on a net-basis at the graduated rates applicable to U.S. citizens, residents and domestic corporations. Corporate Non-U.S. shareholders also may be subject to an additional branch profits tax at a rate of 30% imposed by the Code (or such lower rate provided by an applicable treaty). In the case of a non-corporate Non-U.S. shareholder, we may be required to withhold U.S. federal income tax from distributions that are otherwise exempt from withholding tax (or taxable at a reduced rate) unless the Non-U.S. shareholder certifies his or her foreign status under penalties of perjury or otherwise establishes an exemption.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tax consequences to a Non-U.S. shareholder entitled to claim the benefits of an applicable tax treaty may differ from those described herein. Non-U.S. shareholders are advised to consult with their own tax advisers with respect to the particular tax consequences to them of an investment in shares of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Non-U.S. shareholder who is a nonresident alien individual may be subject to information reporting and backup withholding of U.S. federal income tax on dividends unless the Non-U.S. shareholder provides us or the dividend paying agent with an IRS Form W-8BEN or W-8BEN-E, as applicable (or an acceptable substitute or successor form) or otherwise meets documentary evidence requirements for establishing that it is a Non-U.S. shareholder or otherwise establishes an exemption from backup withholding.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Non-U.S. persons should consult their own tax advisors with respect to the U.S. federal income tax and withholding tax, and state, local and foreign tax consequences of an investment in our common stock.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FATCA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Legislation commonly referred to as the “Foreign Account Tax Compliance Act,” or “FATCA,” generally imposes a 30% withholding tax on payments of certain types of income to foreign financial institutions (“FFIs”) unless such FFIs either (i) enter into an agreement with the U.S. Department of the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existing U.S. Treasury regulations would also require withholding on payments of the gross proceeds from the sale of any property that could produce U.S.-source interest or dividends, the U.S. Department of the Treasury has indicated in subsequent proposed regulations its intent to eliminate this requirement. These proposed regulations state that taxpayers may rely on the proposed regulations until final regulations are issued. The information required to be reported includes the identity and taxpayer identification number of each account holder that is a specified U.S. person and financial information associated with the holder’s account. Subject to certain exceptions, FATCA also imposes a 30% withholding tax on certain payments to certain foreign entities that are not FFIs unless the foreign entity </w:t>
      </w:r>
      <w:r>
        <w:rPr>
          <w:rFonts w:ascii="Times New Roman;serif" w:hAnsi="Times New Roman;serif"/>
          <w:b w:val="false"/>
          <w:color w:val="231F20"/>
          <w:sz w:val="20"/>
        </w:rPr>
        <w:t>certifies that it does not have a greater than 10% owner that is a specified U.S. person or provides the withholding agent with identifying information on each greater than 10% owner that is a specified U.S. person.</w:t>
      </w:r>
      <w:r>
        <w:rPr>
          <w:color w:val="000000"/>
        </w:rPr>
        <w:t xml:space="preserve"> </w:t>
      </w:r>
      <w:r>
        <w:rPr>
          <w:rFonts w:ascii="Times New Roman;serif" w:hAnsi="Times New Roman;serif"/>
          <w:b w:val="false"/>
          <w:color w:val="000000"/>
          <w:sz w:val="20"/>
        </w:rPr>
        <w:t xml:space="preserve">Depending on the status of a shareholder and the status of the intermediaries through which they hold their shares, shareholders could be subject to this 30% withholding tax with respect to distributions on their shares and potentially proceeds from the sale of their shares. Under certain circumstances, a shareholder might be eligible for refunds or credits of such taxes.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information in “Part I, Item 1. Business – Regulation as a Business Development Company” and “Part I, Item 1. Business – Regulation as a Small Business Investment Company” of our most recent </w:t>
      </w:r>
      <w:hyperlink r:id="rId27">
        <w:r>
          <w:rPr>
            <w:rStyle w:val="InternetLink"/>
            <w:rFonts w:ascii="Times New Roman;serif" w:hAnsi="Times New Roman;serif"/>
            <w:b w:val="false"/>
            <w:color w:val="0000FF"/>
            <w:sz w:val="20"/>
            <w:u w:val="single"/>
          </w:rPr>
          <w:t>Annual Report on Form 10-K</w:t>
        </w:r>
      </w:hyperlink>
      <w:r>
        <w:rPr>
          <w:color w:val="000000"/>
        </w:rPr>
        <w:t> </w:t>
      </w:r>
      <w:r>
        <w:rPr>
          <w:rFonts w:ascii="Times New Roman;serif" w:hAnsi="Times New Roman;serif"/>
          <w:b w:val="false"/>
          <w:color w:val="000000"/>
          <w:sz w:val="20"/>
        </w:rPr>
        <w:t>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from time to time, in one or more offerings, our common stock or debt securities in one or more underwritten public offerings, “at the market offerings” to or through a market maker or into an existing trading market for the securities, on an exchange, or otherwise negotiated transactions, block trades, best efforts, auctions or a combination of these methods. The holders of our common stock will indirectly bear any fees and expenses in connection with any such offerings. We may sell the securities through underwriters or dealers, directly to one or more purchasers. Any underwriter or agent involved in the offer and sale of the securities will be named in the applicable prospectus supplement. A prospectus supplement or supplements also will describe the terms of the offering of the securities, including: the purchase price of the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In addition, we may enter into registration rights agreements or other similar agreements in the future pursuant to which certain of our shareholders may resell our securities under this prospectus and as described in any related prospectus supplement.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distribution of our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NAV per share of our common stock except (i) with the consent of the majority of our voting securities or (ii) under such other circumstances as the SEC may permit. We did not seek shareholder authorization to issue common stock at a price below NAV per share at our 2024 annual meeting of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sale of our securities, underwriters or agents may receive compensation from us or from purchasers of our securities, for whom they may act as agents, in the form of discounts, concessions or commissions. 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supplement.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 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underwriters that are qualified market makers on Nasdaq may engage in passive market making transactions in our common stock on Nasdaq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the applicable prospectus supplement, each class or series of securities will be a new issue with no trading market, other than our common stock, which is traded on Nasdaq. We may elect to list any other class or series of securities on any exchanges, but we are not obligated to do so. We cannot guarantee the liquidity of the trading markets for any securities.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agreements into which we may enter, underwriters, dealers and agents who participate in the distribution of our securities may be entitled to indemnification by us against certain liabilities, including liabilities under the Securities Act. Underwriters, dealers and agents may engage in transactions with, or perform services for, us in the ordinary course of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comply with the securities laws of certain states, if applicable, our securities offered hereby will be sold in such jurisdictions only through registered or licensed brokers or dealers. In addition, in certain states, our securities may not be sold unless they have been registered or qualified for sale in the applicable state or an exemption from the registration or qualification requirement is available and is complied with.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Agents, dealers and underwriters may be entitled to indemnification by us against certain civil liabilities, including liabilities under the Securities Act or to contribution with respect to payments which the agents or underwriters may be required to make in respect thereof. Agents, dealers and underwriters may be customers of, engage in transactions with, or perform services for us in the ordinary course of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amount of any compensation to be received by any member of the Financial Industry Regulatory Authority, Inc. will not be greater than 10% for the sale of any securities being registered. </w:t>
      </w:r>
    </w:p>
    <w:p>
      <w:pPr>
        <w:pStyle w:val="TextBody"/>
        <w:bidi w:val="0"/>
        <w:spacing w:lineRule="auto" w:line="333"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CUSTODIAN, TRANSFER AND DISTRIBUTION PAYING AGENT AND REGISTRAR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securities are held under custody agreements by U.S. Bank National Association, whose address is 8 Greenway Plaza, Suite 1100, Houston, Texas 77046. Equiniti Trust Company, LLC acts as our transfer agent, distribution paying agent and registrar. The principal business address of our transfer agent is 48 Wall Street, New York 10005, telephone number: (800) 937-5449.</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BROKERAGE ALLOCATION AND OTHER PRACTICES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generally acquire and dispose of our investments in privately negotiated transactions, we infrequently use brokers in the normal course of our business. Our investment team is primarily responsible for the execution of the publicly traded securities portion of our portfolio transactions and the allocation of brokerage commissions. We do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we generally will seek reasonably competitive trade execution costs, we will not necessarily pay the lowest spread or commission available. Subject to applicable legal requirements, we may select a broker based partly upon brokerage or research services provided to us. In return for such services, we may pay a higher commission than other brokers would charge if we determine in good faith that such commission is reasonable in relation to the services provided. We did not pay any brokerage commissions during the three years ended March 31,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legal matters in connection with the securities offered hereby will be passed upon for us by Eversheds Sutherland (US) LLP, Washington, D.C. Certain legal matters will be passed upon for underwriters, if any, by the counsel named in the prospectus supplement, if any.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of Capital Southwest Corporation and its subsidiaries as of the year ended March 31, 2024 and for each of the three years in the period ended March 31, 2024 and the related Schedule of Investments in and Advances to Affiliates in Schedule 12-14 incorporated in this prospectus by reference from the Company’s Annual Report on Form 10-K for the year ended March 31, 2024 have been audited by RSM US LLP, an independent registered public accounting firm, as stated in their reports thereon (which report expresses an unqualified opinion) incorporated herein by reference, and have been incorporated in this prospectus and registration statement in reliance upon such reports and upon the authority of such firm as experts in accounting and auditing. The senior securities table as of March 31, 2024, 2023, 2022, 2021, 2020, 2019 and 2018 of Capital Southwest Corporation and subsidiaries, incorporated by reference in this prospectus, has been so included in reliance upon the report of RSM US LLP, an independent registered public accounting firm. RSM US LLP’s principal business address is 30 South Wacker, Chicago, Illinois 60606.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securities table as of March 31, 2017 of Capital Southwest Corporation and subsidiaries incorporated by reference in this prospectus and elsewhere in the registration statement has been incorporated by reference in reliance upon the report of Capital Southwest Corporation's former independent registered public accounting firm.</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 xml:space="preserve">This prospectus is part of a registration statement that we have filed with the SEC. We may “incorporate by reference” the information that we file with the SEC, which means that we can disclose important information to you by referring you to those documents. </w:t>
      </w:r>
      <w:r>
        <w:rPr>
          <w:rFonts w:ascii="Times New Roman;serif" w:hAnsi="Times New Roman;serif"/>
          <w:b w:val="false"/>
          <w:color w:val="000000"/>
          <w:sz w:val="20"/>
          <w:shd w:fill="FFFFFF" w:val="clear"/>
        </w:rPr>
        <w:t>The information incorporated by reference is considered to comprise a part of this prospectus from the date we file that document. Any reports filed by us with the SEC subsequent to the date of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incorporate by reference into this prospectus our filings listed below and any future filings that we may file with the SEC under Section 13(a), 13(c), 14 or 15(d) of the Exchange Act, subsequent to the date of this prospectus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this prospectus will automatically update and may supersede information in this prospectus, any accompanying prospectus supplement and other information previously filed with the SEC.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prospectus incorporates by reference the documents set forth below that have been previously filed with the SEC: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w:t>
      </w:r>
      <w:hyperlink r:id="rId28">
        <w:r>
          <w:rPr>
            <w:rStyle w:val="InternetLink"/>
            <w:rFonts w:ascii="Times New Roman;serif" w:hAnsi="Times New Roman;serif"/>
            <w:b w:val="false"/>
            <w:color w:val="0000FF"/>
            <w:sz w:val="20"/>
            <w:u w:val="single"/>
          </w:rPr>
          <w:t>Annual Report on Form 10-K</w:t>
        </w:r>
      </w:hyperlink>
      <w:r>
        <w:rPr>
          <w:color w:val="3051F2"/>
        </w:rPr>
        <w:t> </w:t>
      </w:r>
      <w:r>
        <w:rPr>
          <w:rFonts w:ascii="Times New Roman;serif" w:hAnsi="Times New Roman;serif"/>
          <w:b w:val="false"/>
          <w:color w:val="000000"/>
          <w:sz w:val="20"/>
        </w:rPr>
        <w:t>for the fiscal year ended March 31, 2024, filed with the SEC on May 21,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w:t>
      </w:r>
      <w:hyperlink r:id="rId29">
        <w:r>
          <w:rPr>
            <w:rStyle w:val="InternetLink"/>
            <w:rFonts w:ascii="Times New Roman;serif" w:hAnsi="Times New Roman;serif"/>
            <w:b w:val="false"/>
            <w:color w:val="0000FF"/>
            <w:sz w:val="20"/>
            <w:u w:val="single"/>
          </w:rPr>
          <w:t>Quarterly Report on Form 10-Q</w:t>
        </w:r>
      </w:hyperlink>
      <w:r>
        <w:rPr>
          <w:color w:val="000000"/>
        </w:rPr>
        <w:t xml:space="preserve"> </w:t>
      </w:r>
      <w:r>
        <w:rPr>
          <w:rFonts w:ascii="Times New Roman;serif" w:hAnsi="Times New Roman;serif"/>
          <w:b w:val="false"/>
          <w:color w:val="000000"/>
          <w:sz w:val="20"/>
        </w:rPr>
        <w:t>for the quarter ended June 30, 2024, filed with the SEC on August 6,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Current Reports on Form 8-K (other than information furnished rather than filed in accordance with SEC rules) filed with the SEC on </w:t>
      </w:r>
      <w:hyperlink r:id="rId30">
        <w:r>
          <w:rPr>
            <w:rStyle w:val="InternetLink"/>
            <w:rFonts w:ascii="Times New Roman;serif" w:hAnsi="Times New Roman;serif"/>
            <w:b w:val="false"/>
            <w:color w:val="0000FF"/>
            <w:sz w:val="20"/>
            <w:u w:val="single"/>
          </w:rPr>
          <w:t>May 21, 2024</w:t>
        </w:r>
      </w:hyperlink>
      <w:r>
        <w:rPr>
          <w:rFonts w:ascii="Times New Roman;serif" w:hAnsi="Times New Roman;serif"/>
          <w:b w:val="false"/>
          <w:color w:val="000000"/>
          <w:sz w:val="20"/>
        </w:rPr>
        <w:t xml:space="preserve">, </w:t>
      </w:r>
      <w:hyperlink r:id="rId31">
        <w:r>
          <w:rPr>
            <w:rStyle w:val="InternetLink"/>
            <w:rFonts w:ascii="Times New Roman;serif" w:hAnsi="Times New Roman;serif"/>
            <w:b w:val="false"/>
            <w:color w:val="0000FF"/>
            <w:sz w:val="20"/>
            <w:u w:val="single"/>
          </w:rPr>
          <w:t>July 17, 2024</w:t>
        </w:r>
      </w:hyperlink>
      <w:r>
        <w:rPr>
          <w:rFonts w:ascii="Times New Roman;serif" w:hAnsi="Times New Roman;serif"/>
          <w:b w:val="false"/>
          <w:color w:val="000000"/>
          <w:sz w:val="20"/>
        </w:rPr>
        <w:t xml:space="preserve">, </w:t>
      </w:r>
      <w:hyperlink r:id="rId32">
        <w:r>
          <w:rPr>
            <w:rStyle w:val="InternetLink"/>
            <w:rFonts w:ascii="Times New Roman;serif" w:hAnsi="Times New Roman;serif"/>
            <w:b w:val="false"/>
            <w:color w:val="0000FF"/>
            <w:sz w:val="20"/>
            <w:u w:val="single"/>
          </w:rPr>
          <w:t>July 26, 2024</w:t>
        </w:r>
      </w:hyperlink>
      <w:r>
        <w:rPr>
          <w:rFonts w:ascii="Times New Roman;serif" w:hAnsi="Times New Roman;serif"/>
          <w:b w:val="false"/>
          <w:color w:val="000000"/>
          <w:sz w:val="20"/>
        </w:rPr>
        <w:t xml:space="preserve">, and </w:t>
      </w:r>
      <w:hyperlink r:id="rId33">
        <w:r>
          <w:rPr>
            <w:rStyle w:val="InternetLink"/>
            <w:rFonts w:ascii="Times New Roman;serif" w:hAnsi="Times New Roman;serif"/>
            <w:b w:val="false"/>
            <w:color w:val="0000FF"/>
            <w:sz w:val="20"/>
            <w:u w:val="single"/>
          </w:rPr>
          <w:t>September 12, 2024</w:t>
        </w:r>
      </w:hyperlink>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w:t>
      </w:r>
      <w:hyperlink r:id="rId34">
        <w:r>
          <w:rPr>
            <w:rStyle w:val="InternetLink"/>
            <w:rFonts w:ascii="Times New Roman;serif" w:hAnsi="Times New Roman;serif"/>
            <w:b w:val="false"/>
            <w:color w:val="0000FF"/>
            <w:sz w:val="20"/>
            <w:u w:val="single"/>
          </w:rPr>
          <w:t>Definitive Proxy Statement on Schedule 14A</w:t>
        </w:r>
      </w:hyperlink>
      <w:r>
        <w:rPr>
          <w:color w:val="000000"/>
        </w:rPr>
        <w:t> </w:t>
      </w:r>
      <w:r>
        <w:rPr>
          <w:rFonts w:ascii="Times New Roman;serif" w:hAnsi="Times New Roman;serif"/>
          <w:b w:val="false"/>
          <w:color w:val="000000"/>
          <w:sz w:val="20"/>
        </w:rPr>
        <w:t>(but only with respect to information required by Part III of the Company’s Annual Report on Form 10-K for the fiscal year ended March 31, 2024), filed with the SEC on May 31, 2024;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description of our Common Stock referenced in our Registration Statement on Form 8-A, as filed with the SEC on April 28, 1961, including any amendment or report filed for the purpose of updating such description prior to the termination of the offering of the common stock registered hereby.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obtain copies of these filings, see “Available Information.”</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file with or submit to the SEC annual, quarterly and current reports, proxy statements and other information meeting the informational requirements of the Exchange Act. This information is available free of charge on our website at </w:t>
      </w:r>
      <w:r>
        <w:rPr>
          <w:rFonts w:ascii="Times New Roman;serif" w:hAnsi="Times New Roman;serif"/>
          <w:b w:val="false"/>
          <w:i/>
          <w:color w:val="000000"/>
          <w:sz w:val="20"/>
        </w:rPr>
        <w:t xml:space="preserve">www.capitalsouthwest.com </w:t>
      </w:r>
      <w:r>
        <w:rPr>
          <w:rFonts w:ascii="Times New Roman;serif" w:hAnsi="Times New Roman;serif"/>
          <w:b w:val="false"/>
          <w:color w:val="000000"/>
          <w:sz w:val="20"/>
        </w:rPr>
        <w:t>or by calling us at (214) 238-5700 or. Information contained on our website is not incorporated into this prospectus and you should not consider such information to be part of this document. The SEC maintains a website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that contains such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can request a copy of any of our SEC filings, including those incorporated by reference herein, at no cost, by writing or telephoning us at the following address or telephone number: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Capital Southwest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8333 Douglas Avenue, Suite 1100,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Dallas, Texas 75225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 238-5700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Attn: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1800225" cy="733425"/>
            <wp:effectExtent l="0" t="0" r="0" b="0"/>
            <wp:docPr id="13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 descr=""/>
                    <pic:cNvPicPr>
                      <a:picLocks noChangeAspect="1" noChangeArrowheads="1"/>
                    </pic:cNvPicPr>
                  </pic:nvPicPr>
                  <pic:blipFill>
                    <a:blip r:embed="rId35"/>
                    <a:stretch>
                      <a:fillRect/>
                    </a:stretch>
                  </pic:blipFill>
                  <pic:spPr bwMode="auto">
                    <a:xfrm>
                      <a:off x="0" y="0"/>
                      <a:ext cx="1800225" cy="733425"/>
                    </a:xfrm>
                    <a:prstGeom prst="rect">
                      <a:avLst/>
                    </a:prstGeom>
                  </pic:spPr>
                </pic:pic>
              </a:graphicData>
            </a:graphic>
          </wp:inline>
        </w:drawing>
      </w:r>
      <w:bookmarkStart w:id="2" w:name="i-3"/>
      <w:bookmarkEnd w:id="2"/>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$350,000,000</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6.750% Notes due 2031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PROSPECTUS SUPPLEMENT</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September 10, 2026</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tbl>
      <w:tblPr>
        <w:tblW w:w="1808" w:type="dxa"/>
        <w:jc w:val="center"/>
        <w:tblInd w:w="0" w:type="dxa"/>
        <w:tblLayout w:type="fixed"/>
        <w:tblCellMar>
          <w:top w:w="28" w:type="dxa"/>
          <w:left w:w="28" w:type="dxa"/>
          <w:bottom w:w="28" w:type="dxa"/>
          <w:right w:w="28" w:type="dxa"/>
        </w:tblCellMar>
      </w:tblPr>
      <w:tblGrid>
        <w:gridCol w:w="164"/>
        <w:gridCol w:w="144"/>
        <w:gridCol w:w="144"/>
        <w:gridCol w:w="144"/>
        <w:gridCol w:w="144"/>
        <w:gridCol w:w="144"/>
        <w:gridCol w:w="144"/>
        <w:gridCol w:w="144"/>
        <w:gridCol w:w="144"/>
        <w:gridCol w:w="144"/>
        <w:gridCol w:w="144"/>
        <w:gridCol w:w="204"/>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808"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i/>
                <w:color w:val="000000"/>
                <w:sz w:val="20"/>
              </w:rPr>
            </w:pPr>
            <w:r>
              <w:rPr>
                <w:rFonts w:ascii="Times New Roman;serif" w:hAnsi="Times New Roman;serif"/>
                <w:b/>
                <w:i/>
                <w:color w:val="000000"/>
                <w:sz w:val="20"/>
              </w:rPr>
              <w:t>Active Bookrunners</w:t>
            </w:r>
          </w:p>
        </w:tc>
      </w:tr>
    </w:tbl>
    <w:tbl>
      <w:tblPr>
        <w:tblW w:w="10205" w:type="dxa"/>
        <w:jc w:val="center"/>
        <w:tblInd w:w="0" w:type="dxa"/>
        <w:tblLayout w:type="fixed"/>
        <w:tblCellMar>
          <w:top w:w="28" w:type="dxa"/>
          <w:left w:w="28" w:type="dxa"/>
          <w:bottom w:w="28" w:type="dxa"/>
          <w:right w:w="28" w:type="dxa"/>
        </w:tblCellMar>
      </w:tblPr>
      <w:tblGrid>
        <w:gridCol w:w="769"/>
        <w:gridCol w:w="677"/>
        <w:gridCol w:w="682"/>
        <w:gridCol w:w="790"/>
        <w:gridCol w:w="790"/>
        <w:gridCol w:w="792"/>
        <w:gridCol w:w="155"/>
        <w:gridCol w:w="155"/>
        <w:gridCol w:w="156"/>
        <w:gridCol w:w="470"/>
        <w:gridCol w:w="470"/>
        <w:gridCol w:w="472"/>
        <w:gridCol w:w="613"/>
        <w:gridCol w:w="613"/>
        <w:gridCol w:w="615"/>
        <w:gridCol w:w="577"/>
        <w:gridCol w:w="577"/>
        <w:gridCol w:w="832"/>
      </w:tblGrid>
      <w:tr>
        <w:trPr/>
        <w:tc>
          <w:tcPr>
            <w:tcW w:w="7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Deutsche Bank Securities</w:t>
            </w:r>
          </w:p>
        </w:tc>
        <w:tc>
          <w:tcPr>
            <w:tcW w:w="2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Huntington Capital Markets</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ING</w:t>
            </w:r>
          </w:p>
        </w:tc>
        <w:tc>
          <w:tcPr>
            <w:tcW w:w="14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Morgan Stanley</w:t>
            </w:r>
          </w:p>
        </w:tc>
        <w:tc>
          <w:tcPr>
            <w:tcW w:w="18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RBC Capital Markets</w:t>
            </w:r>
          </w:p>
        </w:tc>
        <w:tc>
          <w:tcPr>
            <w:tcW w:w="19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Wells Fargo Securities</w:t>
            </w:r>
          </w:p>
        </w:tc>
      </w:tr>
    </w:tbl>
    <w:tbl>
      <w:tblPr>
        <w:tblW w:w="3001" w:type="dxa"/>
        <w:jc w:val="center"/>
        <w:tblInd w:w="0" w:type="dxa"/>
        <w:tblLayout w:type="fixed"/>
        <w:tblCellMar>
          <w:top w:w="28" w:type="dxa"/>
          <w:left w:w="28" w:type="dxa"/>
          <w:bottom w:w="28" w:type="dxa"/>
          <w:right w:w="28" w:type="dxa"/>
        </w:tblCellMar>
      </w:tblPr>
      <w:tblGrid>
        <w:gridCol w:w="647"/>
        <w:gridCol w:w="567"/>
        <w:gridCol w:w="571"/>
        <w:gridCol w:w="356"/>
        <w:gridCol w:w="356"/>
        <w:gridCol w:w="504"/>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i/>
                <w:color w:val="000000"/>
                <w:sz w:val="20"/>
              </w:rPr>
            </w:pPr>
            <w:r>
              <w:rPr>
                <w:rFonts w:ascii="Times New Roman;serif" w:hAnsi="Times New Roman;serif"/>
                <w:b/>
                <w:i/>
                <w:color w:val="000000"/>
                <w:sz w:val="20"/>
              </w:rPr>
              <w:t>Passive Bookrunner</w:t>
            </w:r>
          </w:p>
        </w:tc>
        <w:tc>
          <w:tcPr>
            <w:tcW w:w="12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i/>
                <w:color w:val="000000"/>
                <w:sz w:val="20"/>
              </w:rPr>
            </w:pPr>
            <w:r>
              <w:rPr>
                <w:rFonts w:ascii="Times New Roman;serif" w:hAnsi="Times New Roman;serif"/>
                <w:b/>
                <w:i/>
                <w:color w:val="000000"/>
                <w:sz w:val="20"/>
              </w:rPr>
              <w:t>Co-Manager</w:t>
            </w:r>
          </w:p>
        </w:tc>
      </w:tr>
    </w:tbl>
    <w:tbl>
      <w:tblPr>
        <w:tblW w:w="4196"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600"/>
        <w:gridCol w:w="600"/>
        <w:gridCol w:w="855"/>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ind w:left="0" w:right="0" w:hanging="60"/>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Oppenheimer &amp;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Zions Capital Markets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Calculation of Filing Fee Table </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Rule 424(b)(2)</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 Type) </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Capital Southwest Corporation</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lineRule="auto" w:line="333" w:before="240" w:after="48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Table 1: Newly Registered and Carry Forward Securities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0"/>
        <w:gridCol w:w="200"/>
        <w:gridCol w:w="201"/>
        <w:gridCol w:w="214"/>
        <w:gridCol w:w="214"/>
        <w:gridCol w:w="218"/>
        <w:gridCol w:w="270"/>
        <w:gridCol w:w="270"/>
        <w:gridCol w:w="271"/>
        <w:gridCol w:w="364"/>
        <w:gridCol w:w="364"/>
        <w:gridCol w:w="368"/>
        <w:gridCol w:w="235"/>
        <w:gridCol w:w="235"/>
        <w:gridCol w:w="236"/>
        <w:gridCol w:w="364"/>
        <w:gridCol w:w="364"/>
        <w:gridCol w:w="368"/>
        <w:gridCol w:w="319"/>
        <w:gridCol w:w="319"/>
        <w:gridCol w:w="323"/>
        <w:gridCol w:w="304"/>
        <w:gridCol w:w="304"/>
        <w:gridCol w:w="308"/>
        <w:gridCol w:w="205"/>
        <w:gridCol w:w="205"/>
        <w:gridCol w:w="206"/>
        <w:gridCol w:w="205"/>
        <w:gridCol w:w="205"/>
        <w:gridCol w:w="206"/>
        <w:gridCol w:w="210"/>
        <w:gridCol w:w="210"/>
        <w:gridCol w:w="211"/>
        <w:gridCol w:w="242"/>
        <w:gridCol w:w="242"/>
        <w:gridCol w:w="3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4"/>
              </w:rPr>
            </w:pPr>
            <w:r>
              <w:rPr>
                <w:rFonts w:ascii="Times New Roman;serif" w:hAnsi="Times New Roman;serif"/>
                <w:b/>
                <w:color w:val="000000"/>
                <w:sz w:val="14"/>
              </w:rPr>
              <w:t>Security</w:t>
            </w:r>
          </w:p>
          <w:p>
            <w:pPr>
              <w:pStyle w:val="TableContents"/>
              <w:bidi w:val="0"/>
              <w:spacing w:lineRule="auto" w:line="333" w:before="0" w:after="20"/>
              <w:jc w:val="center"/>
              <w:rPr>
                <w:rFonts w:ascii="Times New Roman;serif" w:hAnsi="Times New Roman;serif"/>
                <w:b/>
                <w:color w:val="000000"/>
                <w:sz w:val="14"/>
              </w:rPr>
            </w:pPr>
            <w:r>
              <w:rPr>
                <w:rFonts w:ascii="Times New Roman;serif" w:hAnsi="Times New Roman;serif"/>
                <w:b/>
                <w:color w:val="000000"/>
                <w:sz w:val="14"/>
              </w:rPr>
              <w:t>Type</w:t>
            </w:r>
          </w:p>
        </w:tc>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4"/>
              </w:rPr>
            </w:pPr>
            <w:r>
              <w:rPr>
                <w:rFonts w:ascii="Times New Roman;serif" w:hAnsi="Times New Roman;serif"/>
                <w:b/>
                <w:color w:val="000000"/>
                <w:sz w:val="14"/>
              </w:rPr>
              <w:t>Security</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Class</w:t>
            </w:r>
          </w:p>
          <w:p>
            <w:pPr>
              <w:pStyle w:val="TableContents"/>
              <w:bidi w:val="0"/>
              <w:spacing w:lineRule="auto" w:line="333" w:before="0" w:after="20"/>
              <w:jc w:val="center"/>
              <w:rPr>
                <w:rFonts w:ascii="Times New Roman;serif" w:hAnsi="Times New Roman;serif"/>
                <w:b/>
                <w:color w:val="000000"/>
                <w:sz w:val="14"/>
              </w:rPr>
            </w:pPr>
            <w:r>
              <w:rPr>
                <w:rFonts w:ascii="Times New Roman;serif" w:hAnsi="Times New Roman;serif"/>
                <w:b/>
                <w:color w:val="000000"/>
                <w:sz w:val="14"/>
              </w:rPr>
              <w:t>Title</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4"/>
              </w:rPr>
            </w:pPr>
            <w:r>
              <w:rPr>
                <w:rFonts w:ascii="Times New Roman;serif" w:hAnsi="Times New Roman;serif"/>
                <w:b/>
                <w:color w:val="000000"/>
                <w:sz w:val="14"/>
              </w:rPr>
              <w:t>Fee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Calculation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or Carry</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Forward</w:t>
            </w:r>
          </w:p>
          <w:p>
            <w:pPr>
              <w:pStyle w:val="TableContents"/>
              <w:bidi w:val="0"/>
              <w:spacing w:lineRule="auto" w:line="288" w:before="0" w:after="20"/>
              <w:jc w:val="center"/>
              <w:rPr>
                <w:rFonts w:ascii="Times New Roman;serif" w:hAnsi="Times New Roman;serif"/>
                <w:b/>
                <w:color w:val="000000"/>
                <w:sz w:val="14"/>
              </w:rPr>
            </w:pPr>
            <w:r>
              <w:rPr>
                <w:rFonts w:ascii="Times New Roman;serif" w:hAnsi="Times New Roman;serif"/>
                <w:b/>
                <w:color w:val="000000"/>
                <w:sz w:val="14"/>
              </w:rPr>
              <w:t>Rule</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4"/>
              </w:rPr>
            </w:pPr>
            <w:r>
              <w:rPr>
                <w:rFonts w:ascii="Times New Roman;serif" w:hAnsi="Times New Roman;serif"/>
                <w:b/>
                <w:color w:val="000000"/>
                <w:sz w:val="14"/>
              </w:rPr>
              <w:t>Amount</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Being</w:t>
            </w:r>
          </w:p>
          <w:p>
            <w:pPr>
              <w:pStyle w:val="TableContents"/>
              <w:bidi w:val="0"/>
              <w:spacing w:lineRule="auto" w:line="288" w:before="0" w:after="20"/>
              <w:jc w:val="center"/>
              <w:rPr>
                <w:rFonts w:ascii="Times New Roman;serif" w:hAnsi="Times New Roman;serif"/>
                <w:b/>
                <w:color w:val="000000"/>
                <w:sz w:val="14"/>
              </w:rPr>
            </w:pPr>
            <w:r>
              <w:rPr>
                <w:rFonts w:ascii="Times New Roman;serif" w:hAnsi="Times New Roman;serif"/>
                <w:b/>
                <w:color w:val="000000"/>
                <w:sz w:val="14"/>
              </w:rPr>
              <w:t>Registered</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4"/>
              </w:rPr>
            </w:pPr>
            <w:r>
              <w:rPr>
                <w:rFonts w:ascii="Times New Roman;serif" w:hAnsi="Times New Roman;serif"/>
                <w:b/>
                <w:color w:val="000000"/>
                <w:sz w:val="14"/>
              </w:rPr>
              <w:t>Proposed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Maximum</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Offering</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Price Per</w:t>
            </w:r>
          </w:p>
          <w:p>
            <w:pPr>
              <w:pStyle w:val="TableContents"/>
              <w:bidi w:val="0"/>
              <w:spacing w:lineRule="auto" w:line="288" w:before="0" w:after="20"/>
              <w:jc w:val="center"/>
              <w:rPr>
                <w:rFonts w:ascii="Times New Roman;serif" w:hAnsi="Times New Roman;serif"/>
                <w:b/>
                <w:color w:val="000000"/>
                <w:sz w:val="14"/>
              </w:rPr>
            </w:pPr>
            <w:r>
              <w:rPr>
                <w:rFonts w:ascii="Times New Roman;serif" w:hAnsi="Times New Roman;serif"/>
                <w:b/>
                <w:color w:val="000000"/>
                <w:sz w:val="14"/>
              </w:rPr>
              <w:t>Unit</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4"/>
              </w:rPr>
            </w:pPr>
            <w:r>
              <w:rPr>
                <w:rFonts w:ascii="Times New Roman;serif" w:hAnsi="Times New Roman;serif"/>
                <w:b/>
                <w:color w:val="000000"/>
                <w:sz w:val="14"/>
              </w:rPr>
              <w:t>Maximum</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Aggregate</w:t>
            </w:r>
          </w:p>
          <w:p>
            <w:pPr>
              <w:pStyle w:val="TableContents"/>
              <w:bidi w:val="0"/>
              <w:spacing w:lineRule="auto" w:line="333" w:before="0" w:after="20"/>
              <w:jc w:val="center"/>
              <w:rPr>
                <w:rFonts w:ascii="Times New Roman;serif" w:hAnsi="Times New Roman;serif"/>
                <w:b/>
                <w:color w:val="000000"/>
                <w:sz w:val="14"/>
              </w:rPr>
            </w:pPr>
            <w:r>
              <w:rPr>
                <w:rFonts w:ascii="Times New Roman;serif" w:hAnsi="Times New Roman;serif"/>
                <w:b/>
                <w:color w:val="000000"/>
                <w:sz w:val="14"/>
              </w:rPr>
              <w:t>Offering Price</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4"/>
              </w:rPr>
            </w:pPr>
            <w:r>
              <w:rPr>
                <w:rFonts w:ascii="Times New Roman;serif" w:hAnsi="Times New Roman;serif"/>
                <w:b/>
                <w:color w:val="000000"/>
                <w:sz w:val="14"/>
              </w:rPr>
              <w:t>Fee</w:t>
            </w:r>
          </w:p>
          <w:p>
            <w:pPr>
              <w:pStyle w:val="TableContents"/>
              <w:bidi w:val="0"/>
              <w:spacing w:lineRule="auto" w:line="333" w:before="0" w:after="20"/>
              <w:jc w:val="center"/>
              <w:rPr>
                <w:rFonts w:ascii="Times New Roman;serif" w:hAnsi="Times New Roman;serif"/>
                <w:b/>
                <w:color w:val="000000"/>
                <w:sz w:val="14"/>
              </w:rPr>
            </w:pPr>
            <w:r>
              <w:rPr>
                <w:rFonts w:ascii="Times New Roman;serif" w:hAnsi="Times New Roman;serif"/>
                <w:b/>
                <w:color w:val="000000"/>
                <w:sz w:val="14"/>
              </w:rPr>
              <w:t>Rate</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4"/>
              </w:rPr>
            </w:pPr>
            <w:r>
              <w:rPr>
                <w:rFonts w:ascii="Times New Roman;serif" w:hAnsi="Times New Roman;serif"/>
                <w:b/>
                <w:color w:val="000000"/>
                <w:sz w:val="14"/>
              </w:rPr>
              <w:t>Amount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Registration</w:t>
            </w:r>
          </w:p>
          <w:p>
            <w:pPr>
              <w:pStyle w:val="TableContents"/>
              <w:bidi w:val="0"/>
              <w:spacing w:lineRule="auto" w:line="288" w:before="0" w:after="20"/>
              <w:jc w:val="center"/>
              <w:rPr>
                <w:rFonts w:ascii="Times New Roman;serif" w:hAnsi="Times New Roman;serif"/>
                <w:b/>
                <w:color w:val="000000"/>
                <w:sz w:val="14"/>
              </w:rPr>
            </w:pPr>
            <w:r>
              <w:rPr>
                <w:rFonts w:ascii="Times New Roman;serif" w:hAnsi="Times New Roman;serif"/>
                <w:b/>
                <w:color w:val="000000"/>
                <w:sz w:val="14"/>
              </w:rPr>
              <w:t>Fee</w:t>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4"/>
              </w:rPr>
            </w:pPr>
            <w:r>
              <w:rPr>
                <w:rFonts w:ascii="Times New Roman;serif" w:hAnsi="Times New Roman;serif"/>
                <w:b/>
                <w:color w:val="000000"/>
                <w:sz w:val="14"/>
              </w:rPr>
              <w:t>Carry</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Forward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w:t>
            </w:r>
          </w:p>
          <w:p>
            <w:pPr>
              <w:pStyle w:val="TableContents"/>
              <w:bidi w:val="0"/>
              <w:spacing w:lineRule="auto" w:line="288" w:before="0" w:after="20"/>
              <w:jc w:val="center"/>
              <w:rPr>
                <w:rFonts w:ascii="Times New Roman;serif" w:hAnsi="Times New Roman;serif"/>
                <w:b/>
                <w:color w:val="000000"/>
                <w:sz w:val="14"/>
              </w:rPr>
            </w:pPr>
            <w:r>
              <w:rPr>
                <w:rFonts w:ascii="Times New Roman;serif" w:hAnsi="Times New Roman;serif"/>
                <w:b/>
                <w:color w:val="000000"/>
                <w:sz w:val="14"/>
              </w:rPr>
              <w:t>Type</w:t>
            </w:r>
          </w:p>
        </w:tc>
        <w:tc>
          <w:tcPr>
            <w:tcW w:w="6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4"/>
              </w:rPr>
            </w:pPr>
            <w:r>
              <w:rPr>
                <w:rFonts w:ascii="Times New Roman;serif" w:hAnsi="Times New Roman;serif"/>
                <w:b/>
                <w:color w:val="000000"/>
                <w:sz w:val="14"/>
              </w:rPr>
              <w:t>Carry</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Forward</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File</w:t>
            </w:r>
          </w:p>
          <w:p>
            <w:pPr>
              <w:pStyle w:val="TableContents"/>
              <w:bidi w:val="0"/>
              <w:spacing w:lineRule="auto" w:line="333" w:before="0" w:after="20"/>
              <w:jc w:val="center"/>
              <w:rPr>
                <w:rFonts w:ascii="Times New Roman;serif" w:hAnsi="Times New Roman;serif"/>
                <w:b/>
                <w:color w:val="000000"/>
                <w:sz w:val="14"/>
              </w:rPr>
            </w:pPr>
            <w:r>
              <w:rPr>
                <w:rFonts w:ascii="Times New Roman;serif" w:hAnsi="Times New Roman;serif"/>
                <w:b/>
                <w:color w:val="000000"/>
                <w:sz w:val="14"/>
              </w:rPr>
              <w:t>Number</w:t>
            </w:r>
          </w:p>
        </w:tc>
        <w:tc>
          <w:tcPr>
            <w:tcW w:w="6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4"/>
              </w:rPr>
            </w:pPr>
            <w:r>
              <w:rPr>
                <w:rFonts w:ascii="Times New Roman;serif" w:hAnsi="Times New Roman;serif"/>
                <w:b/>
                <w:color w:val="000000"/>
                <w:sz w:val="14"/>
              </w:rPr>
              <w:t>Carry</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Forward</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Initial</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Effective</w:t>
            </w:r>
          </w:p>
          <w:p>
            <w:pPr>
              <w:pStyle w:val="TableContents"/>
              <w:bidi w:val="0"/>
              <w:spacing w:lineRule="auto" w:line="333" w:before="0" w:after="20"/>
              <w:jc w:val="center"/>
              <w:rPr>
                <w:rFonts w:ascii="Times New Roman;serif" w:hAnsi="Times New Roman;serif"/>
                <w:b/>
                <w:color w:val="000000"/>
                <w:sz w:val="14"/>
              </w:rPr>
            </w:pPr>
            <w:r>
              <w:rPr>
                <w:rFonts w:ascii="Times New Roman;serif" w:hAnsi="Times New Roman;serif"/>
                <w:b/>
                <w:color w:val="000000"/>
                <w:sz w:val="14"/>
              </w:rPr>
              <w:t>Date</w:t>
            </w:r>
          </w:p>
        </w:tc>
        <w:tc>
          <w:tcPr>
            <w:tcW w:w="8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33" w:after="283"/>
              <w:jc w:val="center"/>
              <w:rPr>
                <w:rFonts w:ascii="Times New Roman;serif" w:hAnsi="Times New Roman;serif"/>
                <w:b/>
                <w:color w:val="000000"/>
                <w:sz w:val="14"/>
              </w:rPr>
            </w:pPr>
            <w:r>
              <w:rPr>
                <w:rFonts w:ascii="Times New Roman;serif" w:hAnsi="Times New Roman;serif"/>
                <w:b/>
                <w:color w:val="000000"/>
                <w:sz w:val="14"/>
              </w:rPr>
              <w:t>Filing Fee</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Previously</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Paid in</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Connection</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with Unsold</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Securities</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to be</w:t>
            </w:r>
          </w:p>
          <w:p>
            <w:pPr>
              <w:pStyle w:val="TableContents"/>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Carried</w:t>
            </w:r>
          </w:p>
          <w:p>
            <w:pPr>
              <w:pStyle w:val="TableContents"/>
              <w:bidi w:val="0"/>
              <w:spacing w:lineRule="auto" w:line="333" w:before="0" w:after="20"/>
              <w:jc w:val="center"/>
              <w:rPr>
                <w:rFonts w:ascii="Times New Roman;serif" w:hAnsi="Times New Roman;serif"/>
                <w:b/>
                <w:color w:val="000000"/>
                <w:sz w:val="14"/>
              </w:rPr>
            </w:pPr>
            <w:r>
              <w:rPr>
                <w:rFonts w:ascii="Times New Roman;serif" w:hAnsi="Times New Roman;serif"/>
                <w:b/>
                <w:color w:val="000000"/>
                <w:sz w:val="14"/>
              </w:rPr>
              <w:t>Forward</w:t>
            </w:r>
          </w:p>
        </w:tc>
      </w:tr>
      <w:tr>
        <w:trPr/>
        <w:tc>
          <w:tcPr>
            <w:tcW w:w="66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Fees to be Paid</w:t>
            </w:r>
          </w:p>
        </w:tc>
        <w:tc>
          <w:tcPr>
            <w:tcW w:w="6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Debt</w:t>
            </w:r>
          </w:p>
        </w:tc>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6.750% Notes due 2031</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33" w:after="20"/>
              <w:jc w:val="center"/>
              <w:rPr/>
            </w:pPr>
            <w:r>
              <w:rPr>
                <w:rFonts w:ascii="Times New Roman;serif" w:hAnsi="Times New Roman;serif"/>
                <w:b w:val="false"/>
                <w:color w:val="000000"/>
                <w:sz w:val="16"/>
              </w:rPr>
              <w:t>457(o)</w:t>
            </w:r>
            <w:r>
              <w:rPr>
                <w:color w:val="000000"/>
              </w:rPr>
              <w:t xml:space="preserve"> </w:t>
            </w:r>
            <w:r>
              <w:rPr>
                <w:rFonts w:ascii="Times New Roman;serif" w:hAnsi="Times New Roman;serif"/>
                <w:b w:val="false"/>
                <w:color w:val="000000"/>
                <w:sz w:val="10"/>
              </w:rPr>
              <w:t>(1)</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$350,000,000</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98.985%</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$346,447,500</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0.00013810</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$47,844.40</w:t>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23" w:type="dxa"/>
            <w:gridSpan w:val="18"/>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 xml:space="preserve">Total Offering Amount </w:t>
            </w:r>
          </w:p>
        </w:tc>
        <w:tc>
          <w:tcPr>
            <w:tcW w:w="7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$346,447,500</w:t>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$47,844.40</w:t>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23" w:type="dxa"/>
            <w:gridSpan w:val="18"/>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23" w:type="dxa"/>
            <w:gridSpan w:val="18"/>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 xml:space="preserve">Total Fees Previously Paid </w:t>
            </w:r>
          </w:p>
        </w:tc>
        <w:tc>
          <w:tcPr>
            <w:tcW w:w="7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23" w:type="dxa"/>
            <w:gridSpan w:val="18"/>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23" w:type="dxa"/>
            <w:gridSpan w:val="18"/>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 xml:space="preserve">Total Fee Offsets </w:t>
            </w:r>
          </w:p>
        </w:tc>
        <w:tc>
          <w:tcPr>
            <w:tcW w:w="7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23" w:type="dxa"/>
            <w:gridSpan w:val="18"/>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23" w:type="dxa"/>
            <w:gridSpan w:val="18"/>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 xml:space="preserve">Net Fee Due </w:t>
            </w:r>
          </w:p>
        </w:tc>
        <w:tc>
          <w:tcPr>
            <w:tcW w:w="70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$47,844.40</w:t>
            </w:r>
          </w:p>
        </w:tc>
        <w:tc>
          <w:tcPr>
            <w:tcW w:w="61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9"/>
            <w:tcBorders>
              <w:top w:val="single" w:sz="4" w:space="0" w:color="000000"/>
            </w:tcBorders>
            <w:tcMar>
              <w:top w:w="30" w:type="dxa"/>
              <w:left w:w="0" w:type="dxa"/>
              <w:bottom w:w="0" w:type="dxa"/>
              <w:right w:w="0" w:type="dxa"/>
            </w:tcMar>
            <w:vAlign w:val="center"/>
          </w:tcPr>
          <w:p>
            <w:pPr>
              <w:pStyle w:val="TableContents"/>
              <w:bidi w:val="0"/>
              <w:spacing w:lineRule="auto" w:line="345" w:before="43" w:after="2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The registration fee is calculated in accordance with Rule 457(o) under the Securities Act of 1933, as amended (the “Securities Act”), based on the proposed maximum aggregate offering price, and Rule 456(b) and 457(r) under the Securities Act. In accordance with Rules 456(b) and 457(r) under the Securities Act, Capital Southwest Corporation (the “Registrant”) initially deferred payment of all of the registration fees relating to the Registrant’s Registration Statement on Form N-2 (File No. 333-282873), which was filed with the Securities and Exchange Commission (the “SEC”) on October 29, 2024 and automatically became effective upon filing with the SEC (the “Registration Statement”). This “Calculation of Filing Fee Table” shall be deemed to update the “Calculation of Filing Fee Table” in the Registration Statement. </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017313/000001731326000095/cswc-20260630.htm" TargetMode="External"/><Relationship Id="rId4" Type="http://schemas.openxmlformats.org/officeDocument/2006/relationships/hyperlink" Target="https://www.sec.gov/ix?doc=/Archives/edgar/data/0000017313/000001731326000035/cswc-20260331.htm" TargetMode="External"/><Relationship Id="rId5" Type="http://schemas.openxmlformats.org/officeDocument/2006/relationships/hyperlink" Target="https://www.sec.gov/ix?doc=/Archives/edgar/data/0000017313/000001731326000095/cswc-20260630.htm" TargetMode="External"/><Relationship Id="rId6" Type="http://schemas.openxmlformats.org/officeDocument/2006/relationships/hyperlink" Target="https://www.sec.gov/ix?doc=/Archives/edgar/data/0000017313/000001731326000023/cswc-20260416.htm" TargetMode="External"/><Relationship Id="rId7" Type="http://schemas.openxmlformats.org/officeDocument/2006/relationships/hyperlink" Target="https://www.sec.gov/ix?doc=/Archives/edgar/data/0000017313/000001731326000036/cswc-20260519.htm" TargetMode="External"/><Relationship Id="rId8" Type="http://schemas.openxmlformats.org/officeDocument/2006/relationships/hyperlink" Target="https://www.sec.gov/ix?doc=/Archives/edgar/data/0000017313/000001731326000082/cswc-20260716.htm" TargetMode="External"/><Relationship Id="rId9" Type="http://schemas.openxmlformats.org/officeDocument/2006/relationships/hyperlink" Target="https://www.sec.gov/ix?doc=/Archives/edgar/data/0000017313/000001731326000084/cswc-20260722.htm" TargetMode="External"/><Relationship Id="rId10" Type="http://schemas.openxmlformats.org/officeDocument/2006/relationships/hyperlink" Target="https://www.sec.gov/ix?doc=/Archives/edgar/data/0000017313/000001731326000106/cswc-20260807.htm" TargetMode="External"/><Relationship Id="rId11" Type="http://schemas.openxmlformats.org/officeDocument/2006/relationships/hyperlink" Target="https://www.sec.gov/ix?doc=/Archives/edgar/data/0000017313/000001731326000133/cswc-20260901.htm" TargetMode="External"/><Relationship Id="rId12" Type="http://schemas.openxmlformats.org/officeDocument/2006/relationships/hyperlink" Target="https://www.sec.gov/ix?doc=/Archives/edgar/data/0000017313/000001731326000136/cswc-20260902.htm" TargetMode="External"/><Relationship Id="rId13" Type="http://schemas.openxmlformats.org/officeDocument/2006/relationships/hyperlink" Target="https://www.sec.gov/ix?doc=/Archives/edgar/data/0000017313/000001731326000042/cswc-20260527.htm" TargetMode="External"/><Relationship Id="rId14" Type="http://schemas.openxmlformats.org/officeDocument/2006/relationships/image" Target="media/image2.jpeg"/><Relationship Id="rId15" Type="http://schemas.openxmlformats.org/officeDocument/2006/relationships/hyperlink" Target="https://www.sec.gov/ix?doc=/Archives/edgar/data/17313/000001731324000022/cswc-20240331.htm" TargetMode="External"/><Relationship Id="rId16" Type="http://schemas.openxmlformats.org/officeDocument/2006/relationships/hyperlink" Target="https://www.sec.gov/ix?doc=/Archives/edgar/data/17313/000001731324000058/cswc-20240630.htm" TargetMode="External"/><Relationship Id="rId17" Type="http://schemas.openxmlformats.org/officeDocument/2006/relationships/hyperlink" Target="https://www.sec.gov/ix?doc=/Archives/edgar/data/17313/000001731324000022/cswc-20240331.htm" TargetMode="External"/><Relationship Id="rId18" Type="http://schemas.openxmlformats.org/officeDocument/2006/relationships/hyperlink" Target="https://www.sec.gov/ix?doc=/Archives/edgar/data/17313/000001731324000022/cswc-20240331.htm" TargetMode="External"/><Relationship Id="rId19" Type="http://schemas.openxmlformats.org/officeDocument/2006/relationships/hyperlink" Target="https://www.sec.gov/ix?doc=/Archives/edgar/data/17313/000001731324000058/cswc-20240630.htm" TargetMode="External"/><Relationship Id="rId20" Type="http://schemas.openxmlformats.org/officeDocument/2006/relationships/hyperlink" Target="https://www.sec.gov/ix?doc=/Archives/edgar/data/17313/000001731324000022/cswc-20240331.htm" TargetMode="External"/><Relationship Id="rId21" Type="http://schemas.openxmlformats.org/officeDocument/2006/relationships/hyperlink" Target="https://www.sec.gov/ix?doc=/Archives/edgar/data/17313/000001731324000022/cswc-20240331.htmhttps://www.sec.gov/ix?doc=/Archives/edgar/data/17313/000001731324000022/cswc-20240331.htm" TargetMode="External"/><Relationship Id="rId22" Type="http://schemas.openxmlformats.org/officeDocument/2006/relationships/hyperlink" Target="https://www.sec.gov/ix?doc=/Archives/edgar/data/17313/000001731324000034/cswc-20240531.htm" TargetMode="External"/><Relationship Id="rId23" Type="http://schemas.openxmlformats.org/officeDocument/2006/relationships/hyperlink" Target="https://www.sec.gov/ix?doc=/Archives/edgar/data/17313/000001731324000034/cswc-20240531.htm" TargetMode="External"/><Relationship Id="rId24" Type="http://schemas.openxmlformats.org/officeDocument/2006/relationships/hyperlink" Target="https://www.sec.gov/ix?doc=/Archives/edgar/data/17313/000001731324000034/cswc-20240531.htm" TargetMode="External"/><Relationship Id="rId25" Type="http://schemas.openxmlformats.org/officeDocument/2006/relationships/hyperlink" Target="https://www.sec.gov/ix?doc=/Archives/edgar/data/17313/000001731324000022/cswc-20240331.htm" TargetMode="External"/><Relationship Id="rId26" Type="http://schemas.openxmlformats.org/officeDocument/2006/relationships/hyperlink" Target="https://www.sec.gov/Archives/edgar/data/17313/000001731324000022/cswc-descriptionofsecuriti.htm" TargetMode="External"/><Relationship Id="rId27" Type="http://schemas.openxmlformats.org/officeDocument/2006/relationships/hyperlink" Target="https://www.sec.gov/ix?doc=/Archives/edgar/data/17313/000001731324000022/cswc-20240331.htm" TargetMode="External"/><Relationship Id="rId28" Type="http://schemas.openxmlformats.org/officeDocument/2006/relationships/hyperlink" Target="https://www.sec.gov/ix?doc=/Archives/edgar/data/17313/000001731324000022/cswc-20240331.htm" TargetMode="External"/><Relationship Id="rId29" Type="http://schemas.openxmlformats.org/officeDocument/2006/relationships/hyperlink" Target="https://www.sec.gov/ix?doc=/Archives/edgar/data/17313/000001731324000058/cswc-20240630.htm" TargetMode="External"/><Relationship Id="rId30" Type="http://schemas.openxmlformats.org/officeDocument/2006/relationships/hyperlink" Target="https://www.sec.gov/ix?doc=/Archives/edgar/data/0000017313/000001731324000023/cswc-20240521.htm" TargetMode="External"/><Relationship Id="rId31" Type="http://schemas.openxmlformats.org/officeDocument/2006/relationships/hyperlink" Target="https://www.sec.gov/ix?doc=/Archives/edgar/data/0000017313/000001731324000049/cswc-20240717.htm" TargetMode="External"/><Relationship Id="rId32" Type="http://schemas.openxmlformats.org/officeDocument/2006/relationships/hyperlink" Target="https://www.sec.gov/ix?doc=/Archives/edgar/data/0000017313/000001731324000051/cswc-20240725.htm" TargetMode="External"/><Relationship Id="rId33" Type="http://schemas.openxmlformats.org/officeDocument/2006/relationships/hyperlink" Target="https://www.sec.gov/ix?doc=/Archives/edgar/data/17313/000001731324000078/cswc-20240912.htm" TargetMode="External"/><Relationship Id="rId34" Type="http://schemas.openxmlformats.org/officeDocument/2006/relationships/hyperlink" Target="https://www.sec.gov/ix?doc=/Archives/edgar/data/17313/000001731324000034/cswc-20240531.htm" TargetMode="External"/><Relationship Id="rId35" Type="http://schemas.openxmlformats.org/officeDocument/2006/relationships/image" Target="media/image3.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65646</Words>
  <Characters>349796</Characters>
  <CharactersWithSpaces>412630</CharactersWithSpaces>
  <Paragraphs>5331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