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ANNUAL REPORT PURSUANT TO SECTIONS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ind w:left="1"/>
        <w:spacing w:after="0" w:line="213" w:lineRule="auto"/>
        <w:rPr>
          <w:sz w:val="20"/>
          <w:szCs w:val="20"/>
          <w:color w:val="auto"/>
        </w:rPr>
      </w:pPr>
      <w:r>
        <w:rPr>
          <w:rFonts w:ascii="Arial" w:cs="Arial" w:eastAsia="Arial" w:hAnsi="Arial"/>
          <w:sz w:val="14"/>
          <w:szCs w:val="14"/>
          <w:color w:val="auto"/>
        </w:rPr>
        <w:t>(Mark One)</w:t>
      </w:r>
    </w:p>
    <w:p>
      <w:pPr>
        <w:spacing w:after="0" w:line="1" w:lineRule="exact"/>
        <w:rPr>
          <w:sz w:val="24"/>
          <w:szCs w:val="24"/>
          <w:color w:val="auto"/>
        </w:rPr>
      </w:pPr>
    </w:p>
    <w:p>
      <w:pPr>
        <w:ind w:left="1" w:right="1220" w:firstLine="162"/>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X</w:t>
      </w:r>
      <w:r>
        <w:rPr>
          <w:rFonts w:ascii="Arial" w:cs="Arial" w:eastAsia="Arial" w:hAnsi="Arial"/>
          <w:sz w:val="18"/>
          <w:szCs w:val="18"/>
          <w:color w:val="auto"/>
        </w:rPr>
        <w:t xml:space="preserve">] ANNUAL REPORT PURSUANT TO SECTION 13 OR 15(d) OF THE SECURITIES EXCHANGE ACT OF 1934 For the fiscal year ended </w:t>
      </w:r>
      <w:r>
        <w:rPr>
          <w:rFonts w:ascii="Arial" w:cs="Arial" w:eastAsia="Arial" w:hAnsi="Arial"/>
          <w:sz w:val="18"/>
          <w:szCs w:val="18"/>
          <w:b w:val="1"/>
          <w:bCs w:val="1"/>
          <w:color w:val="auto"/>
        </w:rPr>
        <w:t>March 31, 2018</w:t>
      </w:r>
    </w:p>
    <w:p>
      <w:pPr>
        <w:jc w:val="center"/>
        <w:spacing w:after="0" w:line="215" w:lineRule="auto"/>
        <w:rPr>
          <w:sz w:val="20"/>
          <w:szCs w:val="20"/>
          <w:color w:val="auto"/>
        </w:rPr>
      </w:pPr>
      <w:r>
        <w:rPr>
          <w:rFonts w:ascii="Arial" w:cs="Arial" w:eastAsia="Arial" w:hAnsi="Arial"/>
          <w:sz w:val="14"/>
          <w:szCs w:val="14"/>
          <w:color w:val="auto"/>
        </w:rPr>
        <w:t>OR</w:t>
      </w:r>
    </w:p>
    <w:p>
      <w:pPr>
        <w:ind w:left="161"/>
        <w:spacing w:after="0"/>
        <w:rPr>
          <w:sz w:val="20"/>
          <w:szCs w:val="20"/>
          <w:color w:val="auto"/>
        </w:rPr>
      </w:pPr>
      <w:r>
        <w:rPr>
          <w:rFonts w:ascii="Arial" w:cs="Arial" w:eastAsia="Arial" w:hAnsi="Arial"/>
          <w:sz w:val="17"/>
          <w:szCs w:val="17"/>
          <w:color w:val="auto"/>
        </w:rPr>
        <w:t>[ ] TRANSITION REPORT PURSUANT TO SECTION 13 OR 15(d) OF THE SECURITIES EXCHANGE ACT OF 1934</w:t>
      </w:r>
    </w:p>
    <w:p>
      <w:pPr>
        <w:spacing w:after="0" w:line="113" w:lineRule="exact"/>
        <w:rPr>
          <w:sz w:val="24"/>
          <w:szCs w:val="24"/>
          <w:color w:val="auto"/>
        </w:rPr>
      </w:pPr>
    </w:p>
    <w:p>
      <w:pPr>
        <w:ind w:left="1"/>
        <w:spacing w:after="0"/>
        <w:tabs>
          <w:tab w:leader="none" w:pos="41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0" w:lineRule="exact"/>
        <w:rPr>
          <w:sz w:val="24"/>
          <w:szCs w:val="24"/>
          <w:color w:val="auto"/>
        </w:rPr>
      </w:pPr>
    </w:p>
    <w:p>
      <w:pPr>
        <w:ind w:left="3661"/>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814-00061</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CAPITAL SOUTHWEST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061"/>
          </w:cols>
          <w:pgMar w:left="919" w:top="233" w:right="919" w:bottom="1440" w:gutter="0" w:footer="0" w:header="0"/>
        </w:sectPr>
      </w:pPr>
    </w:p>
    <w:p>
      <w:pPr>
        <w:spacing w:after="0" w:line="93" w:lineRule="exact"/>
        <w:rPr>
          <w:sz w:val="24"/>
          <w:szCs w:val="24"/>
          <w:color w:val="auto"/>
        </w:rPr>
      </w:pPr>
    </w:p>
    <w:p>
      <w:pPr>
        <w:jc w:val="center"/>
        <w:ind w:right="1259"/>
        <w:spacing w:after="0"/>
        <w:rPr>
          <w:sz w:val="20"/>
          <w:szCs w:val="20"/>
          <w:color w:val="auto"/>
        </w:rPr>
      </w:pPr>
      <w:r>
        <w:rPr>
          <w:rFonts w:ascii="Arial" w:cs="Arial" w:eastAsia="Arial" w:hAnsi="Arial"/>
          <w:sz w:val="14"/>
          <w:szCs w:val="14"/>
          <w:b w:val="1"/>
          <w:bCs w:val="1"/>
          <w:color w:val="auto"/>
        </w:rPr>
        <w:t>Texas</w:t>
      </w:r>
    </w:p>
    <w:p>
      <w:pPr>
        <w:spacing w:after="0" w:line="3" w:lineRule="exact"/>
        <w:rPr>
          <w:sz w:val="24"/>
          <w:szCs w:val="24"/>
          <w:color w:val="auto"/>
        </w:rPr>
      </w:pPr>
    </w:p>
    <w:p>
      <w:pPr>
        <w:jc w:val="center"/>
        <w:ind w:right="1259"/>
        <w:spacing w:after="0"/>
        <w:rPr>
          <w:sz w:val="20"/>
          <w:szCs w:val="20"/>
          <w:color w:val="auto"/>
        </w:rPr>
      </w:pPr>
      <w:r>
        <w:rPr>
          <w:rFonts w:ascii="Arial" w:cs="Arial" w:eastAsia="Arial" w:hAnsi="Arial"/>
          <w:sz w:val="13"/>
          <w:szCs w:val="13"/>
          <w:color w:val="auto"/>
        </w:rPr>
        <w:t>(State or other jurisdiction of incorporation</w:t>
      </w:r>
    </w:p>
    <w:p>
      <w:pPr>
        <w:jc w:val="center"/>
        <w:ind w:right="1259"/>
        <w:spacing w:after="0"/>
        <w:rPr>
          <w:sz w:val="20"/>
          <w:szCs w:val="20"/>
          <w:color w:val="auto"/>
        </w:rPr>
      </w:pPr>
      <w:r>
        <w:rPr>
          <w:rFonts w:ascii="Arial" w:cs="Arial" w:eastAsia="Arial" w:hAnsi="Arial"/>
          <w:sz w:val="14"/>
          <w:szCs w:val="14"/>
          <w:color w:val="auto"/>
        </w:rPr>
        <w:t>or organization)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1980"/>
        <w:spacing w:after="0"/>
        <w:rPr>
          <w:sz w:val="20"/>
          <w:szCs w:val="20"/>
          <w:color w:val="auto"/>
        </w:rPr>
      </w:pPr>
      <w:r>
        <w:rPr>
          <w:rFonts w:ascii="Arial" w:cs="Arial" w:eastAsia="Arial" w:hAnsi="Arial"/>
          <w:sz w:val="14"/>
          <w:szCs w:val="14"/>
          <w:b w:val="1"/>
          <w:bCs w:val="1"/>
          <w:color w:val="auto"/>
        </w:rPr>
        <w:t>75-1072796</w:t>
      </w:r>
    </w:p>
    <w:p>
      <w:pPr>
        <w:jc w:val="center"/>
        <w:ind w:right="198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1980"/>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2">
            <w:col w:w="6301" w:space="720"/>
            <w:col w:w="3040"/>
          </w:cols>
          <w:pgMar w:left="919" w:top="233" w:right="919" w:bottom="1440" w:gutter="0" w:footer="0" w:header="0"/>
          <w:type w:val="continuous"/>
        </w:sectPr>
      </w:pPr>
    </w:p>
    <w:p>
      <w:pPr>
        <w:spacing w:after="0" w:line="33" w:lineRule="exact"/>
        <w:rPr>
          <w:sz w:val="24"/>
          <w:szCs w:val="24"/>
          <w:color w:val="auto"/>
        </w:rPr>
      </w:pPr>
    </w:p>
    <w:p>
      <w:pPr>
        <w:ind w:left="401"/>
        <w:spacing w:after="0"/>
        <w:rPr>
          <w:sz w:val="20"/>
          <w:szCs w:val="20"/>
          <w:color w:val="auto"/>
        </w:rPr>
      </w:pPr>
      <w:r>
        <w:rPr>
          <w:rFonts w:ascii="Arial" w:cs="Arial" w:eastAsia="Arial" w:hAnsi="Arial"/>
          <w:sz w:val="16"/>
          <w:szCs w:val="16"/>
          <w:b w:val="1"/>
          <w:bCs w:val="1"/>
          <w:color w:val="auto"/>
        </w:rPr>
        <w:t>5400 Lyndon B Johnson Freeway, Suite 1300, Dallas,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75240</w:t>
      </w:r>
    </w:p>
    <w:p>
      <w:pPr>
        <w:spacing w:after="0" w:line="50" w:lineRule="exact"/>
        <w:rPr>
          <w:sz w:val="24"/>
          <w:szCs w:val="24"/>
          <w:color w:val="auto"/>
        </w:rPr>
      </w:pPr>
    </w:p>
    <w:p>
      <w:pPr>
        <w:sectPr>
          <w:pgSz w:w="11900" w:h="16838" w:orient="portrait"/>
          <w:cols w:equalWidth="0" w:num="2">
            <w:col w:w="6741" w:space="720"/>
            <w:col w:w="2600"/>
          </w:cols>
          <w:pgMar w:left="919" w:top="233" w:right="919" w:bottom="1440" w:gutter="0" w:footer="0" w:header="0"/>
          <w:type w:val="continuous"/>
        </w:sectPr>
      </w:pPr>
    </w:p>
    <w:p>
      <w:pPr>
        <w:ind w:left="1521"/>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62" w:lineRule="exact"/>
        <w:rPr>
          <w:sz w:val="24"/>
          <w:szCs w:val="24"/>
          <w:color w:val="auto"/>
        </w:rPr>
      </w:pPr>
    </w:p>
    <w:p>
      <w:pPr>
        <w:sectPr>
          <w:pgSz w:w="11900" w:h="16838" w:orient="portrait"/>
          <w:cols w:equalWidth="0" w:num="2">
            <w:col w:w="6661" w:space="720"/>
            <w:col w:w="2680"/>
          </w:cols>
          <w:pgMar w:left="919" w:top="233" w:right="91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r>
        <w:rPr>
          <w:rFonts w:ascii="Arial" w:cs="Arial" w:eastAsia="Arial" w:hAnsi="Arial"/>
          <w:sz w:val="16"/>
          <w:szCs w:val="16"/>
          <w:b w:val="1"/>
          <w:bCs w:val="1"/>
          <w:color w:val="auto"/>
        </w:rPr>
        <w:t>: (214) 238-5700</w:t>
      </w:r>
    </w:p>
    <w:p>
      <w:pPr>
        <w:sectPr>
          <w:pgSz w:w="11900" w:h="16838" w:orient="portrait"/>
          <w:cols w:equalWidth="0" w:num="1">
            <w:col w:w="10061"/>
          </w:cols>
          <w:pgMar w:left="919" w:top="233" w:right="919" w:bottom="1440" w:gutter="0" w:footer="0" w:header="0"/>
          <w:type w:val="continuous"/>
        </w:sectPr>
      </w:pP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1061" w:type="dxa"/>
        <w:tblCellMar>
          <w:top w:w="0" w:type="dxa"/>
          <w:left w:w="0" w:type="dxa"/>
          <w:bottom w:w="0" w:type="dxa"/>
          <w:right w:w="0" w:type="dxa"/>
        </w:tblCellMar>
      </w:tblPr>
      <w:tr>
        <w:trPr>
          <w:trHeight w:val="199"/>
        </w:trPr>
        <w:tc>
          <w:tcPr>
            <w:tcW w:w="3920" w:type="dxa"/>
            <w:vAlign w:val="bottom"/>
          </w:tcPr>
          <w:p>
            <w:pPr>
              <w:jc w:val="center"/>
              <w:ind w:right="959"/>
              <w:spacing w:after="0"/>
              <w:rPr>
                <w:sz w:val="20"/>
                <w:szCs w:val="20"/>
                <w:color w:val="auto"/>
              </w:rPr>
            </w:pPr>
            <w:r>
              <w:rPr>
                <w:rFonts w:ascii="Arial" w:cs="Arial" w:eastAsia="Arial" w:hAnsi="Arial"/>
                <w:sz w:val="16"/>
                <w:szCs w:val="16"/>
                <w:color w:val="auto"/>
                <w:w w:val="92"/>
              </w:rPr>
              <w:t>Title of Each Class</w:t>
            </w:r>
          </w:p>
        </w:tc>
        <w:tc>
          <w:tcPr>
            <w:tcW w:w="4040" w:type="dxa"/>
            <w:vAlign w:val="bottom"/>
          </w:tcPr>
          <w:p>
            <w:pPr>
              <w:jc w:val="center"/>
              <w:ind w:left="959"/>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3920" w:type="dxa"/>
            <w:vAlign w:val="bottom"/>
          </w:tcPr>
          <w:p>
            <w:pPr>
              <w:jc w:val="center"/>
              <w:ind w:right="939"/>
              <w:spacing w:after="0"/>
              <w:rPr>
                <w:sz w:val="20"/>
                <w:szCs w:val="20"/>
                <w:color w:val="auto"/>
              </w:rPr>
            </w:pPr>
            <w:r>
              <w:rPr>
                <w:rFonts w:ascii="Arial" w:cs="Arial" w:eastAsia="Arial" w:hAnsi="Arial"/>
                <w:sz w:val="16"/>
                <w:szCs w:val="16"/>
                <w:b w:val="1"/>
                <w:bCs w:val="1"/>
                <w:color w:val="auto"/>
                <w:w w:val="91"/>
              </w:rPr>
              <w:t>Common Stock, $0.25 par value per share</w:t>
            </w:r>
          </w:p>
        </w:tc>
        <w:tc>
          <w:tcPr>
            <w:tcW w:w="4040" w:type="dxa"/>
            <w:vAlign w:val="bottom"/>
          </w:tcPr>
          <w:p>
            <w:pPr>
              <w:jc w:val="center"/>
              <w:ind w:left="959"/>
              <w:spacing w:after="0"/>
              <w:rPr>
                <w:sz w:val="20"/>
                <w:szCs w:val="20"/>
                <w:color w:val="auto"/>
              </w:rPr>
            </w:pPr>
            <w:r>
              <w:rPr>
                <w:rFonts w:ascii="Arial" w:cs="Arial" w:eastAsia="Arial" w:hAnsi="Arial"/>
                <w:sz w:val="16"/>
                <w:szCs w:val="16"/>
                <w:b w:val="1"/>
                <w:bCs w:val="1"/>
                <w:color w:val="auto"/>
                <w:w w:val="93"/>
              </w:rPr>
              <w:t>The Nasdaq Global Select Market</w:t>
            </w:r>
          </w:p>
        </w:tc>
      </w:tr>
      <w:tr>
        <w:trPr>
          <w:trHeight w:val="210"/>
        </w:trPr>
        <w:tc>
          <w:tcPr>
            <w:tcW w:w="3920" w:type="dxa"/>
            <w:vAlign w:val="bottom"/>
          </w:tcPr>
          <w:p>
            <w:pPr>
              <w:jc w:val="center"/>
              <w:ind w:right="959"/>
              <w:spacing w:after="0"/>
              <w:rPr>
                <w:sz w:val="20"/>
                <w:szCs w:val="20"/>
                <w:color w:val="auto"/>
              </w:rPr>
            </w:pPr>
            <w:r>
              <w:rPr>
                <w:rFonts w:ascii="Arial" w:cs="Arial" w:eastAsia="Arial" w:hAnsi="Arial"/>
                <w:sz w:val="16"/>
                <w:szCs w:val="16"/>
                <w:b w:val="1"/>
                <w:bCs w:val="1"/>
                <w:color w:val="auto"/>
                <w:w w:val="90"/>
              </w:rPr>
              <w:t>5.95% Notes due 2022</w:t>
            </w:r>
          </w:p>
        </w:tc>
        <w:tc>
          <w:tcPr>
            <w:tcW w:w="4040" w:type="dxa"/>
            <w:vAlign w:val="bottom"/>
          </w:tcPr>
          <w:p>
            <w:pPr>
              <w:jc w:val="center"/>
              <w:ind w:left="959"/>
              <w:spacing w:after="0"/>
              <w:rPr>
                <w:sz w:val="20"/>
                <w:szCs w:val="20"/>
                <w:color w:val="auto"/>
              </w:rPr>
            </w:pPr>
            <w:r>
              <w:rPr>
                <w:rFonts w:ascii="Arial" w:cs="Arial" w:eastAsia="Arial" w:hAnsi="Arial"/>
                <w:sz w:val="16"/>
                <w:szCs w:val="16"/>
                <w:b w:val="1"/>
                <w:bCs w:val="1"/>
                <w:color w:val="auto"/>
                <w:w w:val="93"/>
              </w:rPr>
              <w:t>The Nasdaq Global Select Market</w:t>
            </w:r>
          </w:p>
        </w:tc>
      </w:tr>
    </w:tbl>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1" w:lineRule="exact"/>
        <w:rPr>
          <w:sz w:val="24"/>
          <w:szCs w:val="24"/>
          <w:color w:val="auto"/>
        </w:rPr>
      </w:pPr>
    </w:p>
    <w:p>
      <w:pPr>
        <w:ind w:left="1" w:right="2280"/>
        <w:spacing w:after="0" w:line="24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ind w:left="1"/>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left="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w:t>
      </w:r>
    </w:p>
    <w:p>
      <w:pPr>
        <w:spacing w:after="0" w:line="1" w:lineRule="exact"/>
        <w:rPr>
          <w:sz w:val="24"/>
          <w:szCs w:val="24"/>
          <w:color w:val="auto"/>
        </w:rPr>
      </w:pPr>
    </w:p>
    <w:p>
      <w:pPr>
        <w:ind w:left="1"/>
        <w:spacing w:after="0" w:line="161" w:lineRule="exact"/>
        <w:rPr>
          <w:sz w:val="20"/>
          <w:szCs w:val="20"/>
          <w:color w:val="auto"/>
        </w:rPr>
      </w:pPr>
      <w:r>
        <w:rPr>
          <w:rFonts w:ascii="Arial" w:cs="Arial" w:eastAsia="Arial" w:hAnsi="Arial"/>
          <w:sz w:val="14"/>
          <w:szCs w:val="14"/>
          <w:color w:val="auto"/>
        </w:rPr>
        <w:t xml:space="preserve">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left="1"/>
        <w:spacing w:after="0" w:line="254" w:lineRule="auto"/>
        <w:rPr>
          <w:sz w:val="20"/>
          <w:szCs w:val="20"/>
          <w:color w:val="auto"/>
        </w:rPr>
      </w:pPr>
      <w:r>
        <w:rPr>
          <w:rFonts w:ascii="Arial" w:cs="Arial" w:eastAsia="Arial" w:hAnsi="Arial"/>
          <w:sz w:val="13"/>
          <w:szCs w:val="13"/>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21" w:hanging="221"/>
        <w:spacing w:after="0" w:line="161" w:lineRule="exact"/>
        <w:tabs>
          <w:tab w:leader="none" w:pos="221" w:val="left"/>
        </w:tabs>
        <w:numPr>
          <w:ilvl w:val="0"/>
          <w:numId w:val="1"/>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jc w:val="both"/>
        <w:ind w:left="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61"/>
          </w:cols>
          <w:pgMar w:left="919" w:top="233" w:right="919" w:bottom="1440" w:gutter="0" w:footer="0" w:header="0"/>
          <w:type w:val="continuous"/>
        </w:sectPr>
      </w:pPr>
    </w:p>
    <w:p>
      <w:pPr>
        <w:spacing w:after="0" w:line="34" w:lineRule="exact"/>
        <w:rPr>
          <w:sz w:val="24"/>
          <w:szCs w:val="24"/>
          <w:color w:val="auto"/>
        </w:rPr>
      </w:pPr>
    </w:p>
    <w:p>
      <w:pPr>
        <w:ind w:left="3421"/>
        <w:spacing w:after="0" w:line="161" w:lineRule="exact"/>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34" w:lineRule="exact"/>
        <w:rPr>
          <w:sz w:val="24"/>
          <w:szCs w:val="24"/>
          <w:color w:val="auto"/>
        </w:rPr>
      </w:pPr>
    </w:p>
    <w:p>
      <w:pPr>
        <w:sectPr>
          <w:pgSz w:w="11900" w:h="16838" w:orient="portrait"/>
          <w:cols w:equalWidth="0" w:num="2">
            <w:col w:w="4861" w:space="660"/>
            <w:col w:w="4540"/>
          </w:cols>
          <w:pgMar w:left="919" w:top="233" w:right="919" w:bottom="1440" w:gutter="0" w:footer="0" w:header="0"/>
          <w:type w:val="continuous"/>
        </w:sectPr>
      </w:pPr>
    </w:p>
    <w:p>
      <w:pPr>
        <w:ind w:left="2841"/>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(Do not check if a smaller reporting company)</w:t>
      </w:r>
    </w:p>
    <w:p>
      <w:pPr>
        <w:spacing w:after="0" w:line="80" w:lineRule="exact"/>
        <w:rPr>
          <w:sz w:val="24"/>
          <w:szCs w:val="24"/>
          <w:color w:val="auto"/>
        </w:rPr>
      </w:pPr>
    </w:p>
    <w:p>
      <w:pPr>
        <w:sectPr>
          <w:pgSz w:w="11900" w:h="16838" w:orient="portrait"/>
          <w:cols w:equalWidth="0" w:num="2">
            <w:col w:w="4061" w:space="480"/>
            <w:col w:w="5520"/>
          </w:cols>
          <w:pgMar w:left="919" w:top="233" w:right="919" w:bottom="1440" w:gutter="0" w:footer="0" w:header="0"/>
          <w:type w:val="continuous"/>
        </w:sectPr>
      </w:pPr>
    </w:p>
    <w:p>
      <w:pPr>
        <w:ind w:left="3101"/>
        <w:spacing w:after="0" w:line="161" w:lineRule="exact"/>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Emerging growth company</w:t>
      </w:r>
    </w:p>
    <w:p>
      <w:pPr>
        <w:spacing w:after="0" w:line="109" w:lineRule="exact"/>
        <w:rPr>
          <w:sz w:val="24"/>
          <w:szCs w:val="24"/>
          <w:color w:val="auto"/>
        </w:rPr>
      </w:pPr>
    </w:p>
    <w:p>
      <w:pPr>
        <w:sectPr>
          <w:pgSz w:w="11900" w:h="16838" w:orient="portrait"/>
          <w:cols w:equalWidth="0" w:num="2">
            <w:col w:w="4841" w:space="400"/>
            <w:col w:w="4820"/>
          </w:cols>
          <w:pgMar w:left="919" w:top="233" w:right="919" w:bottom="1440" w:gutter="0" w:footer="0" w:header="0"/>
          <w:type w:val="continuous"/>
        </w:sectPr>
      </w:pPr>
    </w:p>
    <w:p>
      <w:pPr>
        <w:ind w:left="1" w:right="60"/>
        <w:spacing w:after="0" w:line="172"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2" w:lineRule="exact"/>
        <w:rPr>
          <w:sz w:val="24"/>
          <w:szCs w:val="24"/>
          <w:color w:val="auto"/>
        </w:rPr>
      </w:pPr>
    </w:p>
    <w:p>
      <w:pPr>
        <w:ind w:left="1"/>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13" w:lineRule="exact"/>
        <w:rPr>
          <w:sz w:val="24"/>
          <w:szCs w:val="24"/>
          <w:color w:val="auto"/>
        </w:rPr>
      </w:pPr>
    </w:p>
    <w:p>
      <w:pPr>
        <w:ind w:left="1"/>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left="1" w:firstLine="68"/>
        <w:spacing w:after="0" w:line="253" w:lineRule="auto"/>
        <w:rPr>
          <w:sz w:val="20"/>
          <w:szCs w:val="20"/>
          <w:color w:val="auto"/>
        </w:rPr>
      </w:pPr>
      <w:r>
        <w:rPr>
          <w:rFonts w:ascii="Arial" w:cs="Arial" w:eastAsia="Arial" w:hAnsi="Arial"/>
          <w:sz w:val="14"/>
          <w:szCs w:val="14"/>
          <w:color w:val="auto"/>
        </w:rPr>
        <w:t>The aggregate market value of the voting stock held by non-affiliates of the registrant as of September 30, 2017 was $258,610,103 based on the last sale price of such stock as quoted by The Nasdaq Global Select Market on such date.</w:t>
      </w:r>
    </w:p>
    <w:p>
      <w:pPr>
        <w:spacing w:after="0" w:line="39" w:lineRule="exact"/>
        <w:rPr>
          <w:sz w:val="24"/>
          <w:szCs w:val="24"/>
          <w:color w:val="auto"/>
        </w:rPr>
      </w:pPr>
    </w:p>
    <w:p>
      <w:pPr>
        <w:ind w:left="1"/>
        <w:spacing w:after="0"/>
        <w:rPr>
          <w:sz w:val="20"/>
          <w:szCs w:val="20"/>
          <w:color w:val="auto"/>
        </w:rPr>
      </w:pPr>
      <w:r>
        <w:rPr>
          <w:rFonts w:ascii="Arial" w:cs="Arial" w:eastAsia="Arial" w:hAnsi="Arial"/>
          <w:sz w:val="14"/>
          <w:szCs w:val="14"/>
          <w:color w:val="auto"/>
        </w:rPr>
        <w:t>The number of shares of common stock, $0.25 par value per share, outstanding as of June 1, 2018 was 16,161,786.</w:t>
      </w:r>
    </w:p>
    <w:p>
      <w:pPr>
        <w:spacing w:after="0" w:line="68" w:lineRule="exact"/>
        <w:rPr>
          <w:sz w:val="24"/>
          <w:szCs w:val="24"/>
          <w:color w:val="auto"/>
        </w:rPr>
      </w:pPr>
    </w:p>
    <w:p>
      <w:pPr>
        <w:ind w:left="1"/>
        <w:spacing w:after="0"/>
        <w:rPr>
          <w:sz w:val="20"/>
          <w:szCs w:val="20"/>
          <w:color w:val="auto"/>
        </w:rPr>
      </w:pPr>
      <w:r>
        <w:rPr>
          <w:rFonts w:ascii="Arial" w:cs="Arial" w:eastAsia="Arial" w:hAnsi="Arial"/>
          <w:sz w:val="14"/>
          <w:szCs w:val="14"/>
          <w:u w:val="single" w:color="auto"/>
          <w:color w:val="auto"/>
        </w:rPr>
        <w:t>Documents Incorporated by Reference</w:t>
      </w:r>
    </w:p>
    <w:p>
      <w:pPr>
        <w:ind w:left="1"/>
        <w:spacing w:after="0" w:line="237"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the registrant’s Annual Meeting of Shareholders to be held August 1, 2018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574040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33" w:right="9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80" w:type="dxa"/>
            <w:vAlign w:val="bottom"/>
            <w:gridSpan w:val="31"/>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777"/>
        </w:trPr>
        <w:tc>
          <w:tcPr>
            <w:tcW w:w="24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0"/>
          </w:tcPr>
          <w:p>
            <w:pPr>
              <w:ind w:left="480"/>
              <w:spacing w:after="0"/>
              <w:rPr>
                <w:sz w:val="20"/>
                <w:szCs w:val="20"/>
                <w:color w:val="auto"/>
              </w:rPr>
            </w:pPr>
            <w:r>
              <w:rPr>
                <w:rFonts w:ascii="Arial" w:cs="Arial" w:eastAsia="Arial" w:hAnsi="Arial"/>
                <w:sz w:val="18"/>
                <w:szCs w:val="18"/>
                <w:color w:val="auto"/>
              </w:rPr>
              <w:t>TABLE OF CONTENTS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5"/>
        </w:trPr>
        <w:tc>
          <w:tcPr>
            <w:tcW w:w="110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Page</w:t>
            </w: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40" w:type="dxa"/>
            <w:vAlign w:val="bottom"/>
            <w:gridSpan w:val="4"/>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740" w:type="dxa"/>
            <w:vAlign w:val="bottom"/>
            <w:gridSpan w:val="18"/>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60" w:type="dxa"/>
            <w:vAlign w:val="bottom"/>
            <w:gridSpan w:val="8"/>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20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60" w:type="dxa"/>
            <w:vAlign w:val="bottom"/>
            <w:gridSpan w:val="8"/>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Item 1B.</w:t>
              </w:r>
            </w:hyperlink>
          </w:p>
        </w:tc>
        <w:tc>
          <w:tcPr>
            <w:tcW w:w="20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520" w:type="dxa"/>
            <w:vAlign w:val="bottom"/>
            <w:tcBorders>
              <w:top w:val="single" w:sz="8" w:color="0000EE"/>
            </w:tcBorders>
            <w:gridSpan w:val="5"/>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140" w:type="dxa"/>
            <w:vAlign w:val="bottom"/>
            <w:tcBorders>
              <w:top w:val="single" w:sz="8" w:color="0000EE"/>
            </w:tcBorders>
            <w:gridSpan w:val="3"/>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c>
          <w:tcPr>
            <w:tcW w:w="5340" w:type="dxa"/>
            <w:vAlign w:val="bottom"/>
            <w:gridSpan w:val="10"/>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3.</w:t>
              </w:r>
            </w:hyperlink>
          </w:p>
        </w:tc>
        <w:tc>
          <w:tcPr>
            <w:tcW w:w="340" w:type="dxa"/>
            <w:vAlign w:val="bottom"/>
            <w:gridSpan w:val="4"/>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6040" w:type="dxa"/>
            <w:vAlign w:val="bottom"/>
            <w:gridSpan w:val="14"/>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520" w:type="dxa"/>
            <w:vAlign w:val="bottom"/>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340" w:type="dxa"/>
            <w:vAlign w:val="bottom"/>
            <w:gridSpan w:val="4"/>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38</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10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5.</w:t>
              </w:r>
            </w:hyperlink>
          </w:p>
        </w:tc>
        <w:tc>
          <w:tcPr>
            <w:tcW w:w="340" w:type="dxa"/>
            <w:vAlign w:val="bottom"/>
            <w:gridSpan w:val="4"/>
          </w:tcPr>
          <w:p>
            <w:pPr>
              <w:spacing w:after="0"/>
              <w:rPr>
                <w:sz w:val="17"/>
                <w:szCs w:val="17"/>
                <w:color w:val="auto"/>
              </w:rPr>
            </w:pPr>
          </w:p>
        </w:tc>
        <w:tc>
          <w:tcPr>
            <w:tcW w:w="6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Market for Registrant's Common Equity, Related Shareholder Matters and Issuer Purchases of</w:t>
              </w:r>
            </w:hyperlink>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Equity Securities</w:t>
              </w:r>
            </w:hyperlink>
          </w:p>
        </w:tc>
        <w:tc>
          <w:tcPr>
            <w:tcW w:w="5820" w:type="dxa"/>
            <w:vAlign w:val="bottom"/>
            <w:gridSpan w:val="13"/>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39</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520" w:type="dxa"/>
            <w:vAlign w:val="bottom"/>
            <w:gridSpan w:val="5"/>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340" w:type="dxa"/>
            <w:vAlign w:val="bottom"/>
            <w:gridSpan w:val="4"/>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7.</w:t>
              </w:r>
            </w:hyperlink>
          </w:p>
        </w:tc>
        <w:tc>
          <w:tcPr>
            <w:tcW w:w="340" w:type="dxa"/>
            <w:vAlign w:val="bottom"/>
            <w:gridSpan w:val="4"/>
          </w:tcPr>
          <w:p>
            <w:pPr>
              <w:spacing w:after="0"/>
              <w:rPr>
                <w:sz w:val="17"/>
                <w:szCs w:val="17"/>
                <w:color w:val="auto"/>
              </w:rPr>
            </w:pPr>
          </w:p>
        </w:tc>
        <w:tc>
          <w:tcPr>
            <w:tcW w:w="64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940" w:type="dxa"/>
            <w:vAlign w:val="bottom"/>
            <w:gridSpan w:val="4"/>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44</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Item 7A.</w:t>
              </w:r>
            </w:hyperlink>
          </w:p>
        </w:tc>
        <w:tc>
          <w:tcPr>
            <w:tcW w:w="20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3020" w:type="dxa"/>
            <w:vAlign w:val="bottom"/>
            <w:gridSpan w:val="6"/>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520" w:type="dxa"/>
            <w:vAlign w:val="bottom"/>
            <w:gridSpan w:val="5"/>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Item 8.</w:t>
              </w:r>
            </w:hyperlink>
          </w:p>
        </w:tc>
        <w:tc>
          <w:tcPr>
            <w:tcW w:w="340" w:type="dxa"/>
            <w:vAlign w:val="bottom"/>
            <w:gridSpan w:val="4"/>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20" w:type="dxa"/>
            <w:vAlign w:val="bottom"/>
            <w:gridSpan w:val="5"/>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Item 9.</w:t>
              </w:r>
            </w:hyperlink>
          </w:p>
        </w:tc>
        <w:tc>
          <w:tcPr>
            <w:tcW w:w="340" w:type="dxa"/>
            <w:vAlign w:val="bottom"/>
            <w:gridSpan w:val="4"/>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Changes in and Disagreements With Accountants on Accounting and Financial Disclosure</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118</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60" w:type="dxa"/>
            <w:vAlign w:val="bottom"/>
            <w:gridSpan w:val="8"/>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Item 9A.</w:t>
              </w:r>
            </w:hyperlink>
          </w:p>
        </w:tc>
        <w:tc>
          <w:tcPr>
            <w:tcW w:w="200" w:type="dxa"/>
            <w:vAlign w:val="bottom"/>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Controls and Procedures</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119</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Item 9B.</w:t>
              </w:r>
            </w:hyperlink>
          </w:p>
        </w:tc>
        <w:tc>
          <w:tcPr>
            <w:tcW w:w="2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Other Information</w:t>
              </w:r>
            </w:hyperlink>
          </w:p>
        </w:tc>
        <w:tc>
          <w:tcPr>
            <w:tcW w:w="380" w:type="dxa"/>
            <w:vAlign w:val="bottom"/>
            <w:tcBorders>
              <w:top w:val="single" w:sz="8" w:color="0000EE"/>
            </w:tcBorders>
            <w:gridSpan w:val="3"/>
          </w:tcPr>
          <w:p>
            <w:pPr>
              <w:spacing w:after="0"/>
              <w:rPr>
                <w:sz w:val="17"/>
                <w:szCs w:val="17"/>
                <w:color w:val="auto"/>
              </w:rPr>
            </w:pPr>
          </w:p>
        </w:tc>
        <w:tc>
          <w:tcPr>
            <w:tcW w:w="5680" w:type="dxa"/>
            <w:vAlign w:val="bottom"/>
            <w:gridSpan w:val="12"/>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119</w:t>
            </w:r>
          </w:p>
        </w:tc>
        <w:tc>
          <w:tcPr>
            <w:tcW w:w="240" w:type="dxa"/>
            <w:vAlign w:val="bottom"/>
          </w:tcPr>
          <w:p>
            <w:pPr>
              <w:spacing w:after="0"/>
              <w:rPr>
                <w:sz w:val="17"/>
                <w:szCs w:val="17"/>
                <w:color w:val="auto"/>
              </w:rPr>
            </w:pPr>
          </w:p>
        </w:tc>
      </w:tr>
      <w:tr>
        <w:trPr>
          <w:trHeight w:val="412"/>
        </w:trPr>
        <w:tc>
          <w:tcPr>
            <w:tcW w:w="1100" w:type="dxa"/>
            <w:vAlign w:val="bottom"/>
            <w:gridSpan w:val="10"/>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PART III</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60" w:type="dxa"/>
            <w:vAlign w:val="bottom"/>
            <w:gridSpan w:val="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10.</w:t>
              </w:r>
            </w:hyperlink>
          </w:p>
        </w:tc>
        <w:tc>
          <w:tcPr>
            <w:tcW w:w="73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Directors, Executive Officers and Corporate Governance</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120</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00" w:type="dxa"/>
            <w:vAlign w:val="bottom"/>
            <w:tcBorders>
              <w:top w:val="single" w:sz="8" w:color="0000EE"/>
            </w:tcBorders>
            <w:gridSpan w:val="6"/>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Item 11.</w:t>
              </w:r>
            </w:hyperlink>
          </w:p>
        </w:tc>
        <w:tc>
          <w:tcPr>
            <w:tcW w:w="260" w:type="dxa"/>
            <w:vAlign w:val="bottom"/>
            <w:gridSpan w:val="3"/>
          </w:tcPr>
          <w:p>
            <w:pPr>
              <w:spacing w:after="0"/>
              <w:rPr>
                <w:sz w:val="17"/>
                <w:szCs w:val="17"/>
                <w:color w:val="auto"/>
              </w:rPr>
            </w:pPr>
          </w:p>
        </w:tc>
        <w:tc>
          <w:tcPr>
            <w:tcW w:w="4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Executive Compensation</w:t>
              </w:r>
            </w:hyperlink>
          </w:p>
        </w:tc>
        <w:tc>
          <w:tcPr>
            <w:tcW w:w="3280" w:type="dxa"/>
            <w:vAlign w:val="bottom"/>
            <w:gridSpan w:val="7"/>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120</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60" w:type="dxa"/>
            <w:vAlign w:val="bottom"/>
            <w:gridSpan w:val="9"/>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Item 12.</w:t>
              </w:r>
            </w:hyperlink>
          </w:p>
        </w:tc>
        <w:tc>
          <w:tcPr>
            <w:tcW w:w="7380" w:type="dxa"/>
            <w:vAlign w:val="bottom"/>
            <w:gridSpan w:val="21"/>
          </w:tcPr>
          <w:p>
            <w:pPr>
              <w:spacing w:after="0" w:line="196" w:lineRule="exact"/>
              <w:rPr>
                <w:rFonts w:ascii="Arial" w:cs="Arial" w:eastAsia="Arial" w:hAnsi="Arial"/>
                <w:sz w:val="18"/>
                <w:szCs w:val="18"/>
                <w:color w:val="0000EE"/>
                <w:w w:val="99"/>
              </w:rPr>
            </w:pPr>
            <w:hyperlink w:anchor="page122">
              <w:r>
                <w:rPr>
                  <w:rFonts w:ascii="Arial" w:cs="Arial" w:eastAsia="Arial" w:hAnsi="Arial"/>
                  <w:sz w:val="18"/>
                  <w:szCs w:val="18"/>
                  <w:color w:val="0000EE"/>
                  <w:w w:val="99"/>
                </w:rPr>
                <w:t>Security Ownership of Certain Beneficial Owners and Management and Related Shareholder</w:t>
              </w:r>
            </w:hyperlink>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Matters</w:t>
              </w:r>
            </w:hyperlink>
          </w:p>
        </w:tc>
        <w:tc>
          <w:tcPr>
            <w:tcW w:w="5800" w:type="dxa"/>
            <w:vAlign w:val="bottom"/>
            <w:tcBorders>
              <w:top w:val="single" w:sz="8" w:color="0000EE"/>
            </w:tcBorders>
            <w:gridSpan w:val="14"/>
          </w:tcPr>
          <w:p>
            <w:pPr>
              <w:spacing w:after="0"/>
              <w:rPr>
                <w:sz w:val="17"/>
                <w:szCs w:val="17"/>
                <w:color w:val="auto"/>
              </w:rPr>
            </w:pPr>
          </w:p>
        </w:tc>
        <w:tc>
          <w:tcPr>
            <w:tcW w:w="680" w:type="dxa"/>
            <w:vAlign w:val="bottom"/>
            <w:gridSpan w:val="2"/>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120</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20" w:type="dxa"/>
            <w:vAlign w:val="bottom"/>
            <w:gridSpan w:val="7"/>
          </w:tcPr>
          <w:p>
            <w:pPr>
              <w:spacing w:after="0" w:line="196" w:lineRule="exact"/>
              <w:rPr>
                <w:rFonts w:ascii="Arial" w:cs="Arial" w:eastAsia="Arial" w:hAnsi="Arial"/>
                <w:sz w:val="18"/>
                <w:szCs w:val="18"/>
                <w:color w:val="0000EE"/>
                <w:w w:val="92"/>
              </w:rPr>
            </w:pPr>
            <w:hyperlink w:anchor="page122">
              <w:r>
                <w:rPr>
                  <w:rFonts w:ascii="Arial" w:cs="Arial" w:eastAsia="Arial" w:hAnsi="Arial"/>
                  <w:sz w:val="18"/>
                  <w:szCs w:val="18"/>
                  <w:color w:val="0000EE"/>
                  <w:w w:val="92"/>
                </w:rPr>
                <w:t>Item 13.</w:t>
              </w:r>
            </w:hyperlink>
          </w:p>
        </w:tc>
        <w:tc>
          <w:tcPr>
            <w:tcW w:w="240" w:type="dxa"/>
            <w:vAlign w:val="bottom"/>
            <w:gridSpan w:val="2"/>
          </w:tcPr>
          <w:p>
            <w:pPr>
              <w:spacing w:after="0"/>
              <w:rPr>
                <w:sz w:val="17"/>
                <w:szCs w:val="17"/>
                <w:color w:val="auto"/>
              </w:rPr>
            </w:pPr>
          </w:p>
        </w:tc>
        <w:tc>
          <w:tcPr>
            <w:tcW w:w="73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Certain Relationships and Related Transactions, and Director Independence</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120</w:t>
            </w:r>
          </w:p>
        </w:tc>
        <w:tc>
          <w:tcPr>
            <w:tcW w:w="2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62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123">
              <w:r>
                <w:rPr>
                  <w:rFonts w:ascii="Arial" w:cs="Arial" w:eastAsia="Arial" w:hAnsi="Arial"/>
                  <w:sz w:val="18"/>
                  <w:szCs w:val="18"/>
                  <w:color w:val="0000EE"/>
                  <w:w w:val="92"/>
                </w:rPr>
                <w:t>Item 14.</w:t>
              </w:r>
            </w:hyperlink>
          </w:p>
        </w:tc>
        <w:tc>
          <w:tcPr>
            <w:tcW w:w="240" w:type="dxa"/>
            <w:vAlign w:val="bottom"/>
            <w:gridSpan w:val="2"/>
          </w:tcPr>
          <w:p>
            <w:pPr>
              <w:spacing w:after="0"/>
              <w:rPr>
                <w:sz w:val="17"/>
                <w:szCs w:val="17"/>
                <w:color w:val="auto"/>
              </w:rPr>
            </w:pPr>
          </w:p>
        </w:tc>
        <w:tc>
          <w:tcPr>
            <w:tcW w:w="5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Principal Accountant Fees and Services</w:t>
              </w:r>
            </w:hyperlink>
          </w:p>
        </w:tc>
        <w:tc>
          <w:tcPr>
            <w:tcW w:w="1940" w:type="dxa"/>
            <w:vAlign w:val="bottom"/>
            <w:gridSpan w:val="5"/>
          </w:tcPr>
          <w:p>
            <w:pPr>
              <w:spacing w:after="0"/>
              <w:rPr>
                <w:sz w:val="17"/>
                <w:szCs w:val="17"/>
                <w:color w:val="auto"/>
              </w:rPr>
            </w:pPr>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121</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24">
              <w:r>
                <w:rPr>
                  <w:rFonts w:ascii="Arial" w:cs="Arial" w:eastAsia="Arial" w:hAnsi="Arial"/>
                  <w:sz w:val="18"/>
                  <w:szCs w:val="18"/>
                  <w:color w:val="0000EE"/>
                  <w:w w:val="94"/>
                </w:rPr>
                <w:t>PART IV</w:t>
              </w:r>
            </w:hyperlink>
          </w:p>
        </w:tc>
        <w:tc>
          <w:tcPr>
            <w:tcW w:w="42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860" w:type="dxa"/>
            <w:vAlign w:val="bottom"/>
            <w:gridSpan w:val="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Item 15.</w:t>
              </w:r>
            </w:hyperlink>
          </w:p>
        </w:tc>
        <w:tc>
          <w:tcPr>
            <w:tcW w:w="7380" w:type="dxa"/>
            <w:vAlign w:val="bottom"/>
            <w:gridSpan w:val="2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Exhibits, Financial Statement Schedules</w:t>
              </w:r>
            </w:hyperlink>
          </w:p>
        </w:tc>
        <w:tc>
          <w:tcPr>
            <w:tcW w:w="340" w:type="dxa"/>
            <w:vAlign w:val="bottom"/>
          </w:tcPr>
          <w:p>
            <w:pPr>
              <w:jc w:val="center"/>
              <w:spacing w:after="0" w:line="196" w:lineRule="exact"/>
              <w:rPr>
                <w:sz w:val="20"/>
                <w:szCs w:val="20"/>
                <w:color w:val="auto"/>
              </w:rPr>
            </w:pPr>
            <w:r>
              <w:rPr>
                <w:rFonts w:ascii="Arial" w:cs="Arial" w:eastAsia="Arial" w:hAnsi="Arial"/>
                <w:sz w:val="18"/>
                <w:szCs w:val="18"/>
                <w:color w:val="auto"/>
                <w:w w:val="86"/>
              </w:rPr>
              <w:t>122</w:t>
            </w:r>
          </w:p>
        </w:tc>
        <w:tc>
          <w:tcPr>
            <w:tcW w:w="2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100" w:type="dxa"/>
            <w:vAlign w:val="bottom"/>
            <w:gridSpan w:val="10"/>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6"/>
              </w:rPr>
              <w:t>127</w:t>
            </w:r>
          </w:p>
        </w:tc>
        <w:tc>
          <w:tcPr>
            <w:tcW w:w="240" w:type="dxa"/>
            <w:vAlign w:val="bottom"/>
          </w:tcPr>
          <w:p>
            <w:pPr>
              <w:spacing w:after="0"/>
              <w:rPr>
                <w:sz w:val="24"/>
                <w:szCs w:val="24"/>
                <w:color w:val="auto"/>
              </w:rPr>
            </w:pPr>
          </w:p>
        </w:tc>
      </w:tr>
      <w:tr>
        <w:trPr>
          <w:trHeight w:val="1027"/>
        </w:trPr>
        <w:tc>
          <w:tcPr>
            <w:tcW w:w="2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4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i w:val="1"/>
          <w:iCs w:val="1"/>
          <w:color w:val="auto"/>
        </w:rPr>
        <w:t>This Annual Report on Form 10-K contains forward-looking statements regarding the plans and objectives of management for future operations. Any such forward-looking statements may involve known and unknown risks, uncertainties and other factors which may cause our actual results, performance or achievements to be materially different from future results, performance or achievements expressed or implied by any forward-looking statements. Forward-looking statements, which involve assumptions and describe our future plans, strategies and expectations are generally identifiable by use of the words “may,” “predict,” “will,” “continue,” “likely,” “would,” “could,” “should,” “expect,” “anticipate,” “potential,” “estimate,” “indicate,” “seek,” “believe,” “target,” “intend,” “plan,” or “project” or the negative of these words or other variations on these words or comparable terminology. These forward-looking statements involve risks and uncertainties and are based on assumptions that may be incorrect, and we cannot assure you that the projections included in these forward-looking statements will come to pass. Accordingly, there are or will be important factors that could cause our actual results to differ materially from those expressed or implied by the forward-looking statements. We believe these factors include, but are not limited to, the following:</w:t>
      </w:r>
    </w:p>
    <w:p>
      <w:pPr>
        <w:spacing w:after="0" w:line="93" w:lineRule="exact"/>
        <w:rPr>
          <w:sz w:val="20"/>
          <w:szCs w:val="20"/>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results;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conditions and our ability to access debt and equity capital and our ability to manage our capital resources effectively;</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ind w:left="660" w:hanging="333"/>
        <w:spacing w:after="0" w:line="21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financial condition and ability of our existing and prospective portfolio companies to achieve their objectives;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as a BDC and a RIC, including the impact of changes in laws or regulations, including the tax reform, governing our operations or the operations of our portfolio companies;</w:t>
      </w:r>
    </w:p>
    <w:p>
      <w:pPr>
        <w:ind w:left="660" w:hanging="333"/>
        <w:spacing w:after="0" w:line="229"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dependence of our future success on the general economy and its impact on the industries in which we invest;</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invest any capital raised in an offering;</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transition to a debt focused investment strategy;</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ind w:left="660" w:hanging="333"/>
        <w:spacing w:after="0" w:line="20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regulatory structure and tax treatment; and</w:t>
      </w: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2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 xml:space="preserve">For a discussion of these and other factors that could cause our actual results to differ materially from forward-looking statements contained in this Annual Report, please see the discussion under “Risk Factors” in Item 1A. </w:t>
      </w:r>
      <w:r>
        <w:rPr>
          <w:rFonts w:ascii="Arial" w:cs="Arial" w:eastAsia="Arial" w:hAnsi="Arial"/>
          <w:sz w:val="17"/>
          <w:szCs w:val="17"/>
          <w:i w:val="1"/>
          <w:iCs w:val="1"/>
          <w:color w:val="auto"/>
        </w:rPr>
        <w:t>We have</w:t>
      </w:r>
      <w:r>
        <w:rPr>
          <w:rFonts w:ascii="Arial" w:cs="Arial" w:eastAsia="Arial" w:hAnsi="Arial"/>
          <w:sz w:val="17"/>
          <w:szCs w:val="17"/>
          <w:color w:val="auto"/>
        </w:rPr>
        <w:t xml:space="preserve"> </w:t>
      </w:r>
      <w:r>
        <w:rPr>
          <w:rFonts w:ascii="Arial" w:cs="Arial" w:eastAsia="Arial" w:hAnsi="Arial"/>
          <w:sz w:val="17"/>
          <w:szCs w:val="17"/>
          <w:i w:val="1"/>
          <w:iCs w:val="1"/>
          <w:color w:val="auto"/>
        </w:rPr>
        <w:t>based the forward-looking statements included in this Annual Report on Form 10-K on information available to us on the date of this Annual Report on Form 10-K. You should not place undue reliance on these forward-looking statements and you should carefully consider all of the factors identified in this report that could cause actual results to differ. We assume no obligation to update any such forward-looking statements, unless we are required to do so by applicable law.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Capital Southwest Corporation, which we refer to as “we,” “our,” “us,” “CSWC,” or the “Company” is an internally managed closed-end, non-diversified management investment company that has elected to be regulated as a business development company, or BDC, under the Investment Company Act of 1940, as amended, or the 1940 Act. We specialize in providing customized financing to middle market companies in a broad range of industry segments located primarily in the United States. Our common stock currently trades on The Nasdaq Global Select Market under the ticker symbol “CSWC.”</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were organized as a Texas corporation on April 19, 1961. Until September 1969, we operated as a small business investment company, or SBIC, licensed under the Small Business Investment Act of 1958. At that time, we transferred to our wholly-owned subsidiary, Capital Southwest Venture Corporation, or CSVC, certain assets including our SBIC license. CSVC was a closed-end, non-diversified investment company registered under the 1940 Act. Effective June 14, 2016, CSVC was dissolved and its SBIC license was surrendered. All assets held in CSVC were transferred to us upon dissolution. Prior to March 30, 1988, we were registered as a closed-end, non-diversified investment company under the 1940 Act. On that date, we elected to be treated as a BDC under the 1940 Act. As a BDC, we are required to comply with certain regulatory requirements. For instance, we generally have to invest at least 70% of our assets in “qualifying assets,” including securities of private or thinly traded public U.S. companies, cash, cash equivalents, U.S. government securities and high quality debt investments that mature in one year or less. In addition, we are allowed to borrow money such that our asset coverage, as defined in the 1940 Act, equals at least 200% (or, pursuant to recent legislation, 150% if certain requirements are met as described in the Business Section under “Regulation as a Business Development Company—Senior Securities”) after such borrowing, with certain limited exceptions.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or RIC, under Subchapter M of the U.S. Internal Revenue Code of 1986, or the Code. As such, we generally will not have to pay corporate-level U.S. federal income tax on any ordinary income or capital gains that we distribute to our shareholders as dividends. To continue to maintain our RIC status, we must meet specified source-of-income and asset diversification requirements and distribute annually at least 90% of our ordinary income and realized net short-term capital gains in excess of realized net long-term capital losses, if any. Depending on the level of taxable income earned in a tax year, we may choose to carry forward taxable income in excess of current year distributions into the next year and pay a 4% excise tax on such income. Any such carryover taxable income must be distributed through a dividend declared prior to filing the final tax return related to the year that generated such taxable income.</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Capital Southwest Management Corporation, or CSMC, our wholly-owned subsidiary, is our management company. CSMC generally incurs all normal operating and administrative expenses, including, but not limited to, salaries and related benefits, rent, equipment and other administrative costs required for day-to-day operations.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have a direct wholly-owned subsidiary that has been elected to be a taxable entity (the “Taxable Subsidiary”). The primary purpose of the Taxable Subsidiary is to permit us to hold certain interests in portfolio companies that are organized as limited liability companies, or LLCs (or other forms of pass-through entities) and still allow us to satisfy the RIC tax requirement that at least 90% of our gross income for federal income tax purposes must consist of qualifying investment income. The Taxable Subsidiary is taxed at normal corporate tax rates based on its taxable income.</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30, 2015, we completed the spin-off, which we refer to as the Share Distribution, of CSW Industrials, Inc., or CSWI. CSWI is now an independent publicly traded company. The Share Distribution was effected through a tax-free, pro-rata distribution of 100% of CSWI’s common stock to our shareholders. Each of our shareholders received one share of CSWI common stock for every one share of our common stock on the record date, September 18, 2015. Cash was paid in lieu of any fractional shares of CSWI common stock.</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the Share Distribution, we have maintained operations as an internally managed BDC and pursue a credit-focused investing strategy akin to similarly structured organizations. We intend to continue to provide capital to middle-market companies. We invest primarily in debt securities, including senior debt, second lien and subordinated debt, and may also invest in preferred stock and common stock alongside our debt investments or through warrants.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depicts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152400</wp:posOffset>
            </wp:positionV>
            <wp:extent cx="3044190" cy="2152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2018, we had nineteen employees, each of whom was employed by our management company, CSMC. These employees include our corporate officers, investment and portfolio management professionals and administrative staff. All of our employees are located in our principal executive offices in Dallas, Texas.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principal executive offices are located at 5400 Lyndon B. Johnson Freeway, Suite 1300, Dallas, Texas 75240. We maintain a website at www.capitalsouthwest.com. You can review the filings we have made with the Securities and Exchange Commission, or the SEC, free of charge on EDGAR, the Electronic Data Gathering, Analysis, and Retrieval System of the SEC, accessible at http://www.sec.gov. We also make available free of charge on our website our Annual Reports on Form 10-K, Quarterly Reports on Form 10-Q, Current Reports on Form 8-K, any amendments to those reports and any other reports filed or furnished pursuant to Section 13(a) or 15(d) of the Securities Exchange Act of 1934, or the Exchange Act, as soon as reasonably practicable after filing these reports with the SEC. Information on our website is not incorporated by reference into this Annual Report on Form 10-K and you should not consider that information to be part of this Annual Report on Form 10-K.</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public may read and copy materials that we file with the SEC at the SEC’s Public Reference Room at 100 F Street, NE, Washington, DC 20549. Information on the operation of the Public Reference Room may be obtained by calling the SEC at 1-800-732-0330. The SEC also maintains a website that contains the reports, proxy and information statements and other information regarding issuers that file electronically with the SEC at http://www.sec.gov.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charters adopted by the committees of our Board of Directors are also available on our website. Information contained on our website is not incorporated by reference into this Annual Report on Form 10-K, and you should not consider that information to be part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an internally managed closed-end, non-diversified management investment company that has elected to be regulated as a BDC under the 1940 Act. We specialize in providing customized debt and equity financing to lower middle market, or LMM, companies and debt capital to upper middle market, or UMM, companies in a broad range of industry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senior debt securities, secured by security interests in portfolio company assets, and in secured and unsecured subordinated debt securities. We also invest in equity interests in our portfolio companies alongside our debt securities.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focus on investing in companies with histories of generating revenues and positive cash flow, established market positions and proven management teams with strong operating discipline. We target senior debt, subordinated debt, and equity investments in LMM companies, as well as first and second lien syndicated loans in UMM companies. Our target LMM companies typically have annual earnings before interest, taxes, depreciation and amortization, or EBITDA, between $3.0 million and $15.0 million, and our LMM investments generally range in size from $5.0 million to $25.0 million. Our UMM investments generally include syndicated first and second lien loans in companies with EBITDA generally greater than $50.0 million, and our UMM investments typically range in size from $5.0 million to $15.0 million.</w:t>
      </w:r>
    </w:p>
    <w:p>
      <w:pPr>
        <w:spacing w:after="0" w:line="16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including equity participation.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as well as subordinated debt which may either be secured or unsecured subordinated loans. Our LMM debt investments typically have a term of between five and seven years from the original investment date. We also often seek to invest in the equity securities of our LMM portfolio companies.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investments in UMM companies primarily consist of direct investments in or secondary purchases of interest bearing debt securities in privately held companies that are generally larger in size than the LMM companies included in our portfolio. Our UMM debt investments are generally secured by either a first or second priority lien on the assets of the portfolio company and typically have an expected duration of between three and seven years from the original investment date.</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offer managerial assistance to our portfolio companies and provide them access to our investment experience, direct industry expertise and contacts. Our obligation to offer to make available significant managerial assistance to our portfolio companies is consistent with our belief that providing managerial assistance to a portfolio company is important to its business development activities.</w:t>
      </w:r>
    </w:p>
    <w:p>
      <w:pPr>
        <w:spacing w:after="0" w:line="13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we are internally managed, we do not pay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which are externally managed, and our internally managed structure allows us the opportunity to leverage our non-interest operating expenses as we grow our investment portfolio.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April 2, 2018, CSWC paid regular dividends declared on February 28, 2018 in the amount of $4.5 million, or $0.28 per share.</w:t>
      </w:r>
    </w:p>
    <w:p>
      <w:pPr>
        <w:spacing w:after="0" w:line="12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On April 16, 2018 and May 11, 2018, CSWC entered into Incremental Assumption Agreements, which increased the total commitments under our senior secured credit facility, dated as of August 30, 2016 and amended as of November 16, 2017, or the Credit Facility, by $20 million and $10 million, respectively. The increases were executed under the accordion feature of the Credit Facility and increased total commitments from $180 million to $210 million.</w:t>
      </w:r>
    </w:p>
    <w:p>
      <w:pPr>
        <w:spacing w:after="0" w:line="12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On April 25, 2018, the Board of Directors unanimously approved the application of the recently modified asset coverage requirements set forth in Section 61(a)(2) of the 1940 Act. As a result, the minimum asset coverage ratio applicable to the Company will be decreased from 200% to 150%, effective April 25, 2019. The Board of Directors also approved a resolution which limits the Company’s issuance of senior securities such that the asset coverage ratio, taking into account any such issuance, would not be less than 166%, effective April 25, 2019.</w:t>
      </w:r>
    </w:p>
    <w:p>
      <w:pPr>
        <w:spacing w:after="0" w:line="16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On June 1, 2018, the Company’s Board of Directors declared a $0.29 dividend per share for the quarter ended June 30, 2018. The record date for the dividend is June 26, 2018. The payment date for the dividend is July 2, 2018.</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strategy is to achieve our investment objective of producing attractive risk-adjusted returns by generating current income from our debt investments and realizing capital appreciation from our equity and equity-related investments. We have adopted the following business strategies to achieve our investment objective:</w:t>
      </w:r>
    </w:p>
    <w:p>
      <w:pPr>
        <w:spacing w:after="0" w:line="364" w:lineRule="exact"/>
        <w:rPr>
          <w:sz w:val="20"/>
          <w:szCs w:val="20"/>
          <w:color w:val="auto"/>
        </w:rPr>
      </w:pPr>
    </w:p>
    <w:p>
      <w:pPr>
        <w:jc w:val="both"/>
        <w:ind w:left="660" w:hanging="333"/>
        <w:spacing w:after="0" w:line="22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Leveraging the Experience of Our Management Team</w:t>
      </w:r>
      <w:r>
        <w:rPr>
          <w:rFonts w:ascii="Arial" w:cs="Arial" w:eastAsia="Arial" w:hAnsi="Arial"/>
          <w:sz w:val="17"/>
          <w:szCs w:val="17"/>
          <w:color w:val="auto"/>
        </w:rPr>
        <w:t>. Our senior management team has extensive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investing in and lending to middle market companies across changing market cycles. The members of our management team have diverse investment backgrounds, with prior experience at BDCs in the capacity of senior officers. We believe this extensive experience provides us with an in-depth understanding of the strategic, financial and operational challenges and opportunities of the middle market companies in which we invest. We believe this understanding allows us to select and structure better investments and to efficiently monitor and provide managerial assistance to our portfolio companies.</w:t>
      </w:r>
    </w:p>
    <w:p>
      <w:pPr>
        <w:spacing w:after="0" w:line="121" w:lineRule="exact"/>
        <w:rPr>
          <w:rFonts w:ascii="Arial" w:cs="Arial" w:eastAsia="Arial" w:hAnsi="Arial"/>
          <w:sz w:val="17"/>
          <w:szCs w:val="17"/>
          <w:color w:val="auto"/>
        </w:rPr>
      </w:pPr>
    </w:p>
    <w:p>
      <w:pPr>
        <w:jc w:val="both"/>
        <w:ind w:left="660" w:hanging="333"/>
        <w:spacing w:after="0" w:line="22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Applying Rigorous Underwriting Policies and Active Portfolio Management</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senior management team has</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implemented rigorous underwriting policies that are followed in each transaction. These policies include a thorough analysis of each potential portfolio company’s competitive position, financial performance, management team operating discipline, growth potential and industry attractiveness, which we believe allows us to better assess the company’s prospects. After investing in a company, we monitor the investment closely, typically receiving monthly, quarterly and annual financial statements. Senior management, together with the deal team and accounting and finance departments, meets at least monthly to analyze and discuss in detail the company’s financial performance and industry trends. We believe that our initial and ongoing portfolio review process allows us to monitor effectively the performance and prospects of our portfolio companies.</w:t>
      </w:r>
    </w:p>
    <w:p>
      <w:pPr>
        <w:spacing w:after="0" w:line="121" w:lineRule="exact"/>
        <w:rPr>
          <w:rFonts w:ascii="Arial" w:cs="Arial" w:eastAsia="Arial" w:hAnsi="Arial"/>
          <w:sz w:val="17"/>
          <w:szCs w:val="17"/>
          <w:color w:val="auto"/>
        </w:rPr>
      </w:pPr>
    </w:p>
    <w:p>
      <w:pPr>
        <w:jc w:val="both"/>
        <w:ind w:left="660" w:hanging="333"/>
        <w:spacing w:after="0" w:line="22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Investing Across Multiple Companies, Industries, Regions and End Markets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seek to maintain a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of investments that is appropriately diverse among various companies, industries, geographic regions and end markets. This portfolio balance is intended to mitigate the potential effects of negative economic events for particular companies, regions, industries and end markets. However, we may from time to time hold securities of an individual portfolio company that comprise more than 5% of our total assets and/or more than 10% of the outstanding voting securities of the portfolio company. For that reason, we are classified as a non-diversified management investment company that has elected to be regulated as a BDC under the 1940 Act.</w:t>
      </w:r>
    </w:p>
    <w:p>
      <w:pPr>
        <w:spacing w:after="0" w:line="162" w:lineRule="exact"/>
        <w:rPr>
          <w:rFonts w:ascii="Arial" w:cs="Arial" w:eastAsia="Arial" w:hAnsi="Arial"/>
          <w:sz w:val="17"/>
          <w:szCs w:val="17"/>
          <w:color w:val="auto"/>
        </w:rPr>
      </w:pPr>
    </w:p>
    <w:p>
      <w:pPr>
        <w:jc w:val="both"/>
        <w:ind w:left="660" w:hanging="333"/>
        <w:spacing w:after="0" w:line="23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Utilizing Long-Standing Relationships to Source Deals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senior management team and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professionals maintain extensive relationships with entrepreneurs, financial sponsors, attorneys, accountants, investment bankers, commercial bankers and other non-bank providers of capital who refer prospective portfolio companies to us. These relationships historically have generated significant investment opportunities. We believe that our network of relationships will continue to produce attractive investment opportunities.</w:t>
      </w:r>
    </w:p>
    <w:p>
      <w:pPr>
        <w:spacing w:after="0" w:line="157" w:lineRule="exact"/>
        <w:rPr>
          <w:rFonts w:ascii="Arial" w:cs="Arial" w:eastAsia="Arial" w:hAnsi="Arial"/>
          <w:sz w:val="17"/>
          <w:szCs w:val="17"/>
          <w:color w:val="auto"/>
        </w:rPr>
      </w:pPr>
    </w:p>
    <w:p>
      <w:pPr>
        <w:jc w:val="both"/>
        <w:ind w:left="660" w:hanging="333"/>
        <w:spacing w:after="0" w:line="21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Focusing on Underserved Markets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middle market has traditionally been underserved. We believe that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margin and growth pressures, as well as regulatory concerns, have caused many financial institutions to de-emphasize services to middle market companies in favor of larger corporate clients and more liquid capital market transactions. We also invest in securities that would be rated below investment grade if they were rated. We believe these dynamics have resulted in the financing market for middle market companies being underserved, providing us with greater investment opportunities.</w:t>
      </w:r>
    </w:p>
    <w:p>
      <w:pPr>
        <w:spacing w:after="0" w:line="162" w:lineRule="exact"/>
        <w:rPr>
          <w:rFonts w:ascii="Arial" w:cs="Arial" w:eastAsia="Arial" w:hAnsi="Arial"/>
          <w:sz w:val="18"/>
          <w:szCs w:val="18"/>
          <w:color w:val="auto"/>
        </w:rPr>
      </w:pPr>
    </w:p>
    <w:p>
      <w:pPr>
        <w:jc w:val="both"/>
        <w:ind w:left="660" w:hanging="333"/>
        <w:spacing w:after="0" w:line="24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Focus on Established Companies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generally invest in companies with established market positions, proven</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teams with strong operating discipline, histories of generating revenues, and recurring cash flow streams. We believe that those companies generally possess better risk adjusted return profiles than earlier stage companies that are building their management teams and establishing their revenue base. We also believe that established companies in our target size range generally provide opportunities for capital appreciation.</w:t>
      </w:r>
    </w:p>
    <w:p>
      <w:pPr>
        <w:spacing w:after="0" w:line="154" w:lineRule="exact"/>
        <w:rPr>
          <w:rFonts w:ascii="Arial" w:cs="Arial" w:eastAsia="Arial" w:hAnsi="Arial"/>
          <w:sz w:val="16"/>
          <w:szCs w:val="16"/>
          <w:color w:val="auto"/>
        </w:rPr>
      </w:pPr>
    </w:p>
    <w:p>
      <w:pPr>
        <w:jc w:val="both"/>
        <w:ind w:left="660" w:hanging="333"/>
        <w:spacing w:after="0" w:line="23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Capital Structures Appropriate for Potential Industry and Business Volatility. </w:t>
      </w:r>
      <w:r>
        <w:rPr>
          <w:rFonts w:ascii="Arial" w:cs="Arial" w:eastAsia="Arial" w:hAnsi="Arial"/>
          <w:sz w:val="17"/>
          <w:szCs w:val="17"/>
          <w:color w:val="auto"/>
        </w:rPr>
        <w:t>Our investment team spends</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time understanding the performance of both the target portfolio company and its specific industry throughout a full economic cycle. The history of each specific industry and target portfolio company will demonstrate a different level of potential volatility in financial performance. We seek to understand this dynamic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line="258" w:lineRule="auto"/>
        <w:rPr>
          <w:sz w:val="20"/>
          <w:szCs w:val="20"/>
          <w:color w:val="auto"/>
        </w:rPr>
      </w:pPr>
      <w:r>
        <w:rPr>
          <w:rFonts w:ascii="Arial" w:cs="Arial" w:eastAsia="Arial" w:hAnsi="Arial"/>
          <w:sz w:val="17"/>
          <w:szCs w:val="17"/>
          <w:color w:val="auto"/>
        </w:rPr>
        <w:t>thoroughly and invest our capital at leverage levels in the capital structure that will remain within enterprise value and in securities that will receive interest payments if such downside volatility were to occur.</w:t>
      </w:r>
    </w:p>
    <w:p>
      <w:pPr>
        <w:spacing w:after="0" w:line="143" w:lineRule="exact"/>
        <w:rPr>
          <w:sz w:val="20"/>
          <w:szCs w:val="20"/>
          <w:color w:val="auto"/>
        </w:rPr>
      </w:pPr>
    </w:p>
    <w:p>
      <w:pPr>
        <w:jc w:val="both"/>
        <w:ind w:left="660" w:hanging="333"/>
        <w:spacing w:after="0" w:line="22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Providing Customized Financing Solutions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offer a variety of financing structures and have the flexibility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our investments to meet the needs of our portfolio companies. Often we invest in senior and subordinated debt securities, coupled with equity interests. We believe our ability to customize financing structures makes us an attractive partner to middle market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 AND OBJECTIVES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investment team has identified the following investment criteria that we believe are important in evaluating prospective investment opportunities. However, not all of these criteria have been or will be met in connection with each of our investments:</w:t>
      </w:r>
    </w:p>
    <w:p>
      <w:pPr>
        <w:spacing w:after="0" w:line="164" w:lineRule="exact"/>
        <w:rPr>
          <w:sz w:val="20"/>
          <w:szCs w:val="20"/>
          <w:color w:val="auto"/>
        </w:rPr>
      </w:pPr>
    </w:p>
    <w:p>
      <w:pPr>
        <w:ind w:left="660" w:hanging="333"/>
        <w:spacing w:after="0" w:line="23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Companies with Positive and Sustainable Cash Flow</w:t>
      </w:r>
      <w:r>
        <w:rPr>
          <w:rFonts w:ascii="Arial" w:cs="Arial" w:eastAsia="Arial" w:hAnsi="Arial"/>
          <w:sz w:val="18"/>
          <w:szCs w:val="18"/>
          <w:color w:val="auto"/>
        </w:rPr>
        <w:t>: We generally seek to invest in established companies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sound historical financial performance.</w:t>
      </w:r>
    </w:p>
    <w:p>
      <w:pPr>
        <w:spacing w:after="0" w:line="158" w:lineRule="exact"/>
        <w:rPr>
          <w:rFonts w:ascii="Arial" w:cs="Arial" w:eastAsia="Arial" w:hAnsi="Arial"/>
          <w:sz w:val="18"/>
          <w:szCs w:val="18"/>
          <w:color w:val="auto"/>
        </w:rPr>
      </w:pPr>
    </w:p>
    <w:p>
      <w:pPr>
        <w:jc w:val="both"/>
        <w:ind w:left="660" w:hanging="333"/>
        <w:spacing w:after="0" w:line="22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Excellent Management</w:t>
      </w:r>
      <w:r>
        <w:rPr>
          <w:rFonts w:ascii="Arial" w:cs="Arial" w:eastAsia="Arial" w:hAnsi="Arial"/>
          <w:sz w:val="18"/>
          <w:szCs w:val="18"/>
          <w:color w:val="auto"/>
        </w:rPr>
        <w:t>: Management teams with a proven record of achievement, exceptional ability, unyielding</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and integrity. We believe management teams with these attributes are more likely to manage the companies in a manner that protects and enhances value.</w:t>
      </w:r>
    </w:p>
    <w:p>
      <w:pPr>
        <w:spacing w:after="0" w:line="117" w:lineRule="exact"/>
        <w:rPr>
          <w:rFonts w:ascii="Arial" w:cs="Arial" w:eastAsia="Arial" w:hAnsi="Arial"/>
          <w:sz w:val="18"/>
          <w:szCs w:val="18"/>
          <w:color w:val="auto"/>
        </w:rPr>
      </w:pPr>
    </w:p>
    <w:p>
      <w:pPr>
        <w:ind w:left="660" w:hanging="333"/>
        <w:spacing w:after="0" w:line="23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Industry: </w:t>
      </w:r>
      <w:r>
        <w:rPr>
          <w:rFonts w:ascii="Arial" w:cs="Arial" w:eastAsia="Arial" w:hAnsi="Arial"/>
          <w:sz w:val="18"/>
          <w:szCs w:val="18"/>
          <w:color w:val="auto"/>
        </w:rPr>
        <w:t>We primarily focus on companies having competitive advantages in their respective markets and/or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 industries with barriers to entry, which may help protect their market position.</w:t>
      </w:r>
    </w:p>
    <w:p>
      <w:pPr>
        <w:spacing w:after="0" w:line="158" w:lineRule="exact"/>
        <w:rPr>
          <w:rFonts w:ascii="Arial" w:cs="Arial" w:eastAsia="Arial" w:hAnsi="Arial"/>
          <w:sz w:val="18"/>
          <w:szCs w:val="18"/>
          <w:color w:val="auto"/>
        </w:rPr>
      </w:pPr>
    </w:p>
    <w:p>
      <w:pPr>
        <w:jc w:val="both"/>
        <w:ind w:left="660" w:hanging="333"/>
        <w:spacing w:after="0" w:line="22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Equity Sponsors: </w:t>
      </w:r>
      <w:r>
        <w:rPr>
          <w:rFonts w:ascii="Arial" w:cs="Arial" w:eastAsia="Arial" w:hAnsi="Arial"/>
          <w:sz w:val="18"/>
          <w:szCs w:val="18"/>
          <w:color w:val="auto"/>
        </w:rPr>
        <w:t>We focus on developing relationships with leading private equity firms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partner with these firms and provide them capital to support the acquisition and growth of their portfolio companies.</w:t>
      </w:r>
    </w:p>
    <w:p>
      <w:pPr>
        <w:spacing w:after="0" w:line="158" w:lineRule="exact"/>
        <w:rPr>
          <w:rFonts w:ascii="Arial" w:cs="Arial" w:eastAsia="Arial" w:hAnsi="Arial"/>
          <w:sz w:val="18"/>
          <w:szCs w:val="18"/>
          <w:color w:val="auto"/>
        </w:rPr>
      </w:pPr>
    </w:p>
    <w:p>
      <w:pPr>
        <w:jc w:val="both"/>
        <w:ind w:left="660" w:hanging="333"/>
        <w:spacing w:after="0" w:line="23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Appropriate Risk-Adjusted Returns: </w:t>
      </w:r>
      <w:r>
        <w:rPr>
          <w:rFonts w:ascii="Arial" w:cs="Arial" w:eastAsia="Arial" w:hAnsi="Arial"/>
          <w:sz w:val="17"/>
          <w:szCs w:val="17"/>
          <w:color w:val="auto"/>
        </w:rPr>
        <w:t>We focus on and price opportunities to generate returns that are attractive</w:t>
      </w:r>
      <w:r>
        <w:rPr>
          <w:rFonts w:ascii="Arial" w:cs="Arial" w:eastAsia="Arial" w:hAnsi="Arial"/>
          <w:sz w:val="17"/>
          <w:szCs w:val="17"/>
          <w:b w:val="1"/>
          <w:bCs w:val="1"/>
          <w:color w:val="auto"/>
        </w:rPr>
        <w:t xml:space="preserve"> </w:t>
      </w:r>
      <w:r>
        <w:rPr>
          <w:rFonts w:ascii="Arial" w:cs="Arial" w:eastAsia="Arial" w:hAnsi="Arial"/>
          <w:sz w:val="17"/>
          <w:szCs w:val="17"/>
          <w:color w:val="auto"/>
        </w:rPr>
        <w:t>on a risk-adjusted basis, taking into consideration factors, in addition to the ones depicted above, including credit structure, leverage levels and the general volatility and potential volatility of cash flows.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an investment committee that is responsible for all aspects of our investment process relating to investments made by us. The current members of the investment committee are Bowen Diehl, Chief Executive Officer, Michael Sarner, Chief Financial Officer, Douglas Kelley, Managing Director, Josh Weinstein, Managing Director, and David Brooks, Chairman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investment strategy involves a team approach, whereby our investment team screens potential transactions before they are presented to the investment committee for approval. Transactions that are either above a certain hold size or outside our general investment policy will also be reviewed and approved by the Board of Directors. Our investment team generally categorizes the investment process into six distinctive stages:</w:t>
      </w:r>
    </w:p>
    <w:p>
      <w:pPr>
        <w:spacing w:after="0" w:line="183" w:lineRule="exact"/>
        <w:rPr>
          <w:sz w:val="20"/>
          <w:szCs w:val="20"/>
          <w:color w:val="auto"/>
        </w:rPr>
      </w:pPr>
    </w:p>
    <w:p>
      <w:pPr>
        <w:jc w:val="both"/>
        <w:ind w:left="660" w:hanging="333"/>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Deal Generation/Origination</w:t>
      </w:r>
      <w:r>
        <w:rPr>
          <w:rFonts w:ascii="Arial" w:cs="Arial" w:eastAsia="Arial" w:hAnsi="Arial"/>
          <w:sz w:val="18"/>
          <w:szCs w:val="18"/>
          <w:color w:val="auto"/>
        </w:rPr>
        <w:t>: Deal generation and origination is maximized through long-standing and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with private equity firms, leveraged loan syndication desks, brokers, commercial and investment bankers, entrepreneurs, service providers such as lawyers and accountants, and current and former portfolio companies and investors.</w:t>
      </w:r>
    </w:p>
    <w:p>
      <w:pPr>
        <w:spacing w:after="0" w:line="180"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Screening</w:t>
      </w:r>
      <w:r>
        <w:rPr>
          <w:rFonts w:ascii="Arial" w:cs="Arial" w:eastAsia="Arial" w:hAnsi="Arial"/>
          <w:sz w:val="18"/>
          <w:szCs w:val="18"/>
          <w:color w:val="auto"/>
        </w:rPr>
        <w:t>: Once it is determined that a potential investment has met our investment criteria, we will screen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by performing preliminary due diligence, which could include discussions with the private equity firm, management team, loan syndication desk, etc. Upon successful screening of the proposed investment, the investment team makes a recommendation to move forward and prepares an initial screening memo for our investment committee. We then issue either a non-binding term sheet (in the case of a directly originated transaction), or submit an order to the loan syndication desk (in the case of a large-market syndicated loan transaction).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hanging="333"/>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Term Sheet</w:t>
      </w:r>
      <w:r>
        <w:rPr>
          <w:rFonts w:ascii="Arial" w:cs="Arial" w:eastAsia="Arial" w:hAnsi="Arial"/>
          <w:sz w:val="18"/>
          <w:szCs w:val="18"/>
          <w:color w:val="auto"/>
        </w:rPr>
        <w:t>: In a directly originated transaction, the non-binding term sheet will typically include the key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our investment proposal, along with exclusivity, confidentiality, and expense reimbursement provisions, among other terms relevant to the particular investment. Upon acceptance of the term sheet, we will begin our formal due diligence process. In a syndicated loan transaction, rather than a formal term sheet, we will submit an order for an allocation to the syndicated loan desk.</w:t>
      </w:r>
    </w:p>
    <w:p>
      <w:pPr>
        <w:spacing w:after="0" w:line="183" w:lineRule="exact"/>
        <w:rPr>
          <w:rFonts w:ascii="Arial" w:cs="Arial" w:eastAsia="Arial" w:hAnsi="Arial"/>
          <w:sz w:val="18"/>
          <w:szCs w:val="18"/>
          <w:color w:val="auto"/>
        </w:rPr>
      </w:pPr>
    </w:p>
    <w:p>
      <w:pPr>
        <w:jc w:val="both"/>
        <w:ind w:left="660" w:hanging="333"/>
        <w:spacing w:after="0" w:line="26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Due Diligence</w:t>
      </w:r>
      <w:r>
        <w:rPr>
          <w:rFonts w:ascii="Arial" w:cs="Arial" w:eastAsia="Arial" w:hAnsi="Arial"/>
          <w:sz w:val="17"/>
          <w:szCs w:val="17"/>
          <w:color w:val="auto"/>
        </w:rPr>
        <w:t>: Due diligence is performed under the direction of our senior investment professionals, and involves</w:t>
      </w:r>
      <w:r>
        <w:rPr>
          <w:rFonts w:ascii="Arial" w:cs="Arial" w:eastAsia="Arial" w:hAnsi="Arial"/>
          <w:sz w:val="17"/>
          <w:szCs w:val="17"/>
          <w:b w:val="1"/>
          <w:bCs w:val="1"/>
          <w:color w:val="auto"/>
        </w:rPr>
        <w:t xml:space="preserve"> </w:t>
      </w:r>
      <w:r>
        <w:rPr>
          <w:rFonts w:ascii="Arial" w:cs="Arial" w:eastAsia="Arial" w:hAnsi="Arial"/>
          <w:sz w:val="17"/>
          <w:szCs w:val="17"/>
          <w:color w:val="auto"/>
        </w:rPr>
        <w:t>our entire investment team as well as certain external resources, who together perform due diligence to understand the relationships among the prospective portfolio company’s business plan, operations, financial performance, and legal risks. On our directly originated transactions, our due diligence will often include (1) conducting site visits with management and key personnel; (2) performing a detailed review of historical and projected financial statements, often with a third-party accounting firm, to evaluate the target company’s normalized cash flow; (3) creating our own detailed modeling projections, including a downside case which attempts to project how the business would perform in a recession based on past operating history of either the company or the industry (4) interviewing key customers and suppliers; (5) evaluating company management, including a formal background check; (6) reviewing material contracts; (7) conducting an industry, market and strategy analysis; and (8) obtaining a review by legal, environmental or other consultants. In instances where a financial sponsor is investing in the equity in a transaction, we will leverage work done by the financial sponsor for purposes of our due diligence. In syndicated loan transactions, our due diligence may exclude direct customer and supplier interviews, and will consist of a detailed review of reports from the financial sponsor or syndication agent for industry and market analysis, and legal and environmental diligence.</w:t>
      </w:r>
    </w:p>
    <w:p>
      <w:pPr>
        <w:spacing w:after="0" w:line="183" w:lineRule="exact"/>
        <w:rPr>
          <w:rFonts w:ascii="Arial" w:cs="Arial" w:eastAsia="Arial" w:hAnsi="Arial"/>
          <w:sz w:val="17"/>
          <w:szCs w:val="17"/>
          <w:color w:val="auto"/>
        </w:rPr>
      </w:pPr>
    </w:p>
    <w:p>
      <w:pPr>
        <w:jc w:val="both"/>
        <w:ind w:left="660" w:hanging="333"/>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Document and Close</w:t>
      </w:r>
      <w:r>
        <w:rPr>
          <w:rFonts w:ascii="Arial" w:cs="Arial" w:eastAsia="Arial" w:hAnsi="Arial"/>
          <w:sz w:val="18"/>
          <w:szCs w:val="18"/>
          <w:color w:val="auto"/>
        </w:rPr>
        <w:t>: Upon completion of a satisfactory due diligence review, our investment team presents its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findings to the investment committee. For transactions that are either over a certain hold size, or outside our general investment policy, the investment team will present the transaction to our Board of Directors for approval. Upon approval for the investment, we re-confirm our regulatory company compliance, process and finalize all required legal documents and fund the investment.</w:t>
      </w:r>
    </w:p>
    <w:p>
      <w:pPr>
        <w:spacing w:after="0" w:line="183" w:lineRule="exact"/>
        <w:rPr>
          <w:rFonts w:ascii="Arial" w:cs="Arial" w:eastAsia="Arial" w:hAnsi="Arial"/>
          <w:sz w:val="18"/>
          <w:szCs w:val="18"/>
          <w:color w:val="auto"/>
        </w:rPr>
      </w:pPr>
    </w:p>
    <w:p>
      <w:pPr>
        <w:jc w:val="both"/>
        <w:ind w:left="660" w:hanging="333"/>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Post-Investment</w:t>
      </w:r>
      <w:r>
        <w:rPr>
          <w:rFonts w:ascii="Arial" w:cs="Arial" w:eastAsia="Arial" w:hAnsi="Arial"/>
          <w:sz w:val="17"/>
          <w:szCs w:val="17"/>
          <w:color w:val="auto"/>
        </w:rPr>
        <w:t>: We continuously monitor the status and progress of our portfolio companies, as well 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thesis developed at the time of investment. We offer managerial assistance to our portfolio companies and provide them access to our investment experience, direct industry expertise and contacts. The same investment team leader that was involved in the investment process will continue to be involved in the portfolio company post-investment. This approach provides continuity of knowledge and allows the investment team to maintain a strong business relationship with the financial sponsor, business owner and key management of our portfolio companies. As part of the monitoring process, members of our investment team will analyze monthly, quarterly and annual financial statements against previous periods, review financial projections, meet with the financial sponsor and management (when necessary), attend board meetings (when appropriate) and review all compliance certificates and covenants. Our investment team meets once each month with senior management to review the performance of each of our portfolio companies.</w:t>
      </w:r>
    </w:p>
    <w:p>
      <w:pPr>
        <w:spacing w:after="0" w:line="17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utilize an internally developed investment rating system to rate the performance and monitor the expected level of returns for each debt investment in our portfolio. The investment rating system takes into account both quantitative and qualitative factors of the portfolio company and the investments held therein, including each investment’s expected level of returns and the collectability of our debt investments, comparisons to competitors and other industry participants and the portfolio company’s future outlook. The ratings are not intended to reflect the performance or expected level of returns of our equity investments.</w:t>
      </w:r>
    </w:p>
    <w:p>
      <w:pPr>
        <w:spacing w:after="0" w:line="193" w:lineRule="exact"/>
        <w:rPr>
          <w:sz w:val="20"/>
          <w:szCs w:val="20"/>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Rating 1 represents the least amount of risk in our portfolio. The investment is performing materially above underwriting expectations and the trends and risk factors are generally favorable.</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Rating 2 indicates the investment is performing as expected at the time of underwriting and the trends and risk factors are generally favorable to neutral.</w:t>
      </w:r>
    </w:p>
    <w:p>
      <w:pPr>
        <w:spacing w:after="0" w:line="170"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Investment Rating 3 involves an investment performing below underwriting expectations and the trends and risk factors are generally neutral to negative. The portfolio company or investment may be out of compliance with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covenants and interest payments may be impaired, however principal payments are generally not past due.</w:t>
      </w:r>
    </w:p>
    <w:p>
      <w:pPr>
        <w:spacing w:after="0" w:line="248" w:lineRule="exact"/>
        <w:rPr>
          <w:sz w:val="20"/>
          <w:szCs w:val="20"/>
          <w:color w:val="auto"/>
        </w:rPr>
      </w:pPr>
    </w:p>
    <w:p>
      <w:pPr>
        <w:jc w:val="both"/>
        <w:ind w:left="66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Rating 4 indicates that the investment is performing materially below underwriting expectations, the trends and risk factors are generally negative and the risk of the investment has increased substantially. Interest and principal payments on our investment are likely to be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Net Asset Value and Portfolio Valuation Process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determine our net asset value, or NAV, per share on a quarterly basis. The NAV per share is equal to our total assets minus liabilities divided by the total number of shares of common stock outstanding.</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determine in good faith the fair value of our portfolio investments pursuant to a valuation policy in accordance with Accounting Standards Codification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and a valuation process approved by our Board of Directors and in accordance with the 1940 Act. Our valuation policy is intended to provide a consistent basis for determining the fair value of the portfolio.</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undertake a multi-step valuation process each quarter in connection with determining the fair value of our investments. The valuation process is led by the finance department in conjunction with the investment teams and senior management. Valuations of each portfolio security are prepared quarterly by the finance department using updated portfolio company financial and operational information. Each investment valuation is also subject to review by the executive officers and investment teams.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conjunction with the internal valuation process, we have engaged multiple independent consulting firms that specialize in financial due diligence, valuation and business advisory services to provide third-party valuation reviews of the majority of our investments on a quarterly basis. Our Board of Directors is ultimately responsible for overseeing, reviewing and approving, in good faith, our determination of the fair value of each investment in our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compete for attractive investment opportunities with other financial institutions, including BDCs, junior capital lenders, and banks. We believe we are able to be competitive with these entities primarily on the basis of the experience and contacts of our management team and our responsive and efficient investment analysis and decision-making processes. However, many of our competitors are substantially larger and have considerably greater financial, technical and marketing resources than we do. Furthermore, our competitors may have a lower cost of funds and many have access to funding sources that are not available to us. In addition, certain of our competitors may have higher risk tolerances or different risk assessments, which could allow them to consider a wider variety of investments, establish more relationships and build their market shares. Likewise, many of our competitors are not subject to the regulatory restrictions and valuation requirements that the 1940 Act imposes on us as a BDC. See “Risk Factors—Risks Related to Our Business and Structure— We operate in a highly competitive market for investment opportunities.”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you that the competitive pressures we face will not have a material adverse effect on our business, financial condition and results of operations. In addition, because of this competition, we may be unable to take advantage of attractive investment opportunities and may be unable to identify and make investments that satisfy our investment objectives or meet our investment goals.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from time to time borrow funds to make investments, a practice known as “leverage,” in an attempt to increase returns to our shareholders. With certain limited exceptions, we are only allowed to borrow amounts such that our asset coverage, as calculated in accordance with the 1940 Act, equals at least 200% (or, pursuant to recent legislation, 150% if certain requirements are met as described in the Business Section under “Regulation as a Business Development Company —Senior Securities”) after such borrowing. The amount of leverage that we employ at any particular time will depend on management’s and our Board of Directors’ assessments of portfolio mix, prevailing market advance rates and other market factors at the time of any proposed borrowing. See “Risk Factors – Risks Related to Our Business and Structure – Because we borrow money to make investments, the potential for gain or loss on amounts invested in us is magnified and may increase the risk of investing in us.”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continue borrowing under the Credit Facility in the future and we may increase the size of the Credit Facility, add additional credit facilities or otherwise issue additional debt securities or other evidences of indebtedness in the future, although there can be no assurance that we will be able to do so.</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See "Management’s Discussion and Analysis of Financial Condition and Results of Operations—Financial Liquidity and Capital Resources" as well as Note 5 to our consolidated financial statements for the year ended March 31, 2018 for information regarding the Credit Facility and the issuance of the December 2022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Our investment team is primarily responsible for the execution of the publicly traded securities portion of our portfolio transactions and the allocation of brokerage commissions. We do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we will generally seek reasonably competitive trade execution costs, we will not necessarily pay the lowest spread or commission available. Subject to applicable legal requirements, we may select a broker based partly upon brokerage or research services provided to us. In return for such services, we may pay a higher commission than other brokers would charge if we determine in good faith that such commission is reasonable in relation to the services provided. We did not pay any brokerage commissions during the three years ended March 31,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adopted a dividend reinvestment plan, or DRIP, that provides for the reinvestment of dividends on behalf of our shareholders. Under the DRIP, if we declare a dividend, registered shareholders who have opted into the DRIP as of the dividend record date will have their dividend automatically reinvested into additional shares of our common stock. The share requirements of the DRIP are satisfied through open market purchases of common stock by the DRIP plan administrator. Shares purchased in the open market to satisfy the DRIP requirements will be valued based upon the average price of the applicable shares purchased by the DRIP plan administrator, before any associated brokerage or other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REGULATED AS A BUSINESS DEVELOPMENT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closed-end, non-diversified management investment company that has elected to be treated as a BDC under the 1940 Act. In addition, we have elected, and intend to qualify annually, to be treated as a RIC. Our election to be regulated as a BDC and our election to be treated as a RIC for U.S. federal income tax purposes have a significant impact on our operations. Some of the most important effects on our operations of our election to be regulated as a BDC and our election to be treated as a RIC are outlined below.</w:t>
      </w:r>
    </w:p>
    <w:p>
      <w:pPr>
        <w:spacing w:after="0" w:line="171" w:lineRule="exact"/>
        <w:rPr>
          <w:sz w:val="20"/>
          <w:szCs w:val="20"/>
          <w:color w:val="auto"/>
        </w:rPr>
      </w:pPr>
    </w:p>
    <w:p>
      <w:pPr>
        <w:ind w:left="660" w:hanging="333"/>
        <w:spacing w:after="0" w:line="23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We report our investments at market value or fair value with changes in value reported through our consolidated statements of operations.</w:t>
      </w:r>
    </w:p>
    <w:p>
      <w:pPr>
        <w:spacing w:after="0" w:line="17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In accordance with the requirements of the 1940 Act and Article 6 of Regulation S-X, we report all of our investments, including debt investments, at market value or, for investments that do not have a readily available market value, at their “fair value” as determined in good faith by our Board of Directors. Changes in these values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are reported through our consolidated statements of operations under the caption of “net change in unrealized appreciation on investments.” See “Determination of Net Asset Value and Portfolio Valuation Process” above.</w:t>
      </w:r>
    </w:p>
    <w:p>
      <w:pPr>
        <w:spacing w:after="0" w:line="129" w:lineRule="exact"/>
        <w:rPr>
          <w:sz w:val="20"/>
          <w:szCs w:val="20"/>
          <w:color w:val="auto"/>
        </w:rPr>
      </w:pPr>
    </w:p>
    <w:p>
      <w:pPr>
        <w:jc w:val="both"/>
        <w:ind w:left="660" w:hanging="333"/>
        <w:spacing w:after="0" w:line="22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We intend to distribute substantially all of our income to our shareholders. We generally will be required to pay income taxes only on the portion of our taxable income we do not distribute to shareholders (actually or constructively).</w:t>
      </w:r>
    </w:p>
    <w:p>
      <w:pPr>
        <w:spacing w:after="0" w:line="175"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7"/>
          <w:szCs w:val="17"/>
          <w:color w:val="auto"/>
        </w:rPr>
        <w:t>As a RIC, so long as we meet certain minimum distribution, source of income and asset diversification requirements, we generally are required to pay U.S. federal income taxes only on the portion of our taxable income and gains we do not distribute (actually or constructively) and certain built-in gains. Depending on the level of taxable income earned in a tax year, we may choose to carry forward taxable income in excess of current year distributions into the next year and pay a 4% excise tax on such income. Any such carryover taxable income must be distributed through a dividend declared prior to filing the final tax return related to the year that generated such taxable income. We intend to distribute to our shareholders substantially all of our income. We may, however, make deemed distributions to our shareholders of any retained net long-term capital gains. If this happens, our shareholders will be treated as if they received an actual distribution of the net capital gains and reinvested the net after-tax proceeds in us. Our shareholders also may be eligible to claim a tax credit (or, in certain circumstances, a tax refund) equal to their allocable share of the corporate-level U.S. federal income tax we pay on the deemed distribution. See “Material U.S. Federal Income Tax Considerations.” We met the minimum distribution requirements for tax years 2015, 2016 and 2017 and continually monitor our distribution requirements with the goal of ensuring compliance with the Code.</w:t>
      </w:r>
    </w:p>
    <w:p>
      <w:pPr>
        <w:spacing w:after="0" w:line="185" w:lineRule="exact"/>
        <w:rPr>
          <w:rFonts w:ascii="Arial" w:cs="Arial" w:eastAsia="Arial" w:hAnsi="Arial"/>
          <w:sz w:val="18"/>
          <w:szCs w:val="18"/>
          <w:color w:val="auto"/>
        </w:rPr>
      </w:pPr>
    </w:p>
    <w:p>
      <w:pPr>
        <w:jc w:val="both"/>
        <w:ind w:left="660"/>
        <w:spacing w:after="0" w:line="285" w:lineRule="auto"/>
        <w:rPr>
          <w:rFonts w:ascii="Arial" w:cs="Arial" w:eastAsia="Arial" w:hAnsi="Arial"/>
          <w:sz w:val="18"/>
          <w:szCs w:val="18"/>
          <w:color w:val="auto"/>
        </w:rPr>
      </w:pPr>
      <w:r>
        <w:rPr>
          <w:rFonts w:ascii="Arial" w:cs="Arial" w:eastAsia="Arial" w:hAnsi="Arial"/>
          <w:sz w:val="16"/>
          <w:szCs w:val="16"/>
          <w:color w:val="auto"/>
        </w:rPr>
        <w:t>In addition, we have a Taxable Subsidiary that holds a portion of one or more of our portfolio investments that are listed on the Consolidated Schedule of Investments. The Taxable Subsidiary is consolidated for financial reporting purposes in accordance with U.S. Generally Accepted Accounting Principles, or GAAP, so that our consolidated financial statements reflect our investments in the portfolio companies owned by the Taxable Subsidiary. The purpose of the Taxable Subsidiary is to permit us to hold certain interests in portfolio companies that are organized as limited liability companies, or LLCs (or other forms of pass-through entities) and still satisfy the RIC tax requirement that at least 90% of our gross income for federal income tax purposes must consist of qualifying investment income. Absent the Taxable Subsidiary, a proportionate amount of any gross income of a partnership or LLC (or other pass-through entity) portfolio investment would flow through directly to us. To the extent that such income did not consist of investment income, it could jeopardize our ability to qualify as a RIC and therefore cause us to incur significant amounts of corporate-level U.S. federal income taxes. Where interests in LLCs (or other pass-through entities) are owned by the Taxable Subsidiary, the income from those interests is taxed to the Taxable Subsidiary and does not flow through to us, thereby helping us preserve our RIC status and resultant tax advantages. The Taxable Subsidiary is not consolidated for U.S. federal income tax purposes and may generate income tax expense as a result of its ownership of the portfolio companies. This income tax expense, if any, is reflected in our Consolidated Statements of Operations.</w:t>
      </w:r>
    </w:p>
    <w:p>
      <w:pPr>
        <w:spacing w:after="0" w:line="16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Our ability to use leverage as a means of financing our portfolio of investments is limited.</w:t>
      </w:r>
    </w:p>
    <w:p>
      <w:pPr>
        <w:spacing w:after="0" w:line="202" w:lineRule="exact"/>
        <w:rPr>
          <w:rFonts w:ascii="Arial" w:cs="Arial" w:eastAsia="Arial" w:hAnsi="Arial"/>
          <w:sz w:val="18"/>
          <w:szCs w:val="18"/>
          <w:color w:val="auto"/>
        </w:rPr>
      </w:pPr>
    </w:p>
    <w:p>
      <w:pPr>
        <w:jc w:val="both"/>
        <w:ind w:left="660"/>
        <w:spacing w:after="0" w:line="272" w:lineRule="auto"/>
        <w:rPr>
          <w:rFonts w:ascii="Arial" w:cs="Arial" w:eastAsia="Arial" w:hAnsi="Arial"/>
          <w:sz w:val="18"/>
          <w:szCs w:val="18"/>
          <w:color w:val="auto"/>
        </w:rPr>
      </w:pPr>
      <w:r>
        <w:rPr>
          <w:rFonts w:ascii="Arial" w:cs="Arial" w:eastAsia="Arial" w:hAnsi="Arial"/>
          <w:sz w:val="17"/>
          <w:szCs w:val="17"/>
          <w:color w:val="auto"/>
        </w:rPr>
        <w:t>As a BDC, we are required to meet a coverage ratio of total assets to total senior securities of at least 200% (or, pursuant to recent legislation, 150% if certain requirements are met as described in the Business Section under “Regulation as a Business Development Company—Senior Securities”). For this purpose, senior securities include all borrowings and any preferred stock we may issue in the future. Additionally, our ability to utilize leverage as a means of financing our portfolio of investments may be limited by this asset coverage test. While the use of leverage may enhance returns if we meet our investment objective, our returns may be reduced or eliminated if our returns on investments are less than the costs of borrowing.</w:t>
      </w:r>
    </w:p>
    <w:p>
      <w:pPr>
        <w:spacing w:after="0" w:line="16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We are required to comply with the provisions of the 1940 Act applicable to business development companies.</w:t>
      </w:r>
    </w:p>
    <w:p>
      <w:pPr>
        <w:spacing w:after="0" w:line="236" w:lineRule="exact"/>
        <w:rPr>
          <w:rFonts w:ascii="Arial" w:cs="Arial" w:eastAsia="Arial" w:hAnsi="Arial"/>
          <w:sz w:val="15"/>
          <w:szCs w:val="15"/>
          <w:color w:val="auto"/>
        </w:rPr>
      </w:pPr>
    </w:p>
    <w:p>
      <w:pPr>
        <w:jc w:val="both"/>
        <w:ind w:left="660"/>
        <w:spacing w:after="0" w:line="257" w:lineRule="auto"/>
        <w:rPr>
          <w:rFonts w:ascii="Arial" w:cs="Arial" w:eastAsia="Arial" w:hAnsi="Arial"/>
          <w:sz w:val="15"/>
          <w:szCs w:val="15"/>
          <w:color w:val="auto"/>
        </w:rPr>
      </w:pPr>
      <w:r>
        <w:rPr>
          <w:rFonts w:ascii="Arial" w:cs="Arial" w:eastAsia="Arial" w:hAnsi="Arial"/>
          <w:sz w:val="18"/>
          <w:szCs w:val="18"/>
          <w:color w:val="auto"/>
        </w:rPr>
        <w:t>As a BDC, we are required to have a majority of directors who are not “interested persons” as such term is defined in Section 2(a)(19) of the 1940 Act. In addition, we are required to comply with other applicable provisions of the 1940 Act, including those requiring the adoption of a code of ethics, maintaining a fidelity bond and placing and maintaining its securities and similar investments in custody. See “Regulation as a Business Development Company”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elected to be regulated as a BDC under the 1940 Act. The 1940 Act contains prohibitions and restrictions relating to transactions between BDCs and their affiliates and principal underwriters as well as their respective affiliates. The 1940 Act requires that a majority of the members of the board of directors of a BDC be persons other than “interested persons,” as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1940 Act defines “a majority of the outstanding voting securities” as the lesser of (1) 67% or more of the voting securities of holders present or represented by proxy at a meeting if the holders of more than 50% of our outstanding voting securities are present or represented by proxy or (2) more than 50% of our voting securities.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brief description of the 1940 Act provisions applicable to BDCs, which is qualified in its entirety by reference to the full text of the 1940 Act and rules issued thereunder by the SEC.</w:t>
      </w:r>
    </w:p>
    <w:p>
      <w:pPr>
        <w:spacing w:after="0" w:line="170" w:lineRule="exact"/>
        <w:rPr>
          <w:sz w:val="20"/>
          <w:szCs w:val="20"/>
          <w:color w:val="auto"/>
        </w:rPr>
      </w:pPr>
    </w:p>
    <w:p>
      <w:pPr>
        <w:jc w:val="both"/>
        <w:ind w:left="660" w:hanging="333"/>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Generally, BDCs must offer, and must provide upon request, significant managerial assistance available to certain portfolio companies. In general, as a BDC, a company must, among other things: (1) be a domestic company; (2) have registered a class of its securities pursuant to Section 12 of the Exchange Act; (3) operate for the purpose of investing in the securities of certain types of eligible portfolio companies, including early stage or emerging companies and businesses suffering or just recovering from financial distress (see following paragraph); (4) offer to make available significant managerial assistance to such portfolio companies; and (5) file a proper notice of election with the SEC.</w:t>
      </w:r>
    </w:p>
    <w:p>
      <w:pPr>
        <w:spacing w:after="0" w:line="189" w:lineRule="exact"/>
        <w:rPr>
          <w:rFonts w:ascii="Arial" w:cs="Arial" w:eastAsia="Arial" w:hAnsi="Arial"/>
          <w:sz w:val="18"/>
          <w:szCs w:val="18"/>
          <w:color w:val="auto"/>
        </w:rPr>
      </w:pPr>
    </w:p>
    <w:p>
      <w:pPr>
        <w:jc w:val="both"/>
        <w:ind w:left="660" w:hanging="333"/>
        <w:spacing w:after="0" w:line="28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eligible portfolio company generally is a domestic company that is not a regulated or private investment company or a financial company (such as brokerage firms, banks, insurance companies and investment banking firms) and that: (1) does not have a class of securities listed on a national securities exchange; (2) has a class of securities listed on a national securities exchange with an equity market capitalization of less than $250 million; or</w:t>
      </w:r>
    </w:p>
    <w:p>
      <w:pPr>
        <w:spacing w:after="0" w:line="1" w:lineRule="exact"/>
        <w:rPr>
          <w:rFonts w:ascii="Arial" w:cs="Arial" w:eastAsia="Arial" w:hAnsi="Arial"/>
          <w:sz w:val="16"/>
          <w:szCs w:val="16"/>
          <w:color w:val="auto"/>
        </w:rPr>
      </w:pPr>
    </w:p>
    <w:p>
      <w:pPr>
        <w:jc w:val="both"/>
        <w:ind w:left="660" w:hanging="9"/>
        <w:spacing w:after="0" w:line="255"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 controlled by the BDC itself or together with others and, as a result of such control, the BDC has an affiliated person on the board of directors of the company. The 1940 Act presumes that a person has “control” of a portfolio company if that person owns at least 25% of its outstanding voting securities.</w:t>
      </w:r>
    </w:p>
    <w:p>
      <w:pPr>
        <w:spacing w:after="0" w:line="190"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BDC, we are required to provide and maintain a bond issued by a reputable insurance company to protect against larceny and embezzlement. Furthermore, as a BDC, we are prohibited from protecting any director or officer against any liability to us or our shareholders arising from any act or omission constituting willful malfeasance, bad faith, gross negligence or reckless disregard of the duties involved in the conduct of that person’s office.</w:t>
      </w:r>
    </w:p>
    <w:p>
      <w:pPr>
        <w:spacing w:after="0" w:line="188"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these policies and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Qualifying Assets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1940 Act provides that we may not make an investment in non-qualifying assets unless at the time of the investment at least 70% of the value of our total assets (measured as of the date of our most recently filed financial statements) consists of qualifying assets. Qualifying assets include: (1) securities of eligible portfolio companies; (2) securities of certain companies that were eligible portfolio companies at the time we initially acquired their securities and in which we retain a substantial interest; (3) securities of certain controlled companies; (4) securities of certain bankrupt, insolvent or distressed companies; (5) securities received in exchange for or distributed in or with respect to any of the foregoing; and (6) cash items, U.S. government securities and high-quality short-term debt.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Managerial Assistance to Portfolio Companies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BDC, we must offer, and must provide upon request, significant managerial assistance to the issuer whose securities we consider qualifying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Investments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short-term investments in secured debt investments, independently rated debt investments and diversified bond funds, which we refer to as temporary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generally permitted by the 1940 Act, under specific conditions, to issue multiple classes of debt and one class of stock senior to our common stock if our asset coverage, as defined by the 1940 Act, is at least 200% immediately after each such issuance. However, recent legislation has modified the 1940 Act by allowing a BDC to increase the maximum amount of leverage it may incur by reducing the minimum asset coverage ratio from 200% to 150%, if certain requirements are met. Under the requirements of the legislation, we are allowed to increase our leverage capacity if shareholders representing at least a majority of the votes cast, when a quorum is present, approve a proposal to do so. If we receive shareholder approval, we would be allowed to increase our leverage capacity on the first day after such approval. Alternatively, the legislation allows the majority of our independent directors to approve an increase in our leverage capacity, but such approval would not become effective until the one-year anniversary of the approval. In either case, we would be required to make certain disclosures on our website and in SEC filings regarding, among other things, the receipt of approval to increase our leverage, our leverage capacity and usage, and risks related to our use of leverage. As of March 31, 2018, we had $40.0 million and $57.5 million in total aggregate principal amount of debt outstanding under our Credit Facility and December 2022 Notes, respectively. As of March 31, 2018, our asset coverage was 416%.</w:t>
      </w:r>
    </w:p>
    <w:p>
      <w:pPr>
        <w:spacing w:after="0" w:line="16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On April 25, 2018, the Board of Directors unanimously approved the application of the recently modified asset coverage requirements set forth in Section 61(a)(2) of the 1940 Act. As a result, the minimum asset coverage ratio applicable to the Company will be decreased from 200% to 150%, effective April 25, 2019. The Board of Directors also approved a resolution which limits the Company’s issuance of senior securities such that the asset coverage ratio, taking into account any such issuance, would not be less than 166%, effective April 25, 2019.</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while any preferred stock or publicly traded debt securities are outstanding, we may be prohibited from making distributions to our shareholders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 Under specific conditions, we are also permitted by the 1940 Act to issue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BDC, the 1940 Act generally limits our ability to issue and sell our common stock at a price below our NAV per share, exclusive of any distributing commission or discount, without shareholder approval. Shares of our common stock have traded below our NAV per share. While our common stock continues to trade at a price below our NAV per share, there are no assurances that we can issue or sell shares of our common stock if needed to fund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Ethics and Code of Conduct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adopted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those investments are made in accordance with the code’s requirements. We have also adopted a code of conduct that applies to our Chief Executive Officer, Chief Financial Officer (or persons performing similar functions), our Board, and all other employees. This code sets forth policies that these executives and employees must follow when performing their duties.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Policies and Procedures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vote proxies relating to our portfolio securities in a manner in which we believe is consistent with the best interest of our shareholders. We review on a case-by-case basis each proposal submitted to a shareholder vote to determine its impact on the portfolio securities held by us. Although we generally vote against proposals that we expect would have a negative impact on our portfolio securities, we may vote for such a proposal if there exists compelling long-term reasons to do so. Our proxy voting decisions are made by the investment team that is responsible for monitoring the investments. To ensure that our vote is not the product of a conflict of interest, we require that anyone involved in the decision-making process discloses to our Chief Compliance Officer any potential conflict of which he or she is aware. Shareholders may obtain information, without charge, regarding how we voted proxies with respect to our portfolio securities by making a written request for proxy voting information to: Chief Financial Officer c/o Capital Southwest Corporation, 5400 Lyndon B. Johnson Freeway, Suite 1300, Dallas, Texas 75240.</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Policies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adopted and implemented written policies and procedures reasonably designed to prevent violation of the U.S. federal securities laws, and are required to review these compliance policies and procedures annually for their adequacy and the effectiveness of their implementation, and to designate a Chief Compliance Officer to be responsible for administering these policies and procedures. Michael S. Sarner serves as our Chief Compliance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Exemptive Relief</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26, 2010, we received an exemptive order from the SEC permitting us to issue restricted stock to our executive officers and certain key employees, or the Original Order. On August 22, 2017, we received an exemptive order that supersedes the Original Order, or the Exemptive Order, and in addition to the relief granted under the Original Order, allows us to withhold shares to satisfy tax withholding obligations related to the vesting of restricted stock granted pursuant to the 2010 Restricted Stock Award Plan, or the 2010 Plan, and to pay the exercise price of options to purchase shares of our common stock granted pursuant to the 2009 Stock Incentive Plan, or the 2009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 The prior approval of the SEC is not required, however, where a transaction involves no negotiation of terms other than price.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periodically be examined by the SEC for compliance with the 1940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shareholders subject to the alternative minimum tax, tax-exempt organizations, insurance companies, dealers in securities, pension plans and trusts, financial institutions, U.S. shareholders (as defined below) whose functional currency is not the U.S. dollar, persons who mark-to-market our shares and persons who hold our shares as part of a “straddle,” “hedge” or “conversion” transaction. This summary assumes that investors hold shares of our common stock as capital assets (within the meaning of the Code). The discussion is based upon the Code, Treasury regulations, and administrative and judicial interpretations, each as of the date of this Annual Report on Form 10-K and all of which are subject to change, possibly retroactively, which could affect the continuing validity of this discussion.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our discussion, a “U.S. shareholder” means a beneficial owner of shares of our common stock that is for U.S. federal income tax purposes:</w:t>
      </w:r>
    </w:p>
    <w:p>
      <w:pPr>
        <w:spacing w:after="0" w:line="157"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of the District of Columbia;</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84"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the authority to control all substantial decisions of the trust or (2) it has a valid election in place to be treated as a U.S. person.</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our discussion, a “Non-U.S. shareholder” means a beneficial owner of shares of our common stock that is neither a U.S. shareholder nor a partnership (including an entity treated as a partnership for U.S. federal income tax purposes).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 entity treated as a partnership for U.S. federal income tax purposes (a “partnership”) holds shares of our common stock, the tax treatment of a partner or member of the partnership will generally depend upon the status of the partner or member and the activities of the partnership. A prospective shareholder that is a partner or member in a partnership holding shares of our common stock should consult his, her or its tax advisors with respect to the purchase, ownership and disposition of shares of our common stock.</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Regulated Investment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to be Taxed as a RIC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elected to be treated as a RIC under Subchapter M of the Code. As a RIC, we generally are not subject to corporate-level U.S. federal income taxes on any income that we distribute to our shareholders from our tax earnings and profits. To qualify as a RIC, we must, among other things, meet certain source-of-income and asset diversification requirements (as described below). In addition, in order to obtain RIC tax treatment, we must distribute to our shareholders,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year and pay a 4% excise tax on such income. Any such carryover taxable income must be distributed through a dividend declared prior to filing the final tax return related to the year that generated such taxable income. Even if we qualify as a RIC, we generally will be subject to corporate-level U.S. federal income tax on our undistributed taxable income and could be subject to U.S. federal excise, state, local and foreign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as a RIC</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Provided that we qualify as a RIC, we will not be subject to U.S. federal income tax on the portion of our investment company taxable income and net capital gain (which we define as net long-term capital gain in excess of net short-term capital loss) that we timely distribute to shareholders. We will be subject to U.S. federal income tax at the regular corporate rates on any income or capital gain not distributed (or deemed distributed) to our shareholders.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be subject to a 4% nondeductible U.S. federal excise tax on certain undistributed income unless we distribute in a timely manner an amount at least equal to the sum of (1) 98% of our ordinary income for each calendar year,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
        <w:spacing w:after="0" w:line="277"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98.2% of our capital gain net income for the one year period ended October 31 and (3) any income and gains recognized, but not distributed, in preceding years and on which we paid no U.S. federal income tax.</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212" w:lineRule="exact"/>
        <w:rPr>
          <w:sz w:val="20"/>
          <w:szCs w:val="20"/>
          <w:color w:val="auto"/>
        </w:rPr>
      </w:pPr>
    </w:p>
    <w:p>
      <w:pPr>
        <w:ind w:left="1080" w:hanging="321"/>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 the Annual Distribution Requirement;</w:t>
      </w:r>
    </w:p>
    <w:p>
      <w:pPr>
        <w:spacing w:after="0" w:line="144" w:lineRule="exact"/>
        <w:rPr>
          <w:rFonts w:ascii="Arial" w:cs="Arial" w:eastAsia="Arial" w:hAnsi="Arial"/>
          <w:sz w:val="18"/>
          <w:szCs w:val="18"/>
          <w:color w:val="auto"/>
        </w:rPr>
      </w:pPr>
    </w:p>
    <w:p>
      <w:pPr>
        <w:ind w:left="1080" w:hanging="321"/>
        <w:spacing w:after="0" w:line="23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Qualify to be treated as a BDC or be registered as a management investment company under the 1940 Act at all times during each taxable year;</w:t>
      </w:r>
    </w:p>
    <w:p>
      <w:pPr>
        <w:spacing w:after="0" w:line="121" w:lineRule="exact"/>
        <w:rPr>
          <w:rFonts w:ascii="Arial" w:cs="Arial" w:eastAsia="Arial" w:hAnsi="Arial"/>
          <w:sz w:val="18"/>
          <w:szCs w:val="18"/>
          <w:color w:val="auto"/>
        </w:rPr>
      </w:pPr>
    </w:p>
    <w:p>
      <w:pPr>
        <w:jc w:val="both"/>
        <w:ind w:left="1080" w:hanging="321"/>
        <w:spacing w:after="0" w:line="21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or other disposition of stock or other securities or foreign currencies or other income derived with respect to our business of investing in such stock, securities or currencies and net income derived from an interest in a “qualified publicly traded partnership” (as defined in the Code), or the 90% Income Test; and</w:t>
      </w:r>
    </w:p>
    <w:p>
      <w:pPr>
        <w:spacing w:after="0" w:line="121" w:lineRule="exact"/>
        <w:rPr>
          <w:rFonts w:ascii="Arial" w:cs="Arial" w:eastAsia="Arial" w:hAnsi="Arial"/>
          <w:sz w:val="18"/>
          <w:szCs w:val="18"/>
          <w:color w:val="auto"/>
        </w:rPr>
      </w:pPr>
    </w:p>
    <w:p>
      <w:pPr>
        <w:ind w:left="1080" w:hanging="321"/>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44" w:lineRule="exact"/>
        <w:rPr>
          <w:sz w:val="20"/>
          <w:szCs w:val="20"/>
          <w:color w:val="auto"/>
        </w:rPr>
      </w:pPr>
    </w:p>
    <w:p>
      <w:pPr>
        <w:jc w:val="both"/>
        <w:ind w:left="1740" w:hanging="333"/>
        <w:spacing w:after="0" w:line="213" w:lineRule="auto"/>
        <w:tabs>
          <w:tab w:leader="none" w:pos="174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(which for these purposes includes the equity securities of a “qualified publicly traded partnership”); and</w:t>
      </w:r>
    </w:p>
    <w:p>
      <w:pPr>
        <w:spacing w:after="0" w:line="120" w:lineRule="exact"/>
        <w:rPr>
          <w:rFonts w:ascii="Courier New" w:cs="Courier New" w:eastAsia="Courier New" w:hAnsi="Courier New"/>
          <w:sz w:val="18"/>
          <w:szCs w:val="18"/>
          <w:color w:val="auto"/>
        </w:rPr>
      </w:pPr>
    </w:p>
    <w:p>
      <w:pPr>
        <w:jc w:val="both"/>
        <w:ind w:left="1740" w:hanging="333"/>
        <w:spacing w:after="0" w:line="213" w:lineRule="auto"/>
        <w:tabs>
          <w:tab w:leader="none" w:pos="174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(1) of one issuer (2) of two or more issuers that are controlled, as determined under applicable tax rules, by us and that are engaged in the same or similar or related trades or businesses or (3) of one or more “qualified publicly traded partnerships,” or the Diversification Tests.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the extent that we invest in entities treated as partnerships for U.S. federal income tax purposes (other than a “qualified publicly traded partnership”), we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meet the 90% Income Test, we have established the Taxable Subsidiary to hold assets from which we do not anticipate earning dividend, interest or other income under the 90% Income Test. We may establish additional subsidiaries for the same purpose in the future. Any investments held through a Taxable Subsidiary generally are subject to U.S. federal income and other taxes, and therefore we can expect to achieve a reduced after-tax yield on such investments.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be required to recognize taxable income in circumstances in which we do not receive a corresponding payment in cash. For example, if we hold debt obligations that are treated under applicable tax rules as having original issue discount (including debt instruments with payment-in-kind interest or, in certain cases, increasing interest rates or issued with warrants), we must include in income each year a portion of the original issue discount or payment-in-kind interest that accrues over the life of the obligation, regardless of whether cash representing such income is received by us in the same taxable year. We anticipate that a portion of our income may constitute original issue discount or other income required to be included in taxable income prior to receipt of cash.</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obtain and maintain RIC tax treatment 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a portfolio company in which we invest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Investments by us in non-U.S. securities may be subject to non-U.S. income, withholding and other taxes, and therefore, our yield on any such securities may be reduced by such non-U.S. taxes. Shareholders will generally not be entitled to claim a credit or deduction with respect to non-U.S. taxes paid by us.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authorized to borrow funds and to sell assets in order to satisfy distribution requirements. Under the 1940 Act, we are not permitted to make distributions to our shareholders while our debt obligations and other senior securities are outstanding unless certain “asset coverage” tests are met. See “Regulation as a Business Development Company” above.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excise tax, we may make such dispositions at times that, from an investment standpoint, are not advantageous.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fail to satisfy the Annual Distribution Requirement or otherwise fail to qualify as a RIC in any taxable year, we will be subject to tax in that year on all of our taxable income, regardless of whether we make any distributions to our shareholders. In that case, all of such income will be subject to corporate-level U.S. federal income tax, reducing the amount available to be distributed to our shareholders. See “Failure To Obtain RIC Tax Treatment” below.</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RIC, we are not allowed to carry forward or carry back a net operating loss for purposes of computing our investment company taxable income in other taxable years. U.S. federal income tax law generally permits a RIC to carry forward (1) the excess of its net short-term capital loss over its net long-term capital gain for a given year as a short-term capital loss arising on the first day of the following year and (2) the excess of its net long-term capital loss over its net short-term capital gain for a given year as a long-term capital loss arising on the first day of the following year. Future transactions we engage in may cause our ability to use any capital loss carryforwards, and unrealized losses once realized, to be limited under Section 382 of the Code. Certain of our investment practices may be subject to special and complex U.S. federal income tax provisions that may, among other things, (1) disallow, suspend or otherwise limit the allowance of certain losses or deductions, (2) convert lower taxed long-term capital gain and qualified dividend income into higher taxed short-term capital gain or ordinary income, (3) convert an ordinary loss or a deduction into a capital loss (the deductibility of which is more limited), (4) cause us to recognize income or gain without a corresponding receipt of cash, (5) adversely affect the time as to when a purchase or sale of stock or securities is deemed to occur, (6) adversely alter the characterization of certain complex financial transactions and (7) produce income that will not be qualifying income for purposes of the 90% Income Test. We will monitor our transactions and may make certain tax elections in order to mitigate the effect of these provisions.</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described above, to the extent that we invest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entity is a “qualified publicly traded partnership,” the net income derived from such investments will be qualifying income for purposes of the 90% Income Test and will be “securities” for purposes of the Diversification Tests. If the entity is not treated as a “qualified publicly traded partnership,” however, the consequences of an investment in the partnership will depend upon the amount and type of income and assets of the partnership allocable to us. The income derived from such investments may not be qualifying income for purposes of the 90% Income Test and, therefore,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could adversely affect our qualification as a RIC. We intend to monitor our investments in equity securities of entities that are treated as partnerships for U.S. federal income tax purposes to prevent our disqualification as a RIC.</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invest in preferred securities or other securities the U.S. federal income tax treatment of which may not be clear or may be subject to re-characterization by the Internal Revenue Service, or the IRS. To the extent the tax treatment of such securities or the income from such securities differs from the expected tax treatment, it could affect the timing or character of income recognized, requiring us to purchase or sell securities, or otherwise change our portfolio, in order to comply with the tax rules applicable to RICs under the Code.</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distribute taxable dividends that are payable in cash or shares of our common stock at the election of each shareholder. Under certain applicable provisions of the Code and the Treasury regulations, distributions payable in cash or in shares of stock at the election of shareholders are treated as taxable dividends. The IRS has issued a revenue procedure indicating that this rule will apply where the total amount of cash to be distributed is not less than 20% of the total distribution. Under this revenue procedure, if too many shareholders elect to receive their distributions in cash, each such shareholder would receive a pro rata share of the total cash to be distributed and would receive the remainder of their distribution in shares of stock. If we decide to make any distributions consistent with this revenue procedure that are payable in part in our stock, taxable shareholders receiving such dividends will be required to include the full amount of the dividend (whether received in cash, our stock, or a combination thereof) as ordinary income (or as long-term capital gain to the extent such distribution is properly reported as a capital gain dividend) to the extent of our current and accumulated earnings and profits for United States federal income tax purposes. As a result, a U.S. shareholder may be required to pay tax with respect to such dividends in excess of any cash received. If a U.S. shareholder sells the stock it receives in order to pay this tax, the sales proceeds may be less than the amount included in income with respect to the dividend, depending on the market price of our stock at the time of the sale. Furthermore, with respect to non-U.S. shareholders, we may be required to withhold U.S. tax with respect to such dividends, including in respect of all or a portion of such dividend that is payable in stock. If a significant number of our shareholders determine to sell shares of our stock in order to pay taxes owed on dividends, it may put downward pressure on the trading price of our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Obtain RIC Tax Treatment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that year if certain relief provisions are applicable (which may, among other things, require us to pay certain corporate-level U.S. federal taxes or to dispose of certain assets).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were unable to obtain tax treatment as a RIC, we would be subject to tax on all of our taxable income at regular corporate rates. We would not be able to deduct distributions to shareholders, nor would they be required to be made. Distributions would generally be taxable to our shareholders as dividend income to the extent of our current and accumulated earnings and profits (in the case of non-corporate U.S. shareholders, generally at a maximum federal income tax rate applicable to qualified dividend income of 20%). Subject to certain limitations under the Code, corporate distributees would be eligible for the dividends-received deduction. Distributions in excess of our current and accumulated earnings and profits would be treated first as a return of capital to the extent of the shareholder’s tax basis, and any remaining distributions would be treated as a capital gain.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fail to meet the RIC requirements for more than two consecutive years, and then seek to re-qualify as a RIC, we would be subject to corporate-level taxation on any built-in gain recognized during the succeeding 5-year period unless we made a special election to recognize all that built-in gain upon our re-qualification as a RIC and to pay the corporate-level U.S. federal income tax on that built-in gain.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Shareholders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Whether an investment in shares of our common stock is appropriate for a U.S. shareholder will depend upon that person’s particular circumstances. An investment in shares of our common stock by a U.S. shareholder may have adverse tax consequences. The following summary generally describes certain U.S. federal income tax consequences of an investment in shares of our common stock by taxable U.S. shareholders and not by U.S. shareholders that are generally exempt from U.S. federal income taxation. U.S. shareholders should consult their own tax advisors before making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Distributions by us generally are taxable to U.S. shareholders as ordinary income or capital gains. Distributions of our “investment company taxable income” (which generally is our ordinary income excluding net capital gains) will be taxable as ordinary income to U.S. shareholders to the extent of our current or accumulated earnings and profits, whether paid in cash or reinvested in additional common stock. To the extent such distributions paid by us to non-corporate U.S. shareholders (including individuals) are attributable to dividends from U.S. corporations and certain qualified foreign corporations, such distributions generally will be eligible for taxation at rates applicable to “qualifying dividends” at a maximum federal income tax rate of 20% provided that we properly report such distribution as “qualified dividend income” in a written statement furnished to our shareholders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gains (which generally is our net long-term capital gains in excess of net short-term capital losses) properly designated by us as “capital gain dividends” will be taxable to a U.S. shareholder as long-term capital gains (at a maximum federal income tax rate of 20% in the case of individuals, trusts or estates), regardless of the U.S. shareholder’s holding period for his, her or its common stock and regardless of whether paid in cash or reinvested in additional common stock. Distributions in excess of our current and accumulated earnings and profits first will reduce a U.S. shareholder’s adjusted tax basis in such shareholder’s common stock and, after the adjusted basis is reduced to zero, will constitute capital gain to such U.S. shareholder.</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lieu of actually distributing our realized net capital gains, we may retain some or all of our long-term capital gain and elect to be deemed to have made a distribution of the retained portion to our shareholders (a “deemed distribution”) under the “designated undistributed capital gains” rule of the Code. In that case, among other consequences, we will pay tax on the retained amount, each U.S. shareholder will be required to include his, her or its proportionate share of the deemed distribution in income as if it had been actually distributed to the U.S. shareholder, and the U.S. shareholder will be entitled to claim a credit equal to his, her or its allocable share of the tax paid thereon by us. The amount of the deemed distribution, net of such tax, will be added to the U.S. shareholder’s tax basis for his, her or its common stock. If the amount of U.S. federal income tax credit received by a shareholder exceeds the U.S. federal income tax such shareholder owes on the retained net capital gain, such excess generally may be claimed as a credit against the U.S. shareholder’s other U.S. federal income tax obligations or may be refunded to the extent it exceeds a shareholder’s liability for U.S. federal income tax. A shareholder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shareholders prior to the expiration of 60 days after the close of the relevant taxable year. We cannot treat any of our investment company taxable income as a “deemed distribution.”</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shareholder will still be treated as receiving the dividend in the taxable year in which the distribution is made. However, any dividend declared by us in October, November or December of any calendar year, payable to shareholders of record on a specified date in any such month and actually paid during January of the following year, will be treated as if it had been received by our U.S. shareholders on December 31 of the year in which the dividend was declared.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U.S. shareholder generally will recognize taxable gain or loss if the shareholder sells or otherwise disposes of his, her or its shares of our common stock. The amount of gain or loss will be measured by the difference between such shareholder’s adjusted tax basis in the common stock sold and the amount of the proceeds received in exchange. Any gain arising from such sale or disposition generally will be treated as long-term capital gains or losses if the shareholder has held his, her or its shares for more than one year. Otherwise, it will be classified as short-term capital gains or losses.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reinvestment of distributions or otherwise) within 30 days before or after the disposition. The ability to otherwise deduct capital losses may be subject to other limitations under the Code.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non-corporate U.S. shareholders, including individuals, trusts and estates, are subject to U.S. federal income tax at a maximum rate of 20% on their net capital gains, or the excess of realized net long-term capital gains over realized net short-term capital losses for a taxable year, including a long-term capital gain derived from an investment in our shares. Such rate is lower than the maximum rate on ordinary income currently payable by individuals. Corporate U.S. shareholders currently are subject to U.S. federal income tax on net capital gains at the maximum 21% rate also applied to ordinary income. Non-corporate shareholders with net capital losses for a year (which we define as capital loss in excess of capital gain) generally may deduct up to $3,000 of such losses against their ordinary income each year; any net capital loss of a non-corporate shareholder in excess of $3,000 generally may be carried forward and used in subsequent years as provided in the Code. Corporate shareholders generally may not deduct any net capital loss for a year, but may carry back such losses for three years or carry forward such losses for five years.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Certain U.S. shareholders who are individuals, estates or trusts generally are subject to a 3.8% Medicare surtax on the lesser of (1) the U.S. shareholder’s “net investment income” (or “undistributed net investment income” in the case of an estate or trust) for the relevant taxable year and (2) the excess of the U.S shareholder’s modified adjusted gross income for the taxable year over a certain threshold (which in the case of individuals is between $125,000 and $250,000, depending on the individual’s circumstances). A U.S. shareholder’s net investment income generally includes its dividends on, and capital gain from the sale or other disposition of, shares of our common stock.</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“publicly offered” RIC is a RIC whose shares are either (1) continuously offered pursuant to a public offering, (2) regularly traded on an established securities market or (3) held by at least 500 persons at all times during the taxable year. If we are not a publicly offered RIC for any period, a non-corporate shareholder’s pro rata portion of our affected expenses, including our management fees, will be treated as an additional dividend to the shareholder and will be deductible by such shareholder only to the extent permitted under the limitations described below. For non-corporate shareholders, including individuals, trusts, and estates, significant limitations generally apply to the deductibility of certain expenses of a non-publicly offered RIC, including advisory fees. In particular, these expenses, referred to as miscellaneous itemized deductions, are deductible only to individuals to the extent they exceed 2% of such a shareholder’s adjusted gross income, and are not deductible for AMT purposes. These expenses are not deductible by U.S. shareholders for tax years beginning 2018 through 2025. Because we anticipate that shares of our common stock will continue to be regularly traded on an established securities market, we believe that we will continue to qualify as a “publicly offered regulated investment company.”</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(or the applicable withholding agent) will send to each of our U.S. shareholders, as promptly as possible after the end of each calendar year, a written statement detailing the amounts includible in such U.S. shareholder’s taxable income for such year as ordinary income and as long-term capital gain. In addition, the U.S. federal tax status of each year’s distributions generally will be reported to the IRS. Distributions paid by us generally will not be eligible for the dividends-received deduction or the preferential tax rate applicable to qualifying dividends. Distributions may also be subject to additional state, local and foreign taxes depending on a U.S. shareholder’s particular situation.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be required to withhold U.S. federal income tax, or backup withholding at a rate of 24%, from all taxable distributions to any U.S. shareholder (1) who fails to furnish us with a correct taxpayer identification number or a certificate that such shareholder is exempt from backup withholding (e.g., because it is a corporation) or (2) with respect to whom the IRS notifies us that such shareholder has failed to properly report certain interest and dividend income to the IRS and to respond to notices to that effect. An individual’s taxpayer identification number is his or her social security number. Backup withholding tax is not an additional tax, and any amount withheld may be refunded or credited against the U.S. shareholder’s U.S. federal income tax liability, provided that proper information is timely provided to the IRS.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U.S. Treasury regulations, if a shareholder recognizes a loss with respect to shares of our stock of $2.0 million or more for an individual, S corporation, trust or a partnership with at least one non-corporate partner or $10.0 million or more for a shareholder that is either a corporation or a partnership with only corporate partners in any single taxable year (or a greater loss over a combination of years), the shareholder must file with the IRS a disclosure statement on IRS Form 8886 (or successor form). Direct shareholders of portfolio securities in many cases are exempted from this reporting requirement, but under current guidance, shareholders of a RIC are not exempted. Future guidance may extend the current exception from this reporting requirement to shareholders of most or all RICs. The fact that a loss is reportable under these regulations does not affect the legal determination of whether the taxpayer’s treatment of the loss is proper.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monetary penalties apply to a failure to comply with this reporting requirement. States may also have a similar reporting requirement. Shareholders should consult their own tax advisors to determine the applicability of these regulations in light of their individual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Whether an investment in the shares is appropriate for a Non-U.S. shareholder will depend upon that person’s particular circumstances. An investment in the shares by a Non-U.S. shareholder may have adverse tax consequences. Non-U.S. shareholders should consult their tax advisers before investing in our common stock.</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Distributions of our “investment company taxable income” to Non-U.S. shareholders that are not “effectively connected” with a U.S. trade or business carried on by the Non-U.S. shareholder, will generally be subject to withholding of U.S. federal income tax at a rate of 30% (or lower rate provided by an applicable treaty) to the extent of our current and accumulated earnings and profits, unless an applicable exception applies. No withholding is required with respect to distributions of (i) net U.S. source interest income that the Company properly reports as “interest-related dividends”, or (ii) net short term capital gains in excess of net long term capital losses that the Company properly reports as “short-term capital gain dividends.” The Company anticipates that a portion of its distributions will be eligible for this exception from withholding; however, the Company cannot determine what portion of its distributions (if any) will be eligible for this exception until after the end of their taxable year. No certainty can be provided that any distributions will be reported as eligible for this exception.</w:t>
      </w:r>
    </w:p>
    <w:p>
      <w:pPr>
        <w:spacing w:after="0" w:line="19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Actual or deemed distributions of our net capital gain to a Non-U.S. shareholder, and gains realized by a Non-U.S. shareholder upon the sale of our common stock, that are not effectively connected with a U.S. trade or business carried on by the Non-U.S. shareholder, will generally not be subject to U.S. federal withholding tax and generally will not be subject to U.S. federal income tax unless the Non-U.S. shareholder is a nonresident alien individual and is physically present in the United States for more than 182 days during the taxable year and meets certain other requirements. However, withholding of U.S. federal income tax at a rate of 30% on capital gain of nonresident alien individuals who are physically present in the United States for more than the 182 day period only applies in exceptional cases because any individual present in the United States for more than 182 days during the taxable year is generally treated as a resident for U.S. income tax purposes; in that case, he or she would be subject to U.S. income tax on his or her worldwide income at the graduated rates applicable to U.S. citizens, rather than the 30% U.S. federal withholding tax.</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distribute our net capital gain in the form of deemed rather than actual distributions (which we may do in the future), a Non-U.S. shareholder will be entitled to a U.S. federal income tax credit or tax refund equal to the shareholder’s allocable share of the tax we pay on the capital gain deemed to have been distributed. In order to obtain the refund, the Non-U.S. shareholder must obtain a U.S. taxpayer identification number and file a U.S. federal income tax return even if the Non-U.S. shareholder would not otherwise be required to obtain a U.S. taxpayer identification number or file a U.S. federal income tax return. Accordingly, investment in the shares may not be appropriate for a Non-U.S. shareholder.</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Distributions of our “investment company taxable income” and net capital gain (including deemed distributions) to Non-U.S. shareholders, and gain realized by Non-U.S. shareholders upon the sale of our common stock that is “effectively connected” with a U.S. trade or business carried on by the Non-U.S. shareholder (or if an income tax treaty applies, attributable to a “permanent establishment” in the United States), will be subject to U.S. federal income tax at the graduated rates applicable to U.S. citizens, residents and domestic corporations. Corporate Non-U.S. shareholders may also be subject to an additional branch profits tax at a rate of 30% imposed by the Code (or lower rate provided by an applicable treaty).</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tax consequences to a Non-U.S. shareholder entitled to claim the benefits of an applicable tax treaty may differ from those described herein. Non-U.S. shareholders are advised to consult their own tax advisers with respect to the particular tax consequences to them of an investment in our shares.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Non-U.S. shareholders may be subject to information reporting and backup withholding of U.S. federal income tax on dividends unless the Non-U.S. shareholder provides us or the dividend paying agent with an IRS Form W-8BEN or IRS Form W-8BEN-E, as applicable (or an acceptable substitute form) or otherwise meets documentary evidence requirements for establishing that it is a Non-U.S. shareholder or otherwise establishes an exemption from backup withholding. To claim a credit or refund for any taxes paid by the Company on any undistributed long-term capital gains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or any taxes collected through withholding or to claim a benefit under an applicable tax treaty, a Non-U.S. shareholder must obtain a U.S. taxpayer identification number and may be required to file a federal income tax return even if the Non-U.S. shareholder would not otherwise be required to obtain a U.S. taxpayer identification number or file a U.S. income tax return.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Legislation commonly referred to as the “Foreign Account Tax Compliance Act,” or “FATCA,” generally imposes a 30% withholding tax on payments of certain types of income to foreign financial institutions (“FFIs”) unless such FFIs either</w:t>
      </w:r>
    </w:p>
    <w:p>
      <w:pPr>
        <w:jc w:val="both"/>
        <w:ind w:firstLine="3"/>
        <w:spacing w:after="0" w:line="285" w:lineRule="auto"/>
        <w:tabs>
          <w:tab w:leader="none" w:pos="2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and the gross proceeds from the sale of any property that could produce U.S.-source interest or dividends received after December 31, 2018.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shareholder and the status of the intermediaries through which they hold their shares, Non-U.S. shareholders could be subject to this 30% withholding tax with respect to distributions on their shares and proceeds from the sale of their shares. Under certain circumstances, a non-U.S. shareholder might be eligible for refunds or credits of such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Legislative or Other Actions Affecting Tax Considerations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and by the IRS and the U.S. Treasury Department, resulting in revisions of regulations and revised interpretations of established concepts as well as statutory changes. Revisions in U.S. federal tax laws and interpretations thereof could affect the tax consequences of an investment in our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 Treatment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state and local tax treatment may differ from federal income tax treatment.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discussion set forth herein does not constitute tax advice, and potential investors should consult their own tax advisors concerning the tax considerations relevant to their particular situation.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 CORPORATE GOVERNANCE REGULATIONS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NASDAQ Global Select Market, or Nasdaq, has adopted corporate governance listing standards with which listed companies must comply in order to remain listed. We believe that we are in compliance with these corporate governance listing standards. We intend to monitor our compliance with future listing standards and to take all necessary actions to ensure that we remain in compliance.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ACT OF 1934 AND SARBANES-OXLEY ACT COMPLIANCE</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subject to the reporting and disclosure requirements of the Exchange Act, including the filing of quarterly, annual and current reports, proxy statements and other required items. In addition, we are subject to the Sarbanes-Oxley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 of 2002 and regulations promulgated thereunder, which imposes a wide variety of regulatory requirements on publicly-held companies and their insiders. For example:</w:t>
      </w:r>
    </w:p>
    <w:p>
      <w:pPr>
        <w:spacing w:after="0" w:line="157" w:lineRule="exact"/>
        <w:rPr>
          <w:sz w:val="20"/>
          <w:szCs w:val="20"/>
          <w:color w:val="auto"/>
        </w:rPr>
      </w:pPr>
    </w:p>
    <w:p>
      <w:pPr>
        <w:ind w:left="66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are required to certify the accuracy of the financial statements contained in our periodic reports;</w:t>
      </w:r>
    </w:p>
    <w:p>
      <w:pPr>
        <w:spacing w:after="0" w:line="16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are required to disclose our conclusions about the effectiveness of our disclosure controls and procedures;</w:t>
      </w:r>
    </w:p>
    <w:p>
      <w:pPr>
        <w:spacing w:after="0" w:line="121"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is required to prepare a report on its assessment of our internal control over financial reporting, and we engage an independent registered public accounting firm to separately audit our internal control over financial reporting; and</w:t>
      </w:r>
    </w:p>
    <w:p>
      <w:pPr>
        <w:spacing w:after="0" w:line="122" w:lineRule="exact"/>
        <w:rPr>
          <w:rFonts w:ascii="Arial" w:cs="Arial" w:eastAsia="Arial" w:hAnsi="Arial"/>
          <w:sz w:val="18"/>
          <w:szCs w:val="18"/>
          <w:color w:val="auto"/>
        </w:rPr>
      </w:pPr>
    </w:p>
    <w:p>
      <w:pPr>
        <w:jc w:val="both"/>
        <w:ind w:left="660" w:hanging="333"/>
        <w:spacing w:after="0" w:line="21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Investing in our common stock involves a number of significant risks. In addition to other information contained in this Annual Report on Form 10-K, investors should consider the following information before making an investment in our common stock. The risks and uncertainties described below could materially adversely affect our business, financial conditions and results of operations. Risks and uncertainties not presently known to us, or not presently deemed material by us, may also impair our operations and performance. If any of the following risks, or risks not presently known to us, actually occur, the trading price of our common stock could decline, and you may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condition and results of operations will depend on our ability to effectively allocate and manage capital.</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ability to achieve our investment objective of maximizing risk-adjusted returns to shareholders depends on our ability to effectively allocate and manage capital. Capital allocation depends, in part, upon our investment team’s ability to identify, evaluate, invest in and monitor companies that meet our investment criteria.</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Accomplishing our investment objectives is largely a function of our investment team’s management of the investment process and our access to investments offering attractive risk adjusted returns. In addition, members of our investment team are called upon, from time to time, to provide managerial assistance to some of our portfolio companies.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results of our operations depend on many factors, including the availability of opportunities for investment, readily accessible short and long-term funding alternatives in the financial markets and economic conditions. Our ability to make new investments at attractive relative returns is also a function of our marketing and our management of the investment process, as well as conditions in the private credit market in which we invest. If we fail to invest our capital effectively, our return on equity may be negatively impacted, which could have a material adverse effect on the price of the shares of our common stock.</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unrealized losses we experience may be an indication of future realized losses, which could reduce our income available to make distributions.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at the fair value as determined in good faith by our Board of Directors pursuant to a valuation methodology approved by our Board of Directors. Decreases in the market values or fair values of our investments will be recorded as unrealized losses. An unrealized loss could be an indication of a portfolio company’s inability to generate cash flow or meet its repayment obligations. This could result in realized losses in the future and ultimately in reductions of our income available to pay dividends or interest and principal on our securities and could have a material adverse effect on your investment.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model depends to a significant extent upon strong referral relationships. Our inability to maintain or develop these relationships, as well as the failure of these relationships to generate investment opportunities, could adversely affect our business.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expect that members of our management team will maintain their relationships with financial sponsors, intermediaries, financial institutions, investment bankers, commercial bankers, financial advisors, attorneys, accountants, consultants and other individuals within our network, and we will rely to a significant extent upon these relationships to provide us with potential investment opportunities. If our management team fails to maintain its existing relationships or develop new relationships with sources of investment opportunities, we will not be able to effectively invest our capital. Individuals with whom members of our management team have relationships are not obligated to provide us with investment opportunities; therefore, there is no assurance that these relationships will generate investment opportunities for us.</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 addition to regulatory limitations on our ability to raise capital, our current debt obligations contain various covenants, which, if not complied with, could accelerate our repayment obligations under the Credit Facility or the December 2022 Notes, thereby materially and adversely affecting our liquidity, financial condition, results of operations and ability to pay distributions.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will have a continuing need for capital to finance our investments. We are party to a senior secured credit facility, dated as of August 30, 2016 and amended as of November 16, 2017, which we refer to as the Credit Facility. As of March 31, 2018, the Credit Facility provides us with a revolving credit line of up to $180.0 million of which $40.0 million was drawn. On April 16, 2018 and May 11, 2018, CSWC entered into Incremental Assumption Agreements, which increased the total commitments under the Credit Facility by $20 million and $10 million, respectively. The increases were executed under the accordion feature of the Credit Facility and increased total commitments from $180 million to $210 million.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Facility contains customary terms and conditions, including, without limitation, affirmative and negative covenants such as information reporting requirements, minimum consolidated net worth, minimum consolidated interest coverage ratio, minimum asset coverage, and maintenance of RIC tax treatment and BDC status. The Credit Facility also contains customary events of default with customary cure and notice provisions, including, without limitation, nonpayment, misrepresentation of representations and warranties in a material respect, breach of covenants, bankruptcy, and change of control. The Credit Facility permits us to fund additional loans and investments as long as we are within the conditions set out in the Credit Facility.</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December 2017, we issued $57.5 million in aggregate principal amount of 5.95% Notes due 2022, or the December 2022 Notes. The indenture governing the December 2022 Notes contains certain covenants including but not limited to (i) a requirement that we comply with the asset coverage requirement of Section 61 of the 1940 Act or any successor provisions thereto, after giving effect to any exemptive relief granted to us by the SEC, (ii) a requirement, subject to a limited exception, that we will not declare any cash dividend, or declare any other cash distribution, upon a class of our capital stock, or purchase any such capital stock, unless, in every such case, at the time of the declaration of any such dividend or distribution, or at the time of any such purchase, we have the minimum asset coverage required pursuant to Section 61 of the 1940 Act or any successor provisions thereto after deducting the amount of such dividend, distribution or purchase price, as the case may be, giving effect to any exemptive relief granted to us by the SEC and (iii) a requirement to provide financial information to the holders of the December 2022 Notes and the trustee under the indenture if we should no longer be subject to the reporting requirements under the Exchange Act. The indenture and supplement relating to the December 2022 Notes also provides for customary events of default.</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and there are no assurances that we will continue to comply with these covenants. Our failure to satisfy these covenants could result in foreclosure by our lenders, which would accelerate our repayment obligations under the facility and thereby have a material adverse effect on our business, liquidity, financial condition, results of operations and ability to pay distributions to our shareholders.</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All of our assets are subject to security interests under our secured Credit Facility and if we default on our obligations under the Credit Facility, we may suffer adverse consequences, including foreclosure on our assets.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of our assets are currently pledged as collateral under our Credit Facility. If we default on our obligations under the Credit Facility, the lenders party thereto may have the right to foreclose upon and sell, or otherwise transfer, the collateral subject to their security interests.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have historically operated. As a result, we could be forced to curtail or cease new investment activities and lower or eliminate the dividends that we have historically paid to our shareholders. In addition, if the lenders exercise their right to sell the assets pledged under our Credit Facility, such sales may be completed at distressed sale prices, thereby diminishing or potentially eliminating the amount of cash available to us after repayment of the amounts outstanding under the Credit Facility. These distressed prices could be materially below our most recent valuation of each security, which could have a significantly negative effect on NAV.</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borrow money to make investments, the potential for gain or loss on amounts invested in us is magnified and may increase the risk of investing in us.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Borrowings to fund investments, also known as leverage, magnify the potential for loss on investments in our indebtedness and gain or loss on investments in our equity capital. As we use leverage to partially finance our investments, you will experience increased risks of investing in our securities. We may borrow from banks and other lenders, including under our Credit Facility, and may issue debt securities or enter into other types of borrowing arrangements in the future. If the value of our assets decreases, leveraging would cause NAV to decline more sharply than it otherwise would have had we not leveraged our business. Similarly, any decrease in our income would cause net investment income to decline more sharply than it would have had we not leveraged our business. Such a decline could negatively affect our ability to pay common stock dividends, scheduled debt payments or other payments related to our securities. Use of leverage is generally considered a speculative investment technique.</w:t>
      </w:r>
    </w:p>
    <w:p>
      <w:pPr>
        <w:spacing w:after="0" w:line="16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As of March 31, 2018, we had $40.0 million debt outstanding under our Credit Facility. Borrowings under the Credit Facility bear interest, on a per annum basis at a rate equal to the applicable LIBOR rate plus 3.00%, with a step-down to LIBOR plus 2.75% at the time the Company’s net worth exceeds $325 million. We pay unused commitment fees of 0.50% to 1.00% per annum, based on utilization, on the unused lender commitments under the Credit Facility. The Credit Facility is secured by substantially all of our assets. If we are unable to meet the financial obligations under the Credit Facility, the lenders under the Credit Facility may exercise its remedies under the Credit Facility as the result of a default by us. On April 16, 2018 and May 11, 2018, CSWC entered into Incremental Assumption Agreements, which increased the total commitments under the Credit Facility by $20 million and $10 million, respectively. The increases were executed under the accordion feature of the Credit Facility and increased total commitments from $180 million to $210 million.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March 31, 2018, the carrying amount of the December 2022 Notes was $55.3 million. The December 2022 Notes mature on December 15, 2022 and may be redeemed in whole or in part at any time, or from time to time, at our option on or after December 15, 2019. The December 2022 Notes bear interest at a rate of 5.95% per year, payable quarterly on March 15, June 15, September 15 and December 15 of each year. The December 2022 Notes are an unsecured obligation, rank pari passu with our other outstanding and future unsecured unsubordinated indebtedness and are effectively subordinated to all of our existing and future secured indebtedness, including borrowings under our Credit Facility.</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ability to achieve our investment objective may depend in part on our ability to access additional leverage on favorable terms by borrowing from banks or insurance companies or by issuing debt securities and there can be no assurance that such additional leverage can in fact be achieved.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Illustration. </w:t>
      </w:r>
      <w:r>
        <w:rPr>
          <w:rFonts w:ascii="Arial" w:cs="Arial" w:eastAsia="Arial" w:hAnsi="Arial"/>
          <w:sz w:val="18"/>
          <w:szCs w:val="18"/>
          <w:color w:val="auto"/>
        </w:rPr>
        <w:t>The following table illustrates the effect of leverage on returns from an investment in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assuming various annual returns, net of expenses. The calculations in the table below are hypothetical and actual returns may be higher or lower than those appearing below.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Assumed Return on Our Portfolio</w:t>
      </w:r>
      <w:r>
        <w:rPr>
          <w:rFonts w:ascii="Arial" w:cs="Arial" w:eastAsia="Arial" w:hAnsi="Arial"/>
          <w:sz w:val="7"/>
          <w:szCs w:val="7"/>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of expenses)</w:t>
      </w:r>
    </w:p>
    <w:p>
      <w:pPr>
        <w:spacing w:after="0" w:line="18" w:lineRule="exact"/>
        <w:rPr>
          <w:sz w:val="20"/>
          <w:szCs w:val="20"/>
          <w:color w:val="auto"/>
        </w:rPr>
      </w:pPr>
    </w:p>
    <w:p>
      <w:pPr>
        <w:ind w:left="5000"/>
        <w:spacing w:after="0"/>
        <w:tabs>
          <w:tab w:leader="none" w:pos="5920" w:val="left"/>
          <w:tab w:leader="none" w:pos="6880" w:val="left"/>
          <w:tab w:leader="none" w:pos="7720" w:val="left"/>
          <w:tab w:leader="none" w:pos="8480" w:val="left"/>
        </w:tabs>
        <w:rPr>
          <w:sz w:val="20"/>
          <w:szCs w:val="20"/>
          <w:color w:val="auto"/>
        </w:rPr>
      </w:pPr>
      <w:r>
        <w:rPr>
          <w:rFonts w:ascii="Arial" w:cs="Arial" w:eastAsia="Arial" w:hAnsi="Arial"/>
          <w:sz w:val="18"/>
          <w:szCs w:val="18"/>
          <w:b w:val="1"/>
          <w:bCs w:val="1"/>
          <w:color w:val="auto"/>
        </w:rPr>
        <w:t>(10.0) %</w:t>
        <w:tab/>
        <w:t>(5.0) %</w:t>
      </w:r>
      <w:r>
        <w:rPr>
          <w:sz w:val="20"/>
          <w:szCs w:val="20"/>
          <w:color w:val="auto"/>
        </w:rPr>
        <w:tab/>
      </w:r>
      <w:r>
        <w:rPr>
          <w:rFonts w:ascii="Arial" w:cs="Arial" w:eastAsia="Arial" w:hAnsi="Arial"/>
          <w:sz w:val="18"/>
          <w:szCs w:val="18"/>
          <w:b w:val="1"/>
          <w:bCs w:val="1"/>
          <w:color w:val="auto"/>
        </w:rPr>
        <w:t>0.0 %</w:t>
      </w:r>
      <w:r>
        <w:rPr>
          <w:sz w:val="20"/>
          <w:szCs w:val="20"/>
          <w:color w:val="auto"/>
        </w:rPr>
        <w:tab/>
      </w:r>
      <w:r>
        <w:rPr>
          <w:rFonts w:ascii="Arial" w:cs="Arial" w:eastAsia="Arial" w:hAnsi="Arial"/>
          <w:sz w:val="18"/>
          <w:szCs w:val="18"/>
          <w:b w:val="1"/>
          <w:bCs w:val="1"/>
          <w:color w:val="auto"/>
        </w:rPr>
        <w:t>5.0 %</w:t>
      </w:r>
      <w:r>
        <w:rPr>
          <w:sz w:val="20"/>
          <w:szCs w:val="20"/>
          <w:color w:val="auto"/>
        </w:rPr>
        <w:tab/>
      </w:r>
      <w:r>
        <w:rPr>
          <w:rFonts w:ascii="Arial" w:cs="Arial" w:eastAsia="Arial" w:hAnsi="Arial"/>
          <w:sz w:val="17"/>
          <w:szCs w:val="17"/>
          <w:b w:val="1"/>
          <w:bCs w:val="1"/>
          <w:color w:val="auto"/>
        </w:rPr>
        <w:t>10.0 %</w:t>
      </w:r>
    </w:p>
    <w:p>
      <w:pPr>
        <w:spacing w:after="0" w:line="27" w:lineRule="exact"/>
        <w:rPr>
          <w:sz w:val="20"/>
          <w:szCs w:val="20"/>
          <w:color w:val="auto"/>
        </w:rPr>
      </w:pPr>
    </w:p>
    <w:p>
      <w:pPr>
        <w:spacing w:after="0"/>
        <w:tabs>
          <w:tab w:leader="none" w:pos="4940" w:val="left"/>
          <w:tab w:leader="none" w:pos="5840" w:val="left"/>
          <w:tab w:leader="none" w:pos="6700" w:val="left"/>
          <w:tab w:leader="none" w:pos="7600" w:val="left"/>
          <w:tab w:leader="none" w:pos="8400" w:val="left"/>
        </w:tabs>
        <w:rPr>
          <w:sz w:val="20"/>
          <w:szCs w:val="20"/>
          <w:color w:val="auto"/>
        </w:rPr>
      </w:pPr>
      <w:r>
        <w:rPr>
          <w:rFonts w:ascii="Arial" w:cs="Arial" w:eastAsia="Arial" w:hAnsi="Arial"/>
          <w:sz w:val="18"/>
          <w:szCs w:val="18"/>
          <w:color w:val="auto"/>
        </w:rPr>
        <w:t>Corresponding net return to common shareholder</w:t>
      </w:r>
      <w:r>
        <w:rPr>
          <w:rFonts w:ascii="Arial" w:cs="Arial" w:eastAsia="Arial" w:hAnsi="Arial"/>
          <w:sz w:val="8"/>
          <w:szCs w:val="8"/>
          <w:color w:val="auto"/>
        </w:rPr>
        <w:t>(2)</w:t>
      </w:r>
      <w:r>
        <w:rPr>
          <w:sz w:val="20"/>
          <w:szCs w:val="20"/>
          <w:color w:val="auto"/>
        </w:rPr>
        <w:tab/>
      </w:r>
      <w:r>
        <w:rPr>
          <w:rFonts w:ascii="Arial" w:cs="Arial" w:eastAsia="Arial" w:hAnsi="Arial"/>
          <w:sz w:val="18"/>
          <w:szCs w:val="18"/>
          <w:color w:val="auto"/>
        </w:rPr>
        <w:t>(15.80)%</w:t>
        <w:tab/>
        <w:t>(9.02) %</w:t>
        <w:tab/>
        <w:t>(2.25) %</w:t>
      </w:r>
      <w:r>
        <w:rPr>
          <w:sz w:val="20"/>
          <w:szCs w:val="20"/>
          <w:color w:val="auto"/>
        </w:rPr>
        <w:tab/>
      </w:r>
      <w:r>
        <w:rPr>
          <w:rFonts w:ascii="Arial" w:cs="Arial" w:eastAsia="Arial" w:hAnsi="Arial"/>
          <w:sz w:val="18"/>
          <w:szCs w:val="18"/>
          <w:color w:val="auto"/>
        </w:rPr>
        <w:t>4.52 %</w:t>
      </w:r>
      <w:r>
        <w:rPr>
          <w:sz w:val="20"/>
          <w:szCs w:val="20"/>
          <w:color w:val="auto"/>
        </w:rPr>
        <w:tab/>
      </w:r>
      <w:r>
        <w:rPr>
          <w:rFonts w:ascii="Arial" w:cs="Arial" w:eastAsia="Arial" w:hAnsi="Arial"/>
          <w:sz w:val="16"/>
          <w:szCs w:val="16"/>
          <w:color w:val="auto"/>
        </w:rPr>
        <w:t>11.29 %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27" w:lineRule="exact"/>
        <w:rPr>
          <w:sz w:val="20"/>
          <w:szCs w:val="20"/>
          <w:color w:val="auto"/>
        </w:rPr>
      </w:pPr>
    </w:p>
    <w:p>
      <w:pPr>
        <w:ind w:left="660" w:hanging="333"/>
        <w:spacing w:after="0" w:line="346" w:lineRule="auto"/>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Assumes $417.5 million in total assets, $97.5 million in debt outstanding, $308.3 million in net assets and a weighted-average interest rate of 5.69% on our senior securities based on our financial data available on March 31, 2018. Actual interest payments may be different.</w:t>
      </w:r>
    </w:p>
    <w:p>
      <w:pPr>
        <w:spacing w:after="0" w:line="1" w:lineRule="exact"/>
        <w:rPr>
          <w:rFonts w:ascii="Arial" w:cs="Arial" w:eastAsia="Arial" w:hAnsi="Arial"/>
          <w:sz w:val="13"/>
          <w:szCs w:val="13"/>
          <w:color w:val="auto"/>
        </w:rPr>
      </w:pPr>
    </w:p>
    <w:p>
      <w:pPr>
        <w:ind w:left="660" w:hanging="333"/>
        <w:spacing w:after="0" w:line="35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order for us to cover our annual interest payments on indebtedness, we must achieve annual returns on our March 31, 2018 total assets of at least 1.66%.</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do not invest a sufficient portion of our assets in qualifying assets, we could fail to qualify as a BDC or be precluded from investing according to our current business strategy.</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BDC, we may not acquire any assets other than “qualifying assets” unless, at the time of and after giving effect to such acquisition, at least 70% of our total assets are qualifying assets.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more than 70% of our assets consist of qualifying assets. However, we may be precluded from investing in what we believe are attractive investments if those investments are not qualifying assets for purposes of the 1940 Act. Similarly, these rules could prevent us from making follow-on investments in existing portfolio companies or we could be required to dispose of investments at inappropriate times to comply with the 1940 Act (which could result in the dilution of our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failure on our part to maintain our status as a BDC would significantly reduce our operating flexibility.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fail to maintain our status as a BDC, we might be regulated as a closed-end investment company that is required to register under the 1940 Act, which would subject us to additional regulatory restrictions and significantly decrease our operating flexibility. In addition, any such failure could cause an event of default under our outstanding indebtedness, which could have a material adverse effect on our business, financial condition or results of operations.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will be subject to corporate-level U.S. Federal income tax if we are unable to qualify as a Regulated Investment Company under Subchapter M of the Code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maintain RIC tax treatment under the Code, we must meet the following annual distribution, income source and asset diversification requirements:</w:t>
      </w:r>
    </w:p>
    <w:p>
      <w:pPr>
        <w:spacing w:after="0" w:line="157" w:lineRule="exact"/>
        <w:rPr>
          <w:sz w:val="20"/>
          <w:szCs w:val="20"/>
          <w:color w:val="auto"/>
        </w:rPr>
      </w:pPr>
    </w:p>
    <w:p>
      <w:pPr>
        <w:jc w:val="both"/>
        <w:ind w:left="660" w:hanging="333"/>
        <w:spacing w:after="0" w:line="21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annual distribution requirement for a RIC will be satisfied if we distribute to our shareholders on an annual basis at least 90% of our net ordinary income and realized short-term capital gains in excess of realized net long-term capital losses. Depending on the level of taxable income earned in a tax year, we may choose to carry forward taxable income in excess of current year distributions into the next year and pay a 4% excise tax on such income. Any such carryover taxable income must be distributed through a dividend declared prior to filing the final tax return related to the year that generated such taxable income.</w:t>
      </w:r>
    </w:p>
    <w:p>
      <w:pPr>
        <w:spacing w:after="0" w:line="162" w:lineRule="exact"/>
        <w:rPr>
          <w:rFonts w:ascii="Arial" w:cs="Arial" w:eastAsia="Arial" w:hAnsi="Arial"/>
          <w:sz w:val="18"/>
          <w:szCs w:val="18"/>
          <w:color w:val="auto"/>
        </w:rPr>
      </w:pPr>
    </w:p>
    <w:p>
      <w:pPr>
        <w:jc w:val="both"/>
        <w:ind w:left="660" w:hanging="333"/>
        <w:spacing w:after="0" w:line="21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source of income requirement will be satisfied if we obtain at least 90% of our gross income for each taxable year from dividends, interest, payments with respect to certain securities loans, gains from the sale or other disposition of stock or other securities or foreign currencies or other income derived with respect to our business of investing in such stock, securities or currencies and net income derived from an interest in a “qualified publicly traded partnership” (as defined in the Code), or the 90% Income Test.</w:t>
      </w:r>
    </w:p>
    <w:p>
      <w:pPr>
        <w:spacing w:after="0" w:line="162" w:lineRule="exact"/>
        <w:rPr>
          <w:rFonts w:ascii="Arial" w:cs="Arial" w:eastAsia="Arial" w:hAnsi="Arial"/>
          <w:sz w:val="18"/>
          <w:szCs w:val="18"/>
          <w:color w:val="auto"/>
        </w:rPr>
      </w:pPr>
    </w:p>
    <w:p>
      <w:pPr>
        <w:jc w:val="both"/>
        <w:ind w:left="660" w:hanging="333"/>
        <w:spacing w:after="0" w:line="249"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securities if such other securities of any one issuer do not represent more than 5% of the value of our assets or more than 10% of</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60"/>
        <w:spacing w:after="0" w:line="214" w:lineRule="auto"/>
        <w:rPr>
          <w:sz w:val="20"/>
          <w:szCs w:val="20"/>
          <w:color w:val="auto"/>
        </w:rPr>
      </w:pPr>
      <w:r>
        <w:rPr>
          <w:rFonts w:ascii="Arial" w:cs="Arial" w:eastAsia="Arial" w:hAnsi="Arial"/>
          <w:sz w:val="18"/>
          <w:szCs w:val="18"/>
          <w:color w:val="auto"/>
        </w:rPr>
        <w:t>the outstanding voting securities of the issuer (which for these purposes includes the equity securities of a “qualified publicly traded partnership”). In addition, no more than 25% of the value of our assets can be invested in the securities, other than U.S Government securities or securities of other RICs, (1) of one issuer (2) of two or more issuers that are controlled, as determined under applicable tax rules, by us and that are engaged in the same or similar or related trades or businesses or (3) of one or more “qualified publicly traded partnerships,” or the Diversification Tests.</w:t>
      </w:r>
    </w:p>
    <w:p>
      <w:pPr>
        <w:spacing w:after="0" w:line="13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Failure to meet these requirements may result in us having to dispose of certain unqualified investments quickly in order to prevent the loss of RIC tax treatment. If we fail to maintain RIC tax treatment for any reason and are subject to corporate income tax, the resulting corporate taxes could substantially reduce our net assets, the amount of income available for distribution and the amount of our distributions. In addition, to the extent we had unrealized gains, we would have to establish deferred tax liabilities for taxes, which would reduce our NAV accordingly. In addition, our shareholders would lose the tax credit realized when we, as a RIC, decide to retain the net realized capital gain and make deemed distributions of net realized capital gains, and pay taxes on behalf of our shareholders at the end of the tax year. The loss of this pass-through tax treatment could have a material adverse effect on the total return of an investment in our common stock.</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Even if the Company qualifies as a Regulated Investment Company, it may face tax liabilities that reduce its cash flow.</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Even if we qualify for taxation as a RIC, we may be subject to certain U.S. federal, state and local taxes on our income and assets. In addition, we may hold some of our assets through our Taxable Subsidiary, which is not consolidated for U.S. federal income tax purposes, or any other taxable subsidiary we may form. Any taxes paid by our subsidiary corporations would decrease the cash available for distribution to our shareholders.</w:t>
      </w:r>
    </w:p>
    <w:p>
      <w:pPr>
        <w:spacing w:after="0" w:line="18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Our historical financial statements are not necessarily representative of the results we would have achieved as a stand-alone publicly-traded company and therefore may not be indicative of our future performance.</w:t>
      </w:r>
    </w:p>
    <w:p>
      <w:pPr>
        <w:spacing w:after="0" w:line="1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the Share Distribution, we spun off 63.5% of our NAV to our shareholders and divested other major investments during the past three years. We emerged from these divestitures and the Share Distribution with a significantly different company profile. Our historical financial statements included in this Form 10-K for historical periods are not necessarily representative of the results we would have achieved as a stand-alone publicly traded company with a smaller market footprint. Accordingly, this data may not be indicative of our future performance, or necessarily reflect what our financial position and results of operations or cash flows would have been, had we operated as a separate, stand-alone publicly-traded entity during all of the periods presented</w:t>
      </w:r>
      <w:r>
        <w:rPr>
          <w:rFonts w:ascii="Arial" w:cs="Arial" w:eastAsia="Arial" w:hAnsi="Arial"/>
          <w:sz w:val="18"/>
          <w:szCs w:val="18"/>
          <w:b w:val="1"/>
          <w:bCs w:val="1"/>
          <w:color w:val="auto"/>
        </w:rPr>
        <w:t>.</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investment portfolio is and will continue to be recorded at fair value. Our Board of Directors has final responsibility for overseeing, reviewing and approving, in good faith, our fair value determination. As a result of recording our investments at fair value, there is and will continue to be subjectivity as to the value of our portfolio investments.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1940 Act, we are required to carry our portfolio investments at market value or, if there is no readily available market value, at fair value as determined by us, with our Board of Directors having final responsibility for overseeing, reviewing and approving, in good faith, our fair value determination. Typically, there is not a public market for the securities of the privately held companies in which we have invested and will continue to invest. As a result, we value these securities quarterly at fair value based on inputs from management and our investment team, along with the oversight, review and approval of our Board of Directors.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of the inherent uncertainty of the valuation of portfolio securities that do not have readily ascertainable market values, our fair value determinations may differ materially from the values a third party would be willing to pay for our portfolio securities or the values which would be applicable to unrestricted securities having a public market. Due to this uncertainty, our fair value determinations may cause our NAV on a given date to materially understate or overstate the value that we may ultimately realize on one or more of our investments. As a result, investors purchasing our common stock based on an overstated NAV may pay a higher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 the value of our investments might warrant. Conversely, investors selling shares during a period in which the NAV understates the value of our investments may receive a lower price for their shares than the value of our investments might warrant.</w:t>
      </w:r>
    </w:p>
    <w:p>
      <w:pPr>
        <w:spacing w:after="0" w:line="17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The capital markets may experience periods of disruption and instability. Such market conditions may materially and adversely affect debt and equity capital markets in the United States, which may have a negative impact on our business and operations.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These events contributed to worsening general economic conditions that materially and adversely impacted the broader financial and credit markets and reduced the availability of debt and equity capital for the market as a whole and financial services firms in particular. While market conditions have largely recovered from the events of 2008 and 2009, there have been continuing periods of volatility, some lasting longer than others. There can be no assurance these market conditions will not repeat themselves or worsen in the future. The reappearance of market conditions similar to those experienced from 2008 through 2009 for any substantial length of time could make it difficult to extend the maturity of or refinance our existing indebtedness or obtain new indebtedness with similar terms. Additionally, the debt capital that will be available to us in the future may be at a higher cost and on less favorable terms than what we currently experience due to the existence of a rising interest rate environment. If any of these conditions appear, they may have an adverse effect on our business, financial condition, and results of operations. These events could limit our investment originations, limit our ability to increase returns to equity holders through the effective use of leverage, and negatively impact our operating results.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significant changes or volatility in the capital markets may also have a negative effect on the valuations of our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Significant changes in the capital markets may also affect the pace of our investment activity and the potential for liquidity events involving our investments. Thus, the illiquidity of our investments may make it difficult for us to sell our investments to access capital if required, and as a result, we could realize significantly less than the value at which we have recorded our investments if we were required to sell them for liquidity purposes. An inability to raise or access capital could have a material adverse effect on our business, financial condition or results of operations.</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Changes in the laws or regulations governing our business, or changes in the interpretations thereof, and any failure by us to comply with these laws or regulations, could negatively affect the profitability of our operations.</w:t>
      </w:r>
    </w:p>
    <w:p>
      <w:pPr>
        <w:spacing w:after="0" w:line="14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Changes in the laws or regulations or the interpretations of the laws and regulations that govern BDCs, RICs or non-depository commercial lenders could significantly affect our operations and our cost of doing business. We are subject to federal, state and local laws and regulations and are subject to judicial and administrative decisions that affect our operations, including our loan originations, maximum interest rates, fees and other charges, disclosures to portfolio companies, the terms of secured transactions, collection and foreclosure procedures and other trade practices. If these laws, regulations or decisions change, or if we expand our business into jurisdictions that have adopted more stringent requirements than those in which we currently conduct business, we may have to incur significant expenses in order to comply or we might have to restrict our operations. In addition, if we do not comply with applicable laws, regulations and decisions, we may lose licenses needed for the conduct of our business and be subject to civil fines and criminal penalties, any of which could have a material adverse effect upon our business,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compete for attractive investment opportunities with other financial institutions, including BDCs, junior capital lenders, and banks. Some of these competitors are substantially larger and have greater financial, technical and marketing resources, and some are subject to different, and frequently less stringent, regulations. Our competitors may have a lower cost of funds and may have access to funding sources that are not available to us. Furthermore, many of our competitors are not subject to the regulatory restrictions that the 1940 Act imposes on us as a BDC. As a result of this competition, we may not be able to take advantage of attractive investment opportunities from time to time, and there can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 no assurance that we will be able to identify and make investments that satisfy our objectives. A significant increase in the number and/or size of our competitors in our target market could force us to accept less attractive investment terms. We cannot assure you that the competitive pressures we face will not have a materially adverse effect on our business, financial condition and results of operation.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market and economic conditions could cause harm to our operating results.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Past recessions have had a significant negative impact on the operating performance and fair value of many middle market companies. Many of our portfolio companies could be adversely impacted again by any future economic downturn or recession and may be unable to be sold at a price that would allow us to recover our investment, or may be unable to operate during a recession. Such portfolio company performance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attracting and retaining qualified personnel in a competitive environment.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Sourcing, selection, structuring and closing our investments depends upon the diligence and skill of our management. Our management’s capabilities may significantly impact our results of operations. Our success requires that we retain investment and operations personnel in a competitive environment. Our ability to attract and retain personnel with the requisite credentials, experience and skills depends on several factors, including, but not limited to, our ability to offer competitive wages, benefits and professional growth opportunities.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competitive environment for qualified personnel may require us to take certain measures to ensure that we are able to attract and retain experienced personnel. Such measures may include increasing the attractiveness of our overall compensation packages, altering the structure of our compensation packages through the use of additional forms of compensation or other steps. The inability to attract and retain experienced personnel could potentially have an adverse effect on our business.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In connection with CSWI’s separation from us, CSWI has indemnified us for certain liabilities. However, there can be no assurance that these indemnities will be sufficient to insure us against the full amount of such liabilities or that CSWI’s ability to satisfy its indemnification obligation will not be impaired in the future.</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CSWI agreed to indemnify us for certain liabilities, including certain tax liabilities. However, third parties could seek to hold us responsible for any of the liabilities that CSWI has agreed to retain, and there can be no assurance that CSWI will be able to fully satisfy its indemnification obligations. Moreover, even if we ultimately succeed in recovering from CSWI any amounts for which we are held liable, we may be temporarily required to bear these losses while seeking recovery from CSWI.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indemnification liabilities of us to CSWI could materially adversely affect 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Agreements relating to the Share Distribution between us and CSWI provide for indemnification obligations designed to make us financially responsible for liabilities that may exist relating to or arising out of our business activities, whether incurred prior to or after the Share Distribution.</w:t>
      </w:r>
    </w:p>
    <w:p>
      <w:pPr>
        <w:spacing w:after="0" w:line="3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Potential liabilities may arise due to fraudulent transfer considerations, which would adversely affect our financial condition and our results of operations.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Share Distribution, we undertook several corporate restructuring transactions which, along with the Share Distribution, may be subject to federal and state fraudulent conveyance and transfer laws. If, under these laws, a court were to determine that, at the time of the Share Distribution, any entity involved in these restructuring transactions or the Share Distribution: (1) was insolvent; (2) was rendered insolvent by reason of the Share Distribution; (3) had remaining assets constituting unreasonably small capital; or (4) intended to incur, or believed it would incur, debts beyond its ability to pay these debts as they matured, then the court could void the Share Distribution, in whole or in part, as a fraudulent conveyance or transfer, the court could require us to fund liabilities of the other company for the benefit of creditors.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Recent legislation may allow us to incur additional leverage, which could increase the risk of investing in the Company.</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1940 Act generally prohibits us from incurring indebtedness unless immediately after such borrowing we have an asset coverage for total borrowings of at least 200% (i.e., the amount of debt may not exceed 50% of the value of our total assets). However, on March 23, 2018, the Small Business Credit Availability Act (the “SBCA”) was signed into law, which included various changes to regulations under the federal securities laws that impact BDCs. The SBCA included changes to the 1940 Act to allow BDCs to decrease their asset coverage requirement from 200% to 150%, if certain requirements are met. Under the SBCA,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 allows the majority of our independent directors to approve the reduction in our asset coverage requirement to 150%, and such approval would become effective on the one-year anniversary of such approval.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April 25, 2018, the Board, including a “required majority” (as such term is defined in Section 57(o) of the 1940 Act) of the Board, approved the application of the modified asset coverage requirements set forth in Section 61(a)(2) of the 1940 Act. As a result, the minimum asset coverage ratio applicable to the Company will be decreased from 200% to 150%, effective April 25, 2019. The Board also approved a resolution which limits the Company’s issuance of senior securities such that the asset coverage ratio, taking into account such issuance, would not be less than 166%, effective April 25, 2019.</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Leverage is generally considered a speculative investment technique and increases the risk of investing in our securities.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If we incur additional leverage, you will experience increased risks of investing in our common stock.</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Efforts to comply with the Sarbanes-Oxley Act involve significant expenditures, and non-compliance with the Sarbanes-Oxley Act may adversely affect us.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the Sarbanes-Oxley Act of 2002, or the Sarbanes-Oxley Act, and the related rules and regulations promulgated by the SEC. Among other requirements, under Section 404 of the Sarbanes-Oxley Act and rules and regulations of the SEC thereunder, our management is required to report on our internal controls over financial reporting. We are required to review on an annual basis our internal controls over financial reporting, and on a quarterly and annual basis to evaluate and disclose significant changes in our internal controls over financial reporting. We have and expect to continue to incur significant expenses related to compliance with the Sarbanes-Oxley Act, which will negatively impact our financial performance and our ability to make distributions. In addition, this process results in a diversion of management’s time and attention. In the event that we are unable to maintain compliance with the Sarbanes-Oxley Act and related rules, we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enter into transactions with our affiliates is restricted.</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an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independent directors and, in some cases, the SEC. If a person acquires more than 25% of our voting securities, we are prohibited from buying or selling any security from or to that person or certain of that person’s affiliates, or entering into prohibited joint transactions with that person, absent the prior approval of the SEC. Similar restrictions limit our ability to transact business with our officers or directors or their affiliates.</w:t>
      </w:r>
    </w:p>
    <w:p>
      <w:pPr>
        <w:spacing w:after="0" w:line="1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Regulations governing our operation as a BDC will affect our ability to, and the way in which we, raise additional capital.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business will require capital to operate and grow. We may acquire such additional capital from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sources: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We may issue debt securities and/or borrow money from banks or other financial institutions,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collectively as senior securities. As a result of issuing senior securities, we will be exposed to additional risks, including the following:</w:t>
      </w:r>
    </w:p>
    <w:p>
      <w:pPr>
        <w:spacing w:after="0" w:line="168" w:lineRule="exact"/>
        <w:rPr>
          <w:sz w:val="20"/>
          <w:szCs w:val="20"/>
          <w:color w:val="auto"/>
        </w:rPr>
      </w:pPr>
    </w:p>
    <w:p>
      <w:pPr>
        <w:jc w:val="both"/>
        <w:ind w:left="980" w:hanging="329"/>
        <w:spacing w:after="0" w:line="20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the provisions of the 1940 Act, we are permitted, as a BDC, to issue senior securities only in amounts such that our asset coverage, as defined in the 1940 Act, equals at least 200% (or, pursuant to recent legislation, 150% if certain requirements are met as described in the Business Section under “Regulation as a Business Development Company—Senior Securities”) immediately after each issuance of senior securities. If the value of our assets declines, we may be unable to satisfy this test. If that happens, we will be prohibited from issuing debt securities and/or borrowing money from banks or other financial institutions and may not be permitted to declare a dividend or make any distribution to shareholders or repurchase shares until such time as we satisfy this test.</w:t>
      </w:r>
    </w:p>
    <w:p>
      <w:pPr>
        <w:spacing w:after="0" w:line="6" w:lineRule="exact"/>
        <w:rPr>
          <w:rFonts w:ascii="Arial" w:cs="Arial" w:eastAsia="Arial" w:hAnsi="Arial"/>
          <w:sz w:val="18"/>
          <w:szCs w:val="18"/>
          <w:color w:val="auto"/>
        </w:rPr>
      </w:pPr>
    </w:p>
    <w:p>
      <w:pPr>
        <w:ind w:left="980" w:hanging="329"/>
        <w:spacing w:after="0" w:line="229"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amounts that we use to service our debt will not be available for dividends to our common shareholders.</w:t>
      </w:r>
    </w:p>
    <w:p>
      <w:pPr>
        <w:jc w:val="both"/>
        <w:ind w:left="980" w:hanging="329"/>
        <w:spacing w:after="0" w:line="20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likely that any senior securities or other indebtedness we issue will be governed by an indenture or other instrument containing covenants restricting our operating flexibility. Additionally, some of these securities or other indebtedness may be rated by rating agencies, and in obtaining a rating for such securities and other indebtedness, we may be required to abide by operating and investment guidelines that further restrict operating and financial flexibility.</w:t>
      </w:r>
    </w:p>
    <w:p>
      <w:pPr>
        <w:spacing w:after="0" w:line="2" w:lineRule="exact"/>
        <w:rPr>
          <w:rFonts w:ascii="Arial" w:cs="Arial" w:eastAsia="Arial" w:hAnsi="Arial"/>
          <w:sz w:val="18"/>
          <w:szCs w:val="18"/>
          <w:color w:val="auto"/>
        </w:rPr>
      </w:pPr>
    </w:p>
    <w:p>
      <w:pPr>
        <w:ind w:left="980" w:hanging="329"/>
        <w:spacing w:after="0" w:line="20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and, indirectly, our stockholders will bear the cost of issuing and servicing such securities and other indebtedness.</w:t>
      </w:r>
    </w:p>
    <w:p>
      <w:pPr>
        <w:jc w:val="both"/>
        <w:ind w:left="980" w:hanging="329"/>
        <w:spacing w:after="0" w:line="20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unsecured debt issued by us would rank (1) pari passu with our future unsecured indebtedness and effectively subordinated to all of our existing and future secured indebtedness, to the extent of the value of the assets securing such indebtedness, and (2) structurally subordinated to all existing and future indebtedness and other obligations of any of our subsidiaries</w:t>
      </w:r>
    </w:p>
    <w:p>
      <w:pPr>
        <w:spacing w:after="0" w:line="1" w:lineRule="exact"/>
        <w:rPr>
          <w:rFonts w:ascii="Arial" w:cs="Arial" w:eastAsia="Arial" w:hAnsi="Arial"/>
          <w:sz w:val="18"/>
          <w:szCs w:val="18"/>
          <w:color w:val="auto"/>
        </w:rPr>
      </w:pPr>
    </w:p>
    <w:p>
      <w:pPr>
        <w:jc w:val="both"/>
        <w:ind w:left="980" w:hanging="329"/>
        <w:spacing w:after="0" w:line="227"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Upon a liquidation of our company, holders of our debt securities and lenders with respect to other borrowings would receive a distribution of our available assets prior to the holders of our common stock. Future offerings of additional debt securities, which would be senior to our common stock upon liquidation, or equity securities, which could dilute our existing stockholders, may harm the value of our common stock.</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The 1940 Act prohibits us from selling shares of our common stock at a price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NAV per share of such stock, with certain exceptions. One such exception is prior shareholder approval of issuances below current NAV per share provided that our Board of Directors makes certain determinations. We did not seek shareholder authorization to sell shares of our common stock below the then current NAV per share of our common stock at our 2017 annual meeting of shareholders. We do not anticipate seeking such authorization in the future. However, in the event we change our position, we will seek the requisite approval of our common shareholders. If we raise additional funds by issuing more common stock or senior securities convertible into, or exchangeable for, our common stock, the percentage ownership of our shareholders at that time would decrease, and they may experience dilution. Moreover, we can offer no assurance that we will be able to issue and sell additional equity securities in the future, on favorable terms or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cannot predict how tax reform legislation will affect us, our investments, or our shareholders, and any such legislation could adversely affect our business.</w:t>
      </w:r>
    </w:p>
    <w:p>
      <w:pPr>
        <w:spacing w:after="0" w:line="166"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Legislative or other actions relating to taxes could have a negative effect on us. The rules dealing with U.S. federal income taxation are constantly under review by persons involved in the legislative process and by the IRS and the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Treasury Department. The U.S. House of Representatives and U.S. Senate recently passed tax reform legislation, which the President recently signed into law. Such legislation will make many changes to the Code, including significant changes to the taxation of business entities, the deductibility of interest expense, and the tax treatment of capital investment. We cannot predict with certainty how any changes in the tax laws might affect us, our shareholders, or our portfolio investments. New legislation and any U.S. Treasury regulations, administrative interpretations or court decisions interpreting such legislation could significantly and negatively affect our ability to qualify for tax treatment as a RIC or the U.S. federal income tax consequences to us and our shareholders of such qualification, or could have other adverse consequences. Shareholders are urged to consult with their tax advisor regarding tax legislative, regulatory, or administrative developments and proposals and their potential effect on an investment in our securities.</w:t>
      </w:r>
    </w:p>
    <w:p>
      <w:pPr>
        <w:spacing w:after="0" w:line="178"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1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131"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are unable to maintain the availability of our electronic data systems and safeguard the security of our data, our ability to conduct business may be compromised, which could impair our liquidity, disrupt our business, damage our reputation and cause losses.</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Cybersecurity refers to the combination of technologies, processes, and procedures established to protect information technology systems and data from unauthorized access, attack, or damage. We are subject to cybersecurity risks. Information cybersecurity risks have significantly increased in recent years and, while we have not experienced any material losses relating to cyber-attacks or other information security breaches, we could suffer such losses in the future. Our computer systems, software and networks may be vulnerable to unauthorized access, computer viruses or other malicious code and other events that could have a security impact. If one or more of such events occur, this potentially could jeopardize confidential and other information, including nonpublic personal information and sensitive business data, processed and stored in, and transmitted through, our computer systems and networks, or otherwise cause interruptions or malfunctions in our operations or the operations of our customers or counterparties. This could result in significant losses, reputational damage, litigation, regulatory fines or penalties, or otherwise adversely affect our business, financial condition or results of operations. Privacy and information security laws and regulation changes, and compliance with those changes, may result in cost increases due to system changes and the development of new administrative processes. In the future, we may be required to expend significant additional resources to modify our protective measures and to investigate and remediate vulnerabilities or other exposures arising from operational and security risks. In addition, we may be subject to litigation and financial losses that are not fully insured.</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Third parties with which we do business may also be sources of cybersecurity or other technological risks. We outsource certain functions, and these relationships allow for the storage and processing of our information, as well as customer,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Terrorist attacks, acts of war or natural disasters may affect any market for our common stock, impact the businesses in which we invest and harm our business, operating results and financial condition.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Terrorist attacks, acts of war or natural disasters may disrupt our operations, as well as the operations of the businesses in which we invest. These events have created, and continue to create, economic and political uncertainties and have contributed to global economic instability. Future terrorist activities, military or security operations, or natural disasters could further weaken the domestic or global economy. These events could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negatively affected by securities litigation or shareholder activism, which could cause us to incur significant expense and impact our results of operations.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and our debt securities fluctuates significantly. We could also generally be subject to litigation, including derivative actions by our shareholders or shareholder activism for a variety of other reasons. Any litigation or shareholder activism may result in substantial costs and divert management's and our Board of Directors’ attention and resources from our business. Significant legal fees and other expenses may cause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portfolio companies involve a number of significant risks</w:t>
      </w:r>
      <w:r>
        <w:rPr>
          <w:rFonts w:ascii="Arial" w:cs="Arial" w:eastAsia="Arial" w:hAnsi="Arial"/>
          <w:sz w:val="18"/>
          <w:szCs w:val="18"/>
          <w:color w:val="auto"/>
        </w:rPr>
        <w:t>:</w:t>
      </w:r>
    </w:p>
    <w:p>
      <w:pPr>
        <w:spacing w:after="0" w:line="216" w:lineRule="exact"/>
        <w:rPr>
          <w:sz w:val="20"/>
          <w:szCs w:val="20"/>
          <w:color w:val="auto"/>
        </w:rPr>
      </w:pPr>
    </w:p>
    <w:p>
      <w:pPr>
        <w:jc w:val="both"/>
        <w:ind w:left="660" w:hanging="333"/>
        <w:spacing w:after="0" w:line="23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Portfolio companies are more likely to depend on the management talents and efforts of a small group of key employees. Therefore, the death, disability, resignation, termination, or significant under-performance of one or more of these persons could have a material adverse impact on our portfolio company and, in turn, on us.</w:t>
      </w:r>
    </w:p>
    <w:p>
      <w:pPr>
        <w:spacing w:after="0" w:line="161"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Portfolio companies may have unpredictable operating results, could become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147" w:lineRule="exact"/>
        <w:rPr>
          <w:rFonts w:ascii="Arial" w:cs="Arial" w:eastAsia="Arial" w:hAnsi="Arial"/>
          <w:sz w:val="16"/>
          <w:szCs w:val="16"/>
          <w:color w:val="auto"/>
        </w:rPr>
      </w:pPr>
    </w:p>
    <w:p>
      <w:pPr>
        <w:jc w:val="both"/>
        <w:ind w:left="660" w:hanging="333"/>
        <w:spacing w:after="0" w:line="21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Most of our portfolio companies are private companies. Private companies may not have readily publicly available information about their businesses, operations and financial condition. Consequently, we rely on the ability of our management team and investment professionals to obtain adequate information to evaluate the potential returns from making investments in these portfolio companies. If we are unable to uncover all material information about the target portfolio company, we may not make a fully informed investment decision and may lose all or part of our investment.</w:t>
      </w:r>
    </w:p>
    <w:p>
      <w:pPr>
        <w:spacing w:after="0" w:line="121"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Portfolio companies may have shorter operating histories, narrower product lines, smaller market shares and/or more significant customer concentration than larger businesses, which tend to render them more vulnerable to competitors’ actions and market conditions, as well as general economic downturns.</w:t>
      </w:r>
    </w:p>
    <w:p>
      <w:pPr>
        <w:spacing w:after="0" w:line="122" w:lineRule="exact"/>
        <w:rPr>
          <w:rFonts w:ascii="Arial" w:cs="Arial" w:eastAsia="Arial" w:hAnsi="Arial"/>
          <w:sz w:val="18"/>
          <w:szCs w:val="18"/>
          <w:color w:val="auto"/>
        </w:rPr>
      </w:pPr>
    </w:p>
    <w:p>
      <w:pPr>
        <w:jc w:val="both"/>
        <w:ind w:left="660" w:hanging="333"/>
        <w:spacing w:after="0" w:line="21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Portfolio companies may have limited financial resources and may be unable to meet their obligations under their debt instruments that we hold, which may be accompanied by a deterioration in the value of any collateral and a reduction in the likelihood of us realizing any guarantees from subsidiaries or affiliates of our portfolio companies that we may have obtained in connection with our investment, as well as a corresponding decrease in the value of the equity components of our investments.</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in the course of providing significant managerial assistance to certain of our portfolio companies, certain of our officers and directors may serve as directors on the boards of these companies. To the extent that litigation arises out of our investments in these companies, our officers and directors may be named as defendants in such litigation, which could result in an expenditure of funds for claims in excess of our directors’ and officers’ insurance coverage (through our indemnification of our officers and directors) and the diversion of management’s time and resources.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invest, and will continue to invest, in portfolio companies whose securities are not publicly traded. These securities are generally subject to legal and other restrictions on resale or will otherwise be less liquid than publicly traded securities. As a result, we do not expect to achieve liquidity in our investments in the near-term.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and, as a result, we may suffer losses.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Defaults by our portfolio companies could harm our operating results.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Portfolio companies may fail to satisfy financial, operating or other covenants imposed by us or other lenders, which could lead to a default and, potentially, acceleration of its loans and foreclosure on its secured assets. These events could trigger cross-defaults under other agreements and jeopardize the portfolio company’s ability to meet its obligations, including under the debt or equity securities we hold. We may also incur expenses to the extent necessary to recover upon a default or to negotiate new terms with the defaulting portfolio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equity securities involve a substantial degree of risk</w:t>
      </w:r>
      <w:r>
        <w:rPr>
          <w:rFonts w:ascii="Arial" w:cs="Arial" w:eastAsia="Arial" w:hAnsi="Arial"/>
          <w:sz w:val="18"/>
          <w:szCs w:val="18"/>
          <w:color w:val="auto"/>
        </w:rPr>
        <w:t>.</w:t>
      </w:r>
    </w:p>
    <w:p>
      <w:pPr>
        <w:spacing w:after="0" w:line="14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We may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Certain investments that we have made in the past and may make in the future include warrants or other equity securities.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 In addition, we may from time to time make non-control, equity investments in portfolio companies. Our goal is ultimately to realize gains upon our disposition of these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often seek puts or similar rights to give us the right to sell our equity securities back to the portfolio company issuer; however, we may be unable to exercise these put rights for the consideration provided in our investment documents if the issuer is in financial distress.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Prepayments of our debt investments by our portfolio companies could adversely impact our results of operations and reduce our return on equity.</w:t>
      </w:r>
    </w:p>
    <w:p>
      <w:pPr>
        <w:spacing w:after="0" w:line="1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certain portfolio companies may prepay our debt investments in our portfolio companies prior to maturity, the specific timing of which we do not control. When this occurs, we will generally reinvest these proceeds in temporary investments, pending their future investment in new portfolio companies. These temporary investments will typically have substantially lower yields than the debt being prepaid and we could experience significant delays in reinvesting these amounts. Any future investment in a new portfolio company may also be at lower yields than the debt that was repaid. As a result, our results of operations could be materially adversely affected if one or more of our portfolio companies elect to prepay amounts owed to us. Additionally, prepayments could negatively impact our return on equity, which could result in a decline in the market price of our securities.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interest rates may affect our cost of capital, the value of investments and net investment income.</w:t>
      </w:r>
    </w:p>
    <w:p>
      <w:pPr>
        <w:spacing w:after="0" w:line="24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Some of our debt investments will bear interest at variable rates and the interest income from these investments could be negatively affected by decreases in market interest rates. In addition, an increase in interest rates would make it more expensive for us to use debt to finance our investments. As a result, a significant increase in market interest rates could increase our cost of capital, which would reduce our net investment income. Also,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 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temporary investments, which would reduce our net investment income. In addition, certain of our debt investments and debt liabilities may bear interest at fixed rates. To the extent that our fixed rate assets and liabilities are not perfectly hedged, our net investment income may decrease based on changes in market interest rates. An increase in market interest rates may also decrease the fair value of our fixed rate investments, as these may be less attractive securities in a rising rate environment.</w:t>
      </w:r>
    </w:p>
    <w:p>
      <w:pPr>
        <w:spacing w:after="0" w:line="18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There may be circumstances in which our debt investments could be subordinated to claims of other creditors or we could be subject to lender liability claims.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Even though we may have structured certain of our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our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a Regulated Investment Company, we may have certain regulatory restrictions that could preclude us from making additional investments in our portfolio companies.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not have the ability to make additional investments in our portfolio companies. After our initial investment in a portfolio company, we may be called upon from time to time to provide additional funds to that company or have the opportunity to increase our investment or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or may reduce the expected return on the investment.</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relating to LIBOR may adversely affect the value of the LIBOR-indexed, floating-rate debt securities in our portfolio.</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July 2017, the head of the United Kingdom Financial Conduct Authority announced the desire to phase out the use of LIBOR by the end of 2021. As of March 31, 2018, approximately 92.1% of our debt investment portfolio (at fair value) bore interest rates indexed upon LIBOR. Additionally, our Credit Facility accrues interest at the applicable LIBOR rate plus 3.00%, with a step-down to LIBOR plus 2.75% at the time our net worth exceeds $325 million. The use of the new index could reduce our interest income or increase our interest expense and therefore have an adverse effect on our results of operations. Management continues to monitor the status and discussions regarding LIBOR.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generally will not control our portfolio companies.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and do not expect to, control most of our portfolio companies, even though we may have board representation or board observation rights, and our debt agreements may contain certain restrictive covenants. As a result, we are subject to the risk that a portfolio company in which we invest may make business decisions with which we disagree, and the management of such company, as representatives of the holders of their common equity, may take risks or otherwise act in ways that do not serve our interests as debt investors. Due to the lack of liquidity for our investments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non-traded companies, we may not be able to dispose of our interests in our portfolio companies as readily as we would like or at an appropriate valuation. As a result, a portfolio company may make decisions that could decrease the value of our portfolio holdings.</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Second priority liens on collateral securing loans that we make to our portfolio companies may be subject to control by senior creditors with first priority liens. Further, in cases where we invest in unsecured subordinated debt, we would not have any lien on the collateral. In each of these cases, if there is a default, the value of the collateral may not be sufficient to repay in full both the first priority creditors and us.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Certain loans that we make are either secured by a second priority security interest in the same collateral pledged by a portfolio company to secure senior debt owed by the portfolio company to commercial banks or other traditional lenders, or in the case of unsecured subordinated debt, we have no lien at all on the assets.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or in the case where we invest in unsecured subordinated debt, the senior lender will require assurances that it will control the disposition of any collateral in the event of bankruptcy or other default. In many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subject to a negotiated “standstill period” after which we can initiate; (2) the nature, timing and conduct of foreclosure or other collection proceedings, subject to a negotiated “standstill period” after which we can initiate;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portfolio companies may incur debt that ranks equally with, or senior to, our investments in those companies.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invest primarily in the secured term debt of middle market companies and equity issued by middle market companies. Our portfolio companies may have, or may be permitted to incur, other debt that ranks equally with, or senior to, the debt in which we invest. By their terms, these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its senior creditors, the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market price of our common stock will fluctuate with market conditions and other factors. Our common stock is intended for long-term investors and should not be treated as a trading vehicle. 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58" w:lineRule="exact"/>
        <w:rPr>
          <w:sz w:val="20"/>
          <w:szCs w:val="20"/>
          <w:color w:val="auto"/>
        </w:rPr>
      </w:pPr>
    </w:p>
    <w:p>
      <w:pPr>
        <w:ind w:left="660"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121"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exclusion of our common stock from certain market indices, such as the Russell 2000 Financial Services Index, which could reduce the ability of certain investment funds to own our common stock and put short-term selling pressure on our common stock;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RIC tax treatment;</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origination activity, including the pace of, and competition for, new investment opportunities;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of operating results;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future sales of common stock or debt securities convertible into or exchangeable or exercisable for our common stock or the conversion of such securities;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departure of our key personnel;</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shares of our common stock may involve an above average degree of risk.</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investments we make in accordance with our investment objectives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often trades at a discount from NAV</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common stock is listed on Nasdaq. Shareholders desiring liquidity may sell their shares on Nasdaq at current market value, which has often been below NAV. Shares of closed-end investment companies frequently trade at discounts from NAV, which is a risk separate and distinct from the risk that a fund’s performance will cause its NAV to decrease. We cannot predict whether our common stock will trade at, above or below NAV. In addition, if our common stock trades below our NAV per share, we will generally not be able to issue additional common stock at the market price unless our shareholders approve such a sale and our Board of Directors make certain determinations.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our publicly issued debt securities may be volatile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trading market for our publicly issued debt securities may from time to time be significantly affected by numerous factors, including:</w:t>
      </w:r>
    </w:p>
    <w:p>
      <w:pPr>
        <w:spacing w:after="0" w:line="157"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Creditworthiness;</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Terms, including, but not limited to, maturity, principal amount, redemption, and repayment of convertible features;</w:t>
      </w:r>
    </w:p>
    <w:p>
      <w:pPr>
        <w:spacing w:after="0" w:line="167" w:lineRule="exact"/>
        <w:rPr>
          <w:rFonts w:ascii="Arial" w:cs="Arial" w:eastAsia="Arial" w:hAnsi="Arial"/>
          <w:sz w:val="16"/>
          <w:szCs w:val="16"/>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and economic conditions;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Demand for our debt securities.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credit rating assessments by third parties regarding our ability to pay our obligations will generally affect the market value of our debt securities.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currently intend to pay quarterly dividends. However, in the future we may not pay any dividends depending on a variety of factors.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While we intend to pay dividends to our shareholders out of taxable income available for distribution, there can be no assurance that we will do so. Any dividends that we do pay may be payable in cash, in our stock, or in stock in any of our holdings or in a combination of all three. All dividends will be paid at the discretion of our Board of Directors and will depend upon our financial condition, maintenance of our RIC status, and compliance with applicable BDC regulations.</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currently pay dividends in cash. However, in the future we may choose to pay dividends in our own stock, in which case you may be required to pay tax in excess of the cash you receive.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distribute taxable dividends that are payable in part in our stock. Under certain applicable provisions of the Code and the Treasury regulations, distributions payable by us in cash or in shares of stock (at the shareholders election) would satisfy the annual distribution requirement for a RIC. The IRS has issued a revenue procedure providing that a dividend payable in stock or in cash at the election of the shareholders will be treated as a taxable dividend eligible for the dividends paid deduction provided that at least 20% of the total dividend is payable in cash and certain other requirements are satisfied. Taxable shareholders receiving such dividends will be required to include the full amount of the dividend as ordinary income (or as long-term capital gain to the extent such dividend is properly reported as a capital gain dividend) to the extent of our current and accumulated earnings and profits for U.S. federal income tax purposes. As a result, a U.S. shareholder may be required to pay tax with respect to such dividends in excess of any cash received. If a U.S. shareholder sells the stock it receives as a dividend in order to pay this tax, the sales proceeds may be less than the amount included in income with respect to the dividend, depending on the market price of our stock at the time of the sale. Furthermore, with respect to non-U.S. shareholders, we may be required to withhold U.S. tax with respect to such dividends, including in respect of all or a portion of such dividends payable in stock. If a significant number of our shareholders determine to sell shares of our stock in order to pay taxes owed on dividends, it may put downward pressure on the trading price of our stock.</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Provisions of the Texas law and our charter could deter takeover attempts and have an adverse impact on the price of our common stock.</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Texas law and our charter contain provisions that may have the effect of discouraging, delaying or making difficult a change in control. The existence of these provisions, among others, may have a negative impact on the price of our common stock and may discourage third-party bids for ownership of our company. These provisions may prevent any premiums being offered to you for our common stock.</w:t>
      </w:r>
    </w:p>
    <w:p>
      <w:pPr>
        <w:spacing w:after="0" w:line="39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i w:val="1"/>
          <w:iCs w:val="1"/>
          <w:color w:val="auto"/>
        </w:rPr>
        <w:t>.</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do not own any real estate or other physical properties. We maintain our offices at 5400 Lyndon B. Johnson Freeway, Suite 1300, Dallas, Texas 75240, where we lease approximately 9,261 square feet of office space pursuant to a lease agreement expiring in January 2022. We believe that our offices are adequate to meet our current and expected future needs.</w:t>
      </w:r>
    </w:p>
    <w:p>
      <w:pPr>
        <w:spacing w:after="0" w:line="14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As of the date hereof, we are not a party to, and none of our assets are subject to, any material pending legal proceedings and are not aware of any claims that could have a materially adverse effect on our financial position, results of operations or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80" w:hanging="777"/>
        <w:spacing w:after="0" w:line="282" w:lineRule="auto"/>
        <w:tabs>
          <w:tab w:leader="none" w:pos="760" w:val="left"/>
        </w:tabs>
        <w:rPr>
          <w:sz w:val="20"/>
          <w:szCs w:val="20"/>
          <w:color w:val="auto"/>
        </w:rPr>
      </w:pPr>
      <w:r>
        <w:rPr>
          <w:rFonts w:ascii="Arial" w:cs="Arial" w:eastAsia="Arial" w:hAnsi="Arial"/>
          <w:sz w:val="18"/>
          <w:szCs w:val="18"/>
          <w:b w:val="1"/>
          <w:bCs w:val="1"/>
          <w:color w:val="auto"/>
        </w:rPr>
        <w:t>Item 5.</w:t>
        <w:tab/>
        <w:t>Market for Registrant’s Common Equity, Related Shareholder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 AND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common stock is traded on the Nasdaq Global Select Market under the symbol “CSWC.” The following table sets forth, for the periods indicated, the high and low sales prices of our common stock, as reported by Nasdaq.</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4"/>
                <w:szCs w:val="14"/>
                <w:color w:val="auto"/>
              </w:rPr>
            </w:pPr>
          </w:p>
        </w:tc>
        <w:tc>
          <w:tcPr>
            <w:tcW w:w="620" w:type="dxa"/>
            <w:vAlign w:val="bottom"/>
          </w:tcPr>
          <w:p>
            <w:pPr>
              <w:jc w:val="right"/>
              <w:ind w:right="79"/>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4"/>
                <w:szCs w:val="14"/>
                <w:color w:val="auto"/>
              </w:rPr>
            </w:pPr>
          </w:p>
        </w:tc>
        <w:tc>
          <w:tcPr>
            <w:tcW w:w="6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$ 18.00</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17.76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June 30, 2017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March 31, 2017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$ 16.91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$ 15.04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September 30, 2016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June 1, 2018, the last sale price of our common stock on the Nasdaq was $17.01 per share, and there were approximately 450 holders of record of the common stock which did not include shareholders for whom shares are held in “nominee” or “street name.”</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Shares of BDCs may trade at a market price that is less than the value of the net assets attributable to those shares.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1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intend to make distributions on a quarterly basis to our shareholders of substantially all of our taxable income. In lieu of cash, we may make deemed distributions of certain net capital gains to our shareholders.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payment dates and amounts of cash dividends per share for the past two fiscal years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3"/>
          </w:tcPr>
          <w:p>
            <w:pPr>
              <w:ind w:left="920"/>
              <w:spacing w:after="0"/>
              <w:rPr>
                <w:sz w:val="20"/>
                <w:szCs w:val="20"/>
                <w:color w:val="auto"/>
              </w:rPr>
            </w:pPr>
            <w:r>
              <w:rPr>
                <w:rFonts w:ascii="Arial" w:cs="Arial" w:eastAsia="Arial" w:hAnsi="Arial"/>
                <w:sz w:val="14"/>
                <w:szCs w:val="14"/>
                <w:b w:val="1"/>
                <w:bCs w:val="1"/>
                <w:color w:val="auto"/>
              </w:rPr>
              <w:t>Payment Date</w:t>
            </w:r>
          </w:p>
        </w:tc>
        <w:tc>
          <w:tcPr>
            <w:tcW w:w="1180" w:type="dxa"/>
            <w:vAlign w:val="bottom"/>
            <w:gridSpan w:val="4"/>
          </w:tcPr>
          <w:p>
            <w:pPr>
              <w:ind w:left="180"/>
              <w:spacing w:after="0"/>
              <w:rPr>
                <w:sz w:val="20"/>
                <w:szCs w:val="20"/>
                <w:color w:val="auto"/>
              </w:rPr>
            </w:pPr>
            <w:r>
              <w:rPr>
                <w:rFonts w:ascii="Arial" w:cs="Arial" w:eastAsia="Arial" w:hAnsi="Arial"/>
                <w:sz w:val="14"/>
                <w:szCs w:val="14"/>
                <w:b w:val="1"/>
                <w:bCs w:val="1"/>
                <w:color w:val="auto"/>
              </w:rPr>
              <w:t>Cash Dividend</w:t>
            </w:r>
          </w:p>
        </w:tc>
      </w:tr>
      <w:tr>
        <w:trPr>
          <w:trHeight w:val="142"/>
        </w:trPr>
        <w:tc>
          <w:tcPr>
            <w:tcW w:w="920" w:type="dxa"/>
            <w:vAlign w:val="bottom"/>
          </w:tcPr>
          <w:p>
            <w:pPr>
              <w:spacing w:after="0"/>
              <w:rPr>
                <w:sz w:val="12"/>
                <w:szCs w:val="12"/>
                <w:color w:val="auto"/>
              </w:rPr>
            </w:pPr>
          </w:p>
        </w:tc>
        <w:tc>
          <w:tcPr>
            <w:tcW w:w="606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2017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July 1, 2016</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$ 0.06</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October 1, 2016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January 3, 2017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3, 2017</w:t>
            </w:r>
            <w:r>
              <w:rPr>
                <w:rFonts w:ascii="Arial" w:cs="Arial" w:eastAsia="Arial" w:hAnsi="Arial"/>
                <w:sz w:val="8"/>
                <w:szCs w:val="8"/>
                <w:color w:val="auto"/>
              </w:rPr>
              <w:t>1</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$ 0.79</w:t>
            </w:r>
          </w:p>
        </w:tc>
        <w:tc>
          <w:tcPr>
            <w:tcW w:w="100" w:type="dxa"/>
            <w:vAlign w:val="bottom"/>
            <w:tcBorders>
              <w:bottom w:val="single" w:sz="8" w:color="CCEEFF"/>
            </w:tcBorders>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Fiscal Year 2018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July 3, 2017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$ 0.21</w:t>
            </w:r>
          </w:p>
        </w:tc>
        <w:tc>
          <w:tcPr>
            <w:tcW w:w="1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October 2, 2017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tcPr>
          <w:p>
            <w:pPr>
              <w:ind w:left="100"/>
              <w:spacing w:after="0"/>
              <w:rPr>
                <w:sz w:val="20"/>
                <w:szCs w:val="20"/>
                <w:color w:val="auto"/>
              </w:rPr>
            </w:pPr>
            <w:r>
              <w:rPr>
                <w:rFonts w:ascii="Arial" w:cs="Arial" w:eastAsia="Arial" w:hAnsi="Arial"/>
                <w:sz w:val="18"/>
                <w:szCs w:val="18"/>
                <w:color w:val="auto"/>
              </w:rPr>
              <w:t>January 2, 2018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April 2, 2018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r>
      <w:tr>
        <w:trPr>
          <w:trHeight w:val="217"/>
        </w:trPr>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$ 0.99</w:t>
            </w:r>
          </w:p>
        </w:tc>
        <w:tc>
          <w:tcPr>
            <w:tcW w:w="100" w:type="dxa"/>
            <w:vAlign w:val="bottom"/>
          </w:tcPr>
          <w:p>
            <w:pPr>
              <w:spacing w:after="0"/>
              <w:rPr>
                <w:sz w:val="18"/>
                <w:szCs w:val="18"/>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84"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6"/>
          <w:szCs w:val="16"/>
          <w:color w:val="auto"/>
        </w:rPr>
        <w:t>On April 3, 2017, CSWC paid a regular dividend of $0.19 per share and a supplemental dividend of $0.26 per share.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On June 1, 2018, the Company’s Board of Directors declared a $0.29 dividend per share for the quarter ended June 30, 2018. The record date for the dividend is June 26, 2018. The payment date for the dividend is July 2, 2018.</w:t>
      </w:r>
    </w:p>
    <w:p>
      <w:pPr>
        <w:spacing w:after="0" w:line="1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The amounts and timing of cash dividend payments have generally been dictated by requirements of the Code regarding the distribution of taxable net investment income (ordinary income) of regulated investment companies.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generally intend to make distributions on a quarterly basis to our shareholders of substantially all of our taxable income. In order to avoid certain excise taxes imposed on RICs, we must distribute during each calendar year an amount at least equal to the sum of (1) 98% of our ordinary income for the calendar year, (2) 98.2% of our capital gains in excess of capital losses for the one year period ended each October 31, and (3) any ordinary income and net capital gains for the preceding year that were not distributed during that year. We will not be subject to excise taxes on amounts on which we are required to pay corporate income tax (such as retained net capital gains). In order to obtain the tax benefits applicable to RICs, we will be required to distribute to our shareholders with respect to each taxable year at least 90% of our ordinary income and realized net short-term capital gains in excess of realized net long-term capital losses. Depending on the level of taxable income earned in a tax year, we may choose to carry forward taxable income in excess of current year distributions into the next year and pay a 4% excise tax on such income. Any such carryover taxable income must be distributed through a dividend declared prior to filing the final tax return related to the year that generated such taxable income.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retain for investment realized net long-term capital gains in excess of realized net short-term capital losses. We may make deemed distributions to our shareholders of any retained net capital gains. If this happens, our shareholders will be treated as if they received an actual distribution of the capital gains we retain and then reinvested the net after-tax proceeds in our common stock. Our shareholders also may be eligible to claim a tax credit (or, in certain circumstances, a tax refund) equal to their allocable share of the tax we paid on the capital gains deemed distributed to them. Please refer to “Business —Material U.S. Federal Income Tax Considerations” included in Item 1 of Part I of this Annual Report for further information regarding the consequences of our retention of net capital gains. We may, in the future, make actual distributions to our shareholders of some or all realized net long-term capital gains in excess of realized net short-term capital losses. Our ability to make distributions in the future may be limited by our Credit Facility, the indenture and related supplements governing our December 2022 Notes and the 1940 Act. For a more detailed discussion, see “Business — Election to be Regulated as a Business Development Company – Regulation as a Business Development Company,” “Management’s Discussion and Analysis of Financial Condition and Results of Operations,” and “Note 5” to our consolidated financial statements included in this Annual Report on Form 10K.</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adopted a DRIP which provides for reinvestment of our distributions on behalf of our common shareholders if opted into by a common shareholder. See “Business — Dividend Reinvestment Plan” included in Item I of Part I of this Annual Report on Form 10-K.</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Shareholders who receive dividends in the form of stock generally are subject to the same federal, state and local tax consequences as are shareholders who elect to receive their dividends in cash. A shareholder’s basis for determining gain or loss upon the sale of stock received in a dividend from us will be equal to the total dollar amount of the dividend payable to the shareholder. Any stock received in a dividend will have a holding period for tax purposes commencing on the day following the day on which the shares are credited to the U.S. shareholder’s account.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for the year ended March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Dollar</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w:t>
            </w:r>
          </w:p>
        </w:tc>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as Part of</w:t>
            </w:r>
          </w:p>
        </w:tc>
        <w:tc>
          <w:tcPr>
            <w:tcW w:w="20" w:type="dxa"/>
            <w:vAlign w:val="bottom"/>
          </w:tcPr>
          <w:p>
            <w:pPr>
              <w:spacing w:after="0"/>
              <w:rPr>
                <w:sz w:val="12"/>
                <w:szCs w:val="12"/>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Publicly</w:t>
            </w:r>
          </w:p>
        </w:tc>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Announced</w:t>
            </w:r>
          </w:p>
        </w:tc>
        <w:tc>
          <w:tcPr>
            <w:tcW w:w="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Plans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or Programs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through January 31, 2018 (1)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February 1 through February 28, 2018</w:t>
            </w:r>
          </w:p>
        </w:tc>
        <w:tc>
          <w:tcPr>
            <w:tcW w:w="900" w:type="dxa"/>
            <w:vAlign w:val="bottom"/>
          </w:tcPr>
          <w:p>
            <w:pPr>
              <w:jc w:val="right"/>
              <w:spacing w:after="0"/>
              <w:rPr>
                <w:sz w:val="20"/>
                <w:szCs w:val="20"/>
                <w:color w:val="auto"/>
              </w:rPr>
            </w:pPr>
            <w:r>
              <w:rPr>
                <w:rFonts w:ascii="Arial" w:cs="Arial" w:eastAsia="Arial" w:hAnsi="Arial"/>
                <w:sz w:val="18"/>
                <w:szCs w:val="18"/>
                <w:color w:val="auto"/>
              </w:rPr>
              <w:t>35,911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9,412,228</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through March 31, 2018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9,412,228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shares of common stock withheld upon vesting of restricted stock to cover withholding tax obligations.</w:t>
      </w:r>
    </w:p>
    <w:p>
      <w:pPr>
        <w:spacing w:after="0" w:line="34" w:lineRule="exact"/>
        <w:rPr>
          <w:rFonts w:ascii="Arial" w:cs="Arial" w:eastAsia="Arial" w:hAnsi="Arial"/>
          <w:sz w:val="17"/>
          <w:szCs w:val="17"/>
          <w:color w:val="auto"/>
        </w:rPr>
      </w:pPr>
    </w:p>
    <w:p>
      <w:pPr>
        <w:jc w:val="both"/>
        <w:ind w:left="660" w:hanging="333"/>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January 25, 2016, we announced that our Board of Directors authorized us to repurchase an indeterminate number of shares of our common stock at an aggregate market value of up to $10 million. The repurchase program will be in effect until the approved dollar amount has been used to repurchase shares or the Board amends or discontinues the plan at any time.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compares our cumulative total shareholder return during the last six years (based on the market price of our common stock and assuming reinvestment of all dividends, prior to any tax effect) with the Nasdaq Composite Index, the Russell 2000 Total Return Index and the KBW Regional Bank Total Return Index. The graph assumes initial investment of $100 on March 31, 2013 and reinvestment of dividends. The value of the CSWI shares distributed in the spin-off is reflected in the cumulative total return as a reinvested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128905</wp:posOffset>
            </wp:positionV>
            <wp:extent cx="4330700" cy="3009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3070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 provides selected financial data relating to our historical financial condition and results of operations as of and for each of the years ended March 31, 2014 through 2018. This data should be read in conjunction with Item 7, “Management’s Discussion and Analysis of Financial Condition and Results of Operations” and the consolidated financial statements and related notes.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471"/>
              <w:spacing w:after="0"/>
              <w:rPr>
                <w:sz w:val="20"/>
                <w:szCs w:val="20"/>
                <w:color w:val="auto"/>
              </w:rPr>
            </w:pPr>
            <w:r>
              <w:rPr>
                <w:rFonts w:ascii="Arial" w:cs="Arial" w:eastAsia="Arial" w:hAnsi="Arial"/>
                <w:sz w:val="14"/>
                <w:szCs w:val="14"/>
                <w:b w:val="1"/>
                <w:bCs w:val="1"/>
                <w:color w:val="auto"/>
                <w:w w:val="93"/>
              </w:rPr>
              <w:t>Year ended March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statement data:</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22,324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Interest income from cash and cash equivalents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Fees and other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investment income</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35,126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23,474</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Compensation-related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General, administrative and other</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11,610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18,698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13,807</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16,428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16,233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7,888</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(10,687)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3,992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157,213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Control investments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164,264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21,492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(108,377)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gains on investments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23,074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15,586</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107,116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3"/>
              </w:rPr>
              <w:t>Net increase (decrease) in net assets resulting from operations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39,307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23,474</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112,010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 per share - basic and 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realized earnings per share - basic and diluted</w:t>
            </w:r>
            <w:r>
              <w:rPr>
                <w:rFonts w:ascii="Arial" w:cs="Arial" w:eastAsia="Arial" w:hAnsi="Arial"/>
                <w:sz w:val="8"/>
                <w:szCs w:val="8"/>
                <w:color w:val="auto"/>
              </w:rPr>
              <w:t>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Net increase (decrease) in net assets from operations - basic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Net asset value per common share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dividends/distributions declared per common share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16,074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15,877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6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7"/>
        <w:spacing w:after="0" w:line="226"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6"/>
          <w:szCs w:val="16"/>
          <w:color w:val="auto"/>
        </w:rPr>
        <w:t>“Net realized earnings per share – basic and diluted” is calculated as the sum of “Net investment income (loss)” and “Net realized gain (loss) on investments” divided by weighted average shares outstanding – basic and diluted.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rPr>
              <w:t>Year ended March 31,</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393,095</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286,880</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178,436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535,536</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677,920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95,969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225,797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88,163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escrow and other receivables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pension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10,294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10,962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417,490</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325,752</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284,493</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776,872</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778,694</w:t>
            </w:r>
          </w:p>
        </w:tc>
      </w:tr>
      <w:tr>
        <w:trPr>
          <w:trHeight w:val="203"/>
        </w:trPr>
        <w:tc>
          <w:tcPr>
            <w:tcW w:w="4000" w:type="dxa"/>
            <w:vAlign w:val="bottom"/>
          </w:tcPr>
          <w:p>
            <w:pPr>
              <w:spacing w:after="0" w:line="203" w:lineRule="exact"/>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55,305</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Credit facility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restoration plan liability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109,202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308,288</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285,072</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272,635</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767,418</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770,388</w:t>
            </w:r>
          </w:p>
        </w:tc>
      </w:tr>
      <w:tr>
        <w:trPr>
          <w:trHeight w:val="23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417,490</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325,752</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284,493</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776,872</w:t>
            </w:r>
          </w:p>
        </w:tc>
        <w:tc>
          <w:tcPr>
            <w:tcW w:w="2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778,694</w:t>
            </w:r>
          </w:p>
        </w:tc>
      </w:tr>
      <w:tr>
        <w:trPr>
          <w:trHeight w:val="203"/>
        </w:trPr>
        <w:tc>
          <w:tcPr>
            <w:tcW w:w="4000" w:type="dxa"/>
            <w:vAlign w:val="bottom"/>
          </w:tcPr>
          <w:p>
            <w:pPr>
              <w:spacing w:after="0" w:line="203" w:lineRule="exact"/>
              <w:rPr>
                <w:sz w:val="20"/>
                <w:szCs w:val="20"/>
                <w:color w:val="auto"/>
              </w:rPr>
            </w:pPr>
            <w:r>
              <w:rPr>
                <w:rFonts w:ascii="Arial" w:cs="Arial" w:eastAsia="Arial" w:hAnsi="Arial"/>
                <w:sz w:val="18"/>
                <w:szCs w:val="18"/>
                <w:b w:val="1"/>
                <w:bCs w:val="1"/>
                <w:color w:val="auto"/>
              </w:rPr>
              <w:t>Other data:</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w w:val="92"/>
              </w:rPr>
              <w:t>Weighted average yield on debt investments at end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period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11.46 %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10.28 %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10.67 %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3.14 %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yield on total investments at end of</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0.46 %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198"/>
        </w:trPr>
        <w:tc>
          <w:tcPr>
            <w:tcW w:w="4000" w:type="dxa"/>
            <w:vAlign w:val="bottom"/>
          </w:tcPr>
          <w:p>
            <w:pPr>
              <w:spacing w:after="0" w:line="198" w:lineRule="exact"/>
              <w:rPr>
                <w:sz w:val="20"/>
                <w:szCs w:val="20"/>
                <w:color w:val="auto"/>
              </w:rPr>
            </w:pPr>
            <w:r>
              <w:rPr>
                <w:rFonts w:ascii="Arial" w:cs="Arial" w:eastAsia="Arial" w:hAnsi="Arial"/>
                <w:sz w:val="18"/>
                <w:szCs w:val="18"/>
                <w:b w:val="1"/>
                <w:bCs w:val="1"/>
                <w:color w:val="auto"/>
              </w:rPr>
              <w:t>Expense ratios (as percentage of average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excluding 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the notes thereto included elsewhere in this Annual Report on Form 10-K. Statements we make in the following discussion which express a belief, expectation or intention, as well as those that are not historical fact, are forward-looking statements that are subject to risks, uncertainties and assumptions. Our actual results, performance or achievements, or industry results, could differ materially from those we express in the following discussion as a result of a variety of factors, including the risks and uncertainties we have referred to under the headings “Cautionary Statement Concerning Forward-Looking Statements” and “Risk Factors” in Part I of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are an internally managed closed-end, non-diversified management investment company that has been elected to be regulated as a BDC under the 1940 Act. We specialize in providing customized debt and equity financing to LMM companies and debt capital to UMM companies in a broad range of investment segments located primarily in the United States. Our investment objective is to produce attractive risk-adjusted returns by generating current income from our debt investments and capital appreciation from our equity and equity related investments. Our investment strategy is to partner with business owners, management teams and financial sponsors to provide flexible financing solutions to fund growth, changes of control, or other corporate events. We invest primarily in senior debt securities, secured by security interests in portfolio company assets, and in secured and unsecured subordinated debt securities. We also invest in equity interests in our portfolio companies alongside our debt securities.</w:t>
      </w:r>
    </w:p>
    <w:p>
      <w:pPr>
        <w:spacing w:after="0" w:line="16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We focus on investing in companies with histories of generating revenues and positive cash flow, established market positions and proven management teams with strong operating discipline. We target senior debt, subordinated debt, and equity investments in LMM companies, as well as first and second lien syndicated loans in UMM companies. Our target LMM companies typically have annual earnings before interest, taxes, depreciation and amortization (“EBITDA”) between $3.0 million and $15.0 million, and our LMM investments generally range in size from $5.0 million to $25.0 million. Our UMM investments generally include syndicated first and second lien loans in companies with EBITDA generally greater than $50.0 million, and our UMM investments typically range in size from $5.0 million to $15.0 million.</w:t>
      </w:r>
    </w:p>
    <w:p>
      <w:pPr>
        <w:spacing w:after="0" w:line="1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We seek to fill the financing gap for LMM companies, which, historically, have had more limited access to financing from commercial banks and other traditional sources. The underserved nature of the LMM creates the opportunity for us to meet the financing needs of LMM companies while also negotiating favorable transaction terms and equity participations. Our ability to invest across a LMM company’s capital structure, from secured loans to equity securities, allows us to offer portfolio companies a comprehensive suite of financing options. Providing customized financing solutions is important to LMM companies. We generally seek to partner directly with financial sponsors, entrepreneurs, management teams and business owners in making our investments. Our LMM debt investments typically include senior loans with a first lien on the assets of the portfolio company, as well as subordinated debt which may either be secured or unsecured subordinated loans. Our LMM debt investments typically have a term of between five and seven years from the original investment date. We also often seek to invest in the equity securities of our LMM portfolio companies.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investments in UMM companies primarily consist of direct investments in or secondary purchases of interest bearing debt securities in privately held companies that are generally larger in size than the LMM companies included in our portfolio. Our UMM debt investments are generally secured by either a first or second priority lien on the assets of the portfolio company and typically have an expected duration of between three and seven years from the original investment date.</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Since the Share Distribution on September 30, 2015 through March 31, 2018, our exited investments resulted in a weighted average internal rate of return to the Company of approximately 16.9% (based on original cash invested of approximately $119.4 million). Internal rate of return is the discount rate that makes the net present value of all cash flows related to a particular investment equal to zero. Internal rate of return is gross of expenses related to investments as these expenses are not allocable to specific investments. Investments are considered to be exited when the original investment objective has been achieved through the receipt of cash and/or non-cash consideration upon the repayment of a debt investment or sale of an investment or through the determination that no further consideration was collectible and, thus, a loss may have been realized. Approximately 78.9% of these exited investments resulted in an aggregate cash flow realized internal rate of return to the Company of 10% or greater.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Because we are internally managed, we do not pay any external investment advisory fees, but instead directly incur the operating costs associated with employing investment and portfolio management professionals. We believe that our internally managed structure provides us with a beneficial operating expense structure when compared to other publicly traded and privately held investment firms which are externally managed, and our internally managed structure allows us the opportunity to leverage our non-interest operating expenses as we grow our investment portfolio. For the years ended March 31, 2018 and 2017, the ratio of our annualized fourth quarter operating expenses, excluding interest expense, as a percentage of our quarterly average total assets was 3.36% and 4.54%,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preparation of our consolidated financial statements in accordance with U.S. GAAP requires management to make certain estimates and assumptions that affect the reported amounts of assets and liabilities at the date of the consolidated financial statements and the reported amounts of revenues and expenses for the periods covered by the consolidated financial statements. We have identified investment valuation and revenue recognition as our most critical accounting estimates. On an on-going basis, we evaluate our estimates, including those related to the matters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most significant determination inherent in the preparation of our consolidated financial statements is the valuation of our investment portfolio and the related amounts of unrealized appreciation and depreciation. As of March 31, 2018 and 2017, our investment portfolio at fair value represented approximately 94.2% and 88.0% of our total assets, respectively. We are required to report our investments at fair value. We follow the provisions of ASC 820. ASC 820 defines fair value, establishes a framework for measuring fair value, establishes a fair value hierarchy based on the quality of inputs used to measure fair value, and enhances disclosure requirements for fair value measurements. ASC 820 requires us to assume that the portfolio investment is to be sold in the principal market to independent market participants, which may be a hypothetical market. See Note 4 — “Fair Value Measurements” in the notes to consolidated financial statements for a detailed discussion of our investment portfolio valuation process and procedures.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Due to the inherent uncertainty in the valuation process, our determination of fair value for our investment portfolio may differ materially from the values that would have been determined had a ready market for the securities actually existed. In addition, changes in the market environment, portfolio company performance, and other events may occur over the lives of the investments that may cause the gains or losses ultimately realized on these investments to be materially different than the valuations currently assigned. We determine the fair value of each individual investment and record changes in fair value as unrealized appreciation or depreciation.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is responsible for determining, in good faith, the fair value for our investment portfolio and our valuation procedures, consistent with 1940 Act requirements. Our Board of Directors believes that our investment portfolio as of March 31, 2018 and 2017 reflects fair value as of those dates based on the markets in which we operate and other conditions in existence on those reporting dates.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Interest and dividend income is recorded on an accrual basis to the extent amounts are expected to be collected. Dividend income is recognized on the date dividends are declared by the portfolio company or at the point an obligation exists for the portfolio company to make a distribution. Discounts/premiums received to par on loans purchased are capitalized and accreted or amortized into income over the life of the loan. In accordance with our valuation policy, accrued interest and dividend income is evaluated periodically for collectability.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 If a loan or debt security’s status significantly improves regarding ability to service debt or other obligations, it will be restored to accrual basis. As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March 31, 2018 and March 31, 2017, we did not have any investments on non-accrual status or past due its contractual payment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on the balance sheet a right-of-use asset, representing its right to use the underlying asset for the lease term, and a lease liability for all leases with terms greater than 12 months. The guidance also requires qualitative and quantitative disclosures designed to assess the amount, timing, and uncertainty of cash flows arising from leases. The standard requires the use of a modified retrospective transition approach, which includes a number of optional practical expedients that entities may elect to apply. The new guidance is effective for annual periods beginning after December 15, 2018, and interim periods therein. Early application is permitted. While we continue to assess the effect of adoption, we currently believe the single change relates to the recognition of a new right-of-use asset and lease liability on our consolidated balance sheet for our office space operating lease. We currently have one operating lease for office space and do not expect a significant change in our leasing activity between now and adoption. See further discussion of our operating lease obligation in "Note 12 — Commitments and Contingences" in the notes to the consolidated financial statements.</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supersedes the revenue recognition requirements under SAC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most industry-specific guidance throughout the Industry Topics of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Under the new guidance, an entity is required to perform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guidance will significantly enhance comparability of revenue recognition practices across entities, industries, jurisdictions and capital markets. Additionally, the guidance requires improved disclosures as to the nature, amount, timing and uncertainty of revenue that is recognized. In May 2016, the FASB issued ASU No. 2016-12,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606)—Narrow-Scope Improvements and Practical Expedients</w:t>
      </w:r>
      <w:r>
        <w:rPr>
          <w:rFonts w:ascii="Arial" w:cs="Arial" w:eastAsia="Arial" w:hAnsi="Arial"/>
          <w:sz w:val="17"/>
          <w:szCs w:val="17"/>
          <w:color w:val="auto"/>
        </w:rPr>
        <w:t>. This ASU clarified guidance on assessing</w:t>
      </w:r>
      <w:r>
        <w:rPr>
          <w:rFonts w:ascii="Arial" w:cs="Arial" w:eastAsia="Arial" w:hAnsi="Arial"/>
          <w:sz w:val="17"/>
          <w:szCs w:val="17"/>
          <w:i w:val="1"/>
          <w:iCs w:val="1"/>
          <w:color w:val="auto"/>
        </w:rPr>
        <w:t xml:space="preserve"> </w:t>
      </w:r>
      <w:r>
        <w:rPr>
          <w:rFonts w:ascii="Arial" w:cs="Arial" w:eastAsia="Arial" w:hAnsi="Arial"/>
          <w:sz w:val="17"/>
          <w:szCs w:val="17"/>
          <w:color w:val="auto"/>
        </w:rPr>
        <w:t>collectability, presenting sales tax, measuring noncash consideration, and certain transition matters. The new guidance is effective for the annual reporting period beginning after December 15, 2017, including interim periods within that reporting period. CSWC is still completing its assessment; however, in evaluating the potential impact on its consolidated financial statements, the Company determined that its material financial contracts are excluded from the scope of ASU 2014-09. As a result of the scope exception for financial contracts, the Company's management has determined that there will be no material changes to the recognition timing and classification of revenues and expenses; additionally, the adoption of ASU 2014-09 will not have a significant impact to pretax income upon adoption or on the consolidated financial statement disclosures.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which is intended to reduce the existing diversity in practice in how certain cash receipts and cash payments are presented and classified in the statement of cash flows. The guidance is effective for annual periods beginning after December 15, 2017, and interim periods therein. The adoption of this new accounting standard will not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LMM investments consist of secured debt, subordinated debt, equity warrants and direct equity investments in privately held, LMM companies based in the United States. Our LMM portfolio companies generally have annual EBITDA between $3.0 million and $15.0 million, and our LMM investments typically range in size from $5.0 million to $25.0 million. The LMM debt investments are typically secured by either a first or second priority lien on the assets of the portfolio company, generally bear interest at floating rates, and generally have a term of between five and seven years from the original investment date.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UMM investments consist of direct investments in or secondary purchases of interest-bearing debt securities in privately held companies based in the United States that are generally larger in size than the LMM companies included in our portfolio with EBITDA generally greater than $50.0 million. Our UMM investments typically range in size from $5.0 million to $15.0 million. Our UMM debt investments are generally secured by ether a first or second priority lien 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of the portfolio company and typically have a term of between three and seven years from the original investment date.</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total value of our investment portfolio was $393.1 million as of March 31, 2018, as compared to $286.9 million as of March 31, 2017. As of March 31, 2018, we had investments in 30 portfolio companies with an aggregate cost of $335.4 million. As of March 31, 2017, we had investments in 28 portfolio companies with an aggregate cost of $250.5 million.</w:t>
      </w:r>
    </w:p>
    <w:p>
      <w:pPr>
        <w:jc w:val="both"/>
        <w:ind w:firstLine="648"/>
        <w:spacing w:after="0" w:line="253" w:lineRule="auto"/>
        <w:rPr>
          <w:sz w:val="20"/>
          <w:szCs w:val="20"/>
          <w:color w:val="auto"/>
        </w:rPr>
      </w:pPr>
      <w:r>
        <w:rPr>
          <w:rFonts w:ascii="Arial" w:cs="Arial" w:eastAsia="Arial" w:hAnsi="Arial"/>
          <w:sz w:val="18"/>
          <w:szCs w:val="18"/>
          <w:color w:val="auto"/>
        </w:rPr>
        <w:t>As of March 31, 2018 and 2017, approximately $220.3 million, or 92.1%, and $155.0 million, or 92.6%, respectively, of our debt investment portfolio (at fair value) bore interest at floating rates, of which 94.2% and 100%, respectively were subject to contractual minimum interest rates. As of March 31, 2018 and 2017, approximately $18.8 million, or 7.9%, and $12.4 million, or 7.4%, respectively, of our debt investment portfolio (at fair value) bore interest at fixed rates.</w:t>
      </w:r>
    </w:p>
    <w:p>
      <w:pPr>
        <w:spacing w:after="0" w:line="17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following tables provide a summary of our investments in LMM and UMM companies as of March 31, 2018 and 2017 (excluding our investment in I-45 SLF LLC):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As of March 31, 2018</w:t>
            </w:r>
          </w:p>
        </w:tc>
      </w:tr>
      <w:tr>
        <w:trPr>
          <w:trHeight w:val="142"/>
        </w:trPr>
        <w:tc>
          <w:tcPr>
            <w:tcW w:w="2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LMM (a)</w:t>
            </w: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UMM</w:t>
            </w:r>
          </w:p>
        </w:tc>
      </w:tr>
      <w:tr>
        <w:trPr>
          <w:trHeight w:val="196"/>
        </w:trPr>
        <w:tc>
          <w:tcPr>
            <w:tcW w:w="2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(dollars in thousands)</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259,116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66,866</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204,331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66,266</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 of portfolio at cost - debt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portfolio at cost - equity</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 of debt investments at cost secured by first lien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74.2%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annual effective yield (b)(c)</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Weighted average EBITDA (c)</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8,600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86,200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leverage through CSWC security (c)(d)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3.3x</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4.3x</w:t>
            </w:r>
          </w:p>
        </w:tc>
      </w:tr>
      <w:tr>
        <w:trPr>
          <w:trHeight w:val="108"/>
        </w:trPr>
        <w:tc>
          <w:tcPr>
            <w:tcW w:w="226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77" w:lineRule="exact"/>
        <w:rPr>
          <w:sz w:val="20"/>
          <w:szCs w:val="20"/>
          <w:color w:val="auto"/>
        </w:rPr>
      </w:pPr>
    </w:p>
    <w:p>
      <w:pPr>
        <w:ind w:left="320" w:hanging="317"/>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March 31, 2018, we had equity ownership in approximately 73.7% of our LMM investments.</w:t>
      </w:r>
    </w:p>
    <w:p>
      <w:pPr>
        <w:jc w:val="both"/>
        <w:ind w:left="320" w:hanging="317"/>
        <w:spacing w:after="0" w:line="211"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weighted-average annual effective yields were computed using the effective interest rates for all debt investments at cost as of March 31, 2018, including accretion of original issue discount but excluding fees payable upon repayment of the debt instruments and any debt investments on non-accrual status. As of March 31, 2018, there were no investments on non-accrual status. Weighted-average annual effective yield is higher than what an investor in shares in our common stock will realize on its investment because it does not reflect our expenses or any sales load paid by an investor.</w:t>
      </w:r>
    </w:p>
    <w:p>
      <w:pPr>
        <w:spacing w:after="0" w:line="1" w:lineRule="exact"/>
        <w:rPr>
          <w:rFonts w:ascii="Arial" w:cs="Arial" w:eastAsia="Arial" w:hAnsi="Arial"/>
          <w:sz w:val="16"/>
          <w:szCs w:val="16"/>
          <w:color w:val="auto"/>
        </w:rPr>
      </w:pPr>
    </w:p>
    <w:p>
      <w:pPr>
        <w:ind w:left="320" w:hanging="317"/>
        <w:spacing w:after="0" w:line="211"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Weighted average metrics are calculated using investment cost basis weighting.</w:t>
      </w:r>
    </w:p>
    <w:p>
      <w:pPr>
        <w:jc w:val="both"/>
        <w:ind w:left="320" w:hanging="317"/>
        <w:spacing w:after="0" w:line="221"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CSWC debt investments only. Calculated as the amount of each portfolio company’s debt (including CSWC’s position and debt senior or pari passu to CSWC’s position, but excluding debt subordinated to CSWC’s position) in the capital structure divided by each portfolio company’s adjusted EBITDA. Management uses this metric as a guide to evaluate the relative risk of its position in each portfolio debt investment.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As of March 31, 2017</w:t>
            </w:r>
          </w:p>
        </w:tc>
      </w:tr>
      <w:tr>
        <w:trPr>
          <w:trHeight w:val="142"/>
        </w:trPr>
        <w:tc>
          <w:tcPr>
            <w:tcW w:w="22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LMM (a)</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UMM</w:t>
            </w:r>
          </w:p>
        </w:tc>
      </w:tr>
      <w:tr>
        <w:trPr>
          <w:trHeight w:val="196"/>
        </w:trPr>
        <w:tc>
          <w:tcPr>
            <w:tcW w:w="2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(dollars in thousands)</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portfolio companies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126,305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97,180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93,822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95,918</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 of portfolio at cost - debt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portfolio at cost - equity</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 of debt investments at cost secured by first lien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annual effective yield (b)(c)</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Weighted average EBITDA (c)</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7,400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101,300</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leverage through CSWC security (c)(d)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3.1x</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4.0x</w:t>
            </w:r>
          </w:p>
        </w:tc>
      </w:tr>
      <w:tr>
        <w:trPr>
          <w:trHeight w:val="108"/>
        </w:trPr>
        <w:tc>
          <w:tcPr>
            <w:tcW w:w="2260" w:type="dxa"/>
            <w:vAlign w:val="bottom"/>
            <w:tcBorders>
              <w:bottom w:val="single" w:sz="8" w:color="auto"/>
            </w:tcBorders>
          </w:tcPr>
          <w:p>
            <w:pPr>
              <w:spacing w:after="0"/>
              <w:rPr>
                <w:sz w:val="9"/>
                <w:szCs w:val="9"/>
                <w:color w:val="auto"/>
              </w:rPr>
            </w:pPr>
          </w:p>
        </w:tc>
        <w:tc>
          <w:tcPr>
            <w:tcW w:w="3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158"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March 31, 2017, we had equity ownership in approximately 70.0% of our LMM investments.</w:t>
      </w:r>
    </w:p>
    <w:p>
      <w:pPr>
        <w:jc w:val="both"/>
        <w:ind w:left="320" w:hanging="317"/>
        <w:spacing w:after="0" w:line="211"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weighted-average annual effective yields were computed using the effective interest rates for all debt investments at cost as of March 31, 2017, including accretion of original issue discount but excluding fees payable upon repayment of the debt instruments and any debt investments on non-accrual status. As of March 31, 2017, there were no investments on non-accrual status. Weighted-average annual effective yield is higher than what an investor in shares in our common stock will realize on its investment because it does not reflect our expenses or any sales load paid by an investor.</w:t>
      </w:r>
    </w:p>
    <w:p>
      <w:pPr>
        <w:spacing w:after="0" w:line="1" w:lineRule="exact"/>
        <w:rPr>
          <w:rFonts w:ascii="Arial" w:cs="Arial" w:eastAsia="Arial" w:hAnsi="Arial"/>
          <w:sz w:val="16"/>
          <w:szCs w:val="16"/>
          <w:color w:val="auto"/>
        </w:rPr>
      </w:pPr>
    </w:p>
    <w:p>
      <w:pPr>
        <w:ind w:left="320" w:hanging="317"/>
        <w:spacing w:after="0" w:line="211"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Weighted average metrics are calculated using investment cost basis weighting.</w:t>
      </w:r>
    </w:p>
    <w:p>
      <w:pPr>
        <w:jc w:val="both"/>
        <w:ind w:left="320" w:hanging="317"/>
        <w:spacing w:after="0" w:line="221"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CSWC debt investments only. Calculated as the amount of each portfolio company’s debt (including CSWC’s position and debt senior or pari passu to CSWC’s position, but excluding debt subordinated to CSWC’s position) in the capital structure divided by each portfolio company’s adjusted EBITDA. Management uses this metric as a guide to evaluate the relative risk of its position in each portfolio debt investment.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2018 and March 31, 2017, our investment portfolio consisted of the following investments: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285"/>
              <w:spacing w:after="0"/>
              <w:rPr>
                <w:sz w:val="20"/>
                <w:szCs w:val="20"/>
                <w:color w:val="auto"/>
              </w:rPr>
            </w:pPr>
            <w:r>
              <w:rPr>
                <w:rFonts w:ascii="Arial" w:cs="Arial" w:eastAsia="Arial" w:hAnsi="Arial"/>
                <w:sz w:val="16"/>
                <w:szCs w:val="16"/>
                <w:b w:val="1"/>
                <w:bCs w:val="1"/>
                <w:color w:val="auto"/>
                <w:w w:val="88"/>
              </w:rPr>
              <w:t>Percentage of</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10"/>
              <w:spacing w:after="0"/>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285"/>
              <w:spacing w:after="0"/>
              <w:rPr>
                <w:sz w:val="20"/>
                <w:szCs w:val="20"/>
                <w:color w:val="auto"/>
              </w:rPr>
            </w:pPr>
            <w:r>
              <w:rPr>
                <w:rFonts w:ascii="Arial" w:cs="Arial" w:eastAsia="Arial" w:hAnsi="Arial"/>
                <w:sz w:val="16"/>
                <w:szCs w:val="16"/>
                <w:b w:val="1"/>
                <w:bCs w:val="1"/>
                <w:color w:val="auto"/>
                <w:w w:val="94"/>
              </w:rPr>
              <w:t>Total Portfolio</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Total Portfolio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Fair Value</w:t>
            </w:r>
          </w:p>
        </w:tc>
        <w:tc>
          <w:tcPr>
            <w:tcW w:w="1380" w:type="dxa"/>
            <w:vAlign w:val="bottom"/>
            <w:gridSpan w:val="3"/>
          </w:tcPr>
          <w:p>
            <w:pPr>
              <w:jc w:val="center"/>
              <w:ind w:right="285"/>
              <w:spacing w:after="0"/>
              <w:rPr>
                <w:sz w:val="20"/>
                <w:szCs w:val="20"/>
                <w:color w:val="auto"/>
              </w:rPr>
            </w:pPr>
            <w:r>
              <w:rPr>
                <w:rFonts w:ascii="Arial" w:cs="Arial" w:eastAsia="Arial" w:hAnsi="Arial"/>
                <w:sz w:val="16"/>
                <w:szCs w:val="16"/>
                <w:b w:val="1"/>
                <w:bCs w:val="1"/>
                <w:color w:val="auto"/>
                <w:w w:val="94"/>
              </w:rPr>
              <w:t>at Fair Value</w:t>
            </w: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2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88"/>
              </w:rPr>
              <w:t>at Cost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ind w:left="460"/>
              <w:spacing w:after="0" w:line="145" w:lineRule="exact"/>
              <w:rPr>
                <w:sz w:val="20"/>
                <w:szCs w:val="20"/>
                <w:color w:val="auto"/>
              </w:rPr>
            </w:pPr>
            <w:r>
              <w:rPr>
                <w:rFonts w:ascii="Arial" w:cs="Arial" w:eastAsia="Arial" w:hAnsi="Arial"/>
                <w:sz w:val="14"/>
                <w:szCs w:val="14"/>
                <w:b w:val="1"/>
                <w:bCs w:val="1"/>
                <w:color w:val="auto"/>
              </w:rPr>
              <w:t>(dollars in thousands)</w:t>
            </w: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First lien loans</w:t>
            </w:r>
            <w:r>
              <w:rPr>
                <w:rFonts w:ascii="Arial" w:cs="Arial" w:eastAsia="Arial" w:hAnsi="Arial"/>
                <w:sz w:val="8"/>
                <w:szCs w:val="8"/>
                <w:color w:val="auto"/>
              </w:rPr>
              <w:t>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197,110</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50.1 % $</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194,820</w:t>
            </w:r>
          </w:p>
        </w:tc>
        <w:tc>
          <w:tcPr>
            <w:tcW w:w="2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Second lien loans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Subordinated debt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18,783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18,885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Common equity &amp; warrants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50,315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17,134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2</w:t>
            </w:r>
          </w:p>
        </w:tc>
        <w:tc>
          <w:tcPr>
            <w:tcW w:w="2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67,113</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393,095</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335,397</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b w:val="1"/>
                <w:bCs w:val="1"/>
                <w:color w:val="auto"/>
              </w:rPr>
              <w:t>March 31, 2017</w:t>
            </w:r>
            <w:r>
              <w:rPr>
                <w:rFonts w:ascii="Arial" w:cs="Arial" w:eastAsia="Arial" w:hAnsi="Arial"/>
                <w:sz w:val="8"/>
                <w:szCs w:val="8"/>
                <w:b w:val="1"/>
                <w:bCs w:val="1"/>
                <w:color w:val="auto"/>
              </w:rPr>
              <w:t>3</w:t>
            </w:r>
            <w:r>
              <w:rPr>
                <w:rFonts w:ascii="Arial" w:cs="Arial" w:eastAsia="Arial" w:hAnsi="Arial"/>
                <w:sz w:val="18"/>
                <w:szCs w:val="18"/>
                <w:b w:val="1"/>
                <w:bCs w:val="1"/>
                <w:color w:val="auto"/>
              </w:rPr>
              <w: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First lien loans</w:t>
            </w:r>
            <w:r>
              <w:rPr>
                <w:rFonts w:ascii="Arial" w:cs="Arial" w:eastAsia="Arial" w:hAnsi="Arial"/>
                <w:sz w:val="8"/>
                <w:szCs w:val="8"/>
                <w:color w:val="auto"/>
              </w:rPr>
              <w:t>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107,817</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106,799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Second lien loans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47,176</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46,856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Preferred equity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19,343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15,782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Common equity &amp; warrants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2</w:t>
            </w: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63,395</w:t>
            </w: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286,880</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250,540</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4"/>
          <w:szCs w:val="14"/>
          <w:color w:val="auto"/>
        </w:rPr>
        <w:t>Included in first lien loans are loans structured as first lien last out loans. These loans may in certain cases be subordinated in payment</w:t>
      </w:r>
    </w:p>
    <w:p>
      <w:pPr>
        <w:ind w:left="320"/>
        <w:spacing w:after="0" w:line="209" w:lineRule="auto"/>
        <w:rPr>
          <w:sz w:val="20"/>
          <w:szCs w:val="20"/>
          <w:color w:val="auto"/>
        </w:rPr>
      </w:pPr>
      <w:r>
        <w:rPr>
          <w:rFonts w:ascii="Arial" w:cs="Arial" w:eastAsia="Arial" w:hAnsi="Arial"/>
          <w:sz w:val="16"/>
          <w:szCs w:val="16"/>
          <w:color w:val="auto"/>
        </w:rPr>
        <w:t>priority to other senior secured lenders. As of March 31, 2018 and 2017, the fair value of the first lien last out loans are $26.9 million and $21.8 million, respectively.</w:t>
      </w:r>
    </w:p>
    <w:p>
      <w:pPr>
        <w:spacing w:after="0" w:line="1" w:lineRule="exact"/>
        <w:rPr>
          <w:sz w:val="20"/>
          <w:szCs w:val="20"/>
          <w:color w:val="auto"/>
        </w:rPr>
      </w:pPr>
    </w:p>
    <w:p>
      <w:pPr>
        <w:jc w:val="both"/>
        <w:ind w:left="320" w:hanging="317"/>
        <w:spacing w:after="0" w:line="228"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5"/>
          <w:szCs w:val="15"/>
          <w:color w:val="auto"/>
        </w:rPr>
        <w:t>I-45 SLF LLC is a joint venture between CSWC and Main Street Capital. This entity primarily invests in syndicated senior secured loans in the UMM. The I-45 SLF LLC portfolio consists of 93.7% first lien loans and 6.3% second lien loans. The portfolio companies held by I-45 SLF LLC represent a diverse set of industry classifications similar to those in which CSWC invests directly. We own 80% of I-45 SLF LLC and have a profits interest of 75.6%, while Main Street Capital owns 20% and has a profits interest of 24.4%. I-45 SLF LLC’s Board of Managers makes all investment and operational decisions for the fund, and consists of equal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spacing w:after="0" w:line="218" w:lineRule="auto"/>
        <w:rPr>
          <w:sz w:val="20"/>
          <w:szCs w:val="20"/>
          <w:color w:val="auto"/>
        </w:rPr>
      </w:pPr>
      <w:r>
        <w:rPr>
          <w:rFonts w:ascii="Arial" w:cs="Arial" w:eastAsia="Arial" w:hAnsi="Arial"/>
          <w:sz w:val="16"/>
          <w:szCs w:val="16"/>
          <w:color w:val="auto"/>
        </w:rPr>
        <w:t>representation from our Company and Main Street Capital. The Company does not guarantee or otherwise obligate itself to make payments on debts owed by I-45 SLF LLC.</w:t>
      </w:r>
    </w:p>
    <w:p>
      <w:pPr>
        <w:ind w:left="320" w:hanging="317"/>
        <w:spacing w:after="0" w:line="227"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6"/>
          <w:szCs w:val="16"/>
          <w:color w:val="auto"/>
        </w:rPr>
        <w:t>Presentation of the March 31, 2017 disclosure is updated to conform to current period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Asset Quality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utilize an internally developed investment rating system to rate the performance and monitor the expected level of returns for each debt investment in our portfolio. The investment rating system takes into account both quantitative and qualitative factors of the portfolio company and the investments held therein, including each investment’s expected level of returns and the collectability of our debt investments, comparisons to competitors and other industry participants and the portfolio company’s future outlook. The ratings are not intended to reflect the performance or expected level of returns of our equity investments.</w:t>
      </w:r>
    </w:p>
    <w:p>
      <w:pPr>
        <w:spacing w:after="0" w:line="193" w:lineRule="exact"/>
        <w:rPr>
          <w:sz w:val="20"/>
          <w:szCs w:val="20"/>
          <w:color w:val="auto"/>
        </w:rPr>
      </w:pPr>
    </w:p>
    <w:p>
      <w:pPr>
        <w:ind w:left="660" w:hanging="333"/>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1 represents the least amount of risk in our portfolio. The investment is performing materially above underwriting expectations and the trends and risk factors are generally favorable.</w:t>
      </w:r>
    </w:p>
    <w:p>
      <w:pPr>
        <w:spacing w:after="0" w:line="129"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2 indicates the investment is performing as expected at the time of underwriting and the trends and risk factors are generally favorable to neutral.</w:t>
      </w:r>
    </w:p>
    <w:p>
      <w:pPr>
        <w:spacing w:after="0" w:line="129"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Investment Rating 3 involves an investment performing below underwriting expectations and the trends and risk factors are generally neutral to negative. The portfolio company or investment may be out of compliance with financial covenants and interest payments may be impaired, however principal payments are generally not past due.</w:t>
      </w:r>
    </w:p>
    <w:p>
      <w:pPr>
        <w:spacing w:after="0" w:line="106" w:lineRule="exact"/>
        <w:rPr>
          <w:rFonts w:ascii="Arial" w:cs="Arial" w:eastAsia="Arial" w:hAnsi="Arial"/>
          <w:sz w:val="16"/>
          <w:szCs w:val="16"/>
          <w:color w:val="auto"/>
        </w:rPr>
      </w:pPr>
    </w:p>
    <w:p>
      <w:pPr>
        <w:jc w:val="both"/>
        <w:ind w:left="660" w:hanging="333"/>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Rating 4 indicates that the investment is performing materially below underwriting expectations, the trends and risk factors are generally negative and the risk of the investment has increased substantially. Interest and principal payments on our investment are likely to be impaired.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the distribution of our debt portfolio investments on the 1 to 4 investment rating scale at fair value as of March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 March 31, 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Debt</w:t>
            </w:r>
          </w:p>
        </w:tc>
        <w:tc>
          <w:tcPr>
            <w:tcW w:w="1100" w:type="dxa"/>
            <w:vAlign w:val="bottom"/>
            <w:gridSpan w:val="2"/>
            <w:vMerge w:val="restart"/>
          </w:tcPr>
          <w:p>
            <w:pPr>
              <w:jc w:val="center"/>
              <w:ind w:right="11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22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Debt Portfolio</w:t>
            </w:r>
          </w:p>
        </w:tc>
        <w:tc>
          <w:tcPr>
            <w:tcW w:w="0" w:type="dxa"/>
            <w:vAlign w:val="bottom"/>
          </w:tcPr>
          <w:p>
            <w:pPr>
              <w:spacing w:after="0"/>
              <w:rPr>
                <w:sz w:val="1"/>
                <w:szCs w:val="1"/>
                <w:color w:val="auto"/>
              </w:rPr>
            </w:pPr>
          </w:p>
        </w:tc>
      </w:tr>
      <w:tr>
        <w:trPr>
          <w:trHeight w:val="142"/>
        </w:trPr>
        <w:tc>
          <w:tcPr>
            <w:tcW w:w="6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6353"/>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6640" w:type="dxa"/>
            <w:vAlign w:val="bottom"/>
          </w:tcPr>
          <w:p>
            <w:pPr>
              <w:jc w:val="right"/>
              <w:ind w:right="6353"/>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217,989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6353"/>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jc w:val="right"/>
              <w:ind w:right="635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239,122</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78"/>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 March 31, 2017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Debt</w:t>
            </w:r>
          </w:p>
        </w:tc>
        <w:tc>
          <w:tcPr>
            <w:tcW w:w="1100" w:type="dxa"/>
            <w:vAlign w:val="bottom"/>
            <w:gridSpan w:val="2"/>
            <w:vMerge w:val="restart"/>
          </w:tcPr>
          <w:p>
            <w:pPr>
              <w:jc w:val="center"/>
              <w:ind w:right="11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Investment Rating</w:t>
            </w:r>
          </w:p>
        </w:tc>
        <w:tc>
          <w:tcPr>
            <w:tcW w:w="22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Debt Portfolio</w:t>
            </w:r>
          </w:p>
        </w:tc>
        <w:tc>
          <w:tcPr>
            <w:tcW w:w="0" w:type="dxa"/>
            <w:vAlign w:val="bottom"/>
          </w:tcPr>
          <w:p>
            <w:pPr>
              <w:spacing w:after="0"/>
              <w:rPr>
                <w:sz w:val="1"/>
                <w:szCs w:val="1"/>
                <w:color w:val="auto"/>
              </w:rPr>
            </w:pPr>
          </w:p>
        </w:tc>
      </w:tr>
      <w:tr>
        <w:trPr>
          <w:trHeight w:val="142"/>
        </w:trPr>
        <w:tc>
          <w:tcPr>
            <w:tcW w:w="6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6353"/>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6640" w:type="dxa"/>
            <w:vAlign w:val="bottom"/>
          </w:tcPr>
          <w:p>
            <w:pPr>
              <w:jc w:val="right"/>
              <w:ind w:right="6353"/>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155,276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jc w:val="right"/>
              <w:ind w:right="6353"/>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jc w:val="right"/>
              <w:ind w:right="635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167,449</w:t>
            </w: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and dividend income is recorded on an accrual basis to the extent amounts are expected to be collected.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2018 and 2017, we did not have any investments on non-accrual status or past due its contractual payment obligation.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Activity</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March 31, 2018, we made new debt investments in 14 portfolio companies totaling $142.9 million, follow-on debt investments in four portfolio companies totaling $9.4 million, and equity investments in one existing and seven new portfolio companies totaling $9.8 million. We also funded $4.0 million on our existing equity commitment to I-45 SLF LLC. We received partial repayments totaling approximately $11.7 million and full prepayments of approximately $72.2 million from 13 portfolio companies.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year ended March 31, 2017, we made new debt investments in 15 portfolio companies totaling $117.9 million, follow-on debt investments in two portfolio companies totaling $1.1 million, and equity investments in three new portfolio companies totaling $2.8 million. We also funded $24.0 million on our existing equity commitment to I-45 SLF LLC. We received proceeds from sales and repayments of debt investments in portfolio companies of $45.8 million. In addition, we received proceeds from sales and return of capital of equity investments in portfolio companies totaling $7.7 million and recognized net realized gains on those sales totaling $7.2 million in the year ended March 31, 2017.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portfolio investment activity for the years ended March 31, 2018 and 2017 was as follows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ind w:left="80"/>
              <w:spacing w:after="0"/>
              <w:rPr>
                <w:sz w:val="20"/>
                <w:szCs w:val="20"/>
                <w:color w:val="auto"/>
              </w:rPr>
            </w:pPr>
            <w:r>
              <w:rPr>
                <w:rFonts w:ascii="Arial" w:cs="Arial" w:eastAsia="Arial" w:hAnsi="Arial"/>
                <w:sz w:val="14"/>
                <w:szCs w:val="14"/>
                <w:b w:val="1"/>
                <w:bCs w:val="1"/>
                <w:color w:val="auto"/>
              </w:rPr>
              <w:t>Preferred &amp;</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First Lien</w:t>
            </w:r>
          </w:p>
        </w:tc>
        <w:tc>
          <w:tcPr>
            <w:tcW w:w="9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8"/>
              </w:rPr>
              <w:t>Second Lien</w:t>
            </w: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9"/>
              </w:rPr>
              <w:t>Subordinated</w:t>
            </w:r>
          </w:p>
        </w:tc>
        <w:tc>
          <w:tcPr>
            <w:tcW w:w="8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9"/>
              </w:rPr>
              <w:t>I-45 SLF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Year ended March 31, 2018</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rPr>
              <w:t>&amp;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$107,817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56,039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$63,395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$286,880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New investments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128,189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9,765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9,821</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166,181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Principal repayments received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(34,179)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(83,966)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PIK interest earned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Accretion of loan discounts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Realized gain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Unrealized gain (loss)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20,705</w:t>
            </w:r>
          </w:p>
        </w:tc>
        <w:tc>
          <w:tcPr>
            <w:tcW w:w="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21,359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197,110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86,860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67,113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393,095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line="176" w:lineRule="exact"/>
              <w:rPr>
                <w:sz w:val="20"/>
                <w:szCs w:val="20"/>
                <w:color w:val="auto"/>
              </w:rPr>
            </w:pPr>
            <w:r>
              <w:rPr>
                <w:rFonts w:ascii="Arial" w:cs="Arial" w:eastAsia="Arial" w:hAnsi="Arial"/>
                <w:sz w:val="18"/>
                <w:szCs w:val="18"/>
                <w:color w:val="auto"/>
                <w:w w:val="93"/>
              </w:rPr>
              <w:t>Weighted average yield on debt investments at</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11.46 %</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end of period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Weighted average yield on total investments at</w:t>
            </w: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5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10.48 %</w:t>
            </w:r>
          </w:p>
        </w:tc>
        <w:tc>
          <w:tcPr>
            <w:tcW w:w="0" w:type="dxa"/>
            <w:vAlign w:val="bottom"/>
          </w:tcPr>
          <w:p>
            <w:pPr>
              <w:spacing w:after="0"/>
              <w:rPr>
                <w:sz w:val="1"/>
                <w:szCs w:val="1"/>
                <w:color w:val="auto"/>
              </w:rPr>
            </w:pPr>
          </w:p>
        </w:tc>
      </w:tr>
      <w:tr>
        <w:trPr>
          <w:trHeight w:val="237"/>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5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gridSpan w:val="4"/>
          </w:tcPr>
          <w:p>
            <w:pPr>
              <w:ind w:left="80"/>
              <w:spacing w:after="0"/>
              <w:rPr>
                <w:sz w:val="20"/>
                <w:szCs w:val="20"/>
                <w:color w:val="auto"/>
              </w:rPr>
            </w:pPr>
            <w:r>
              <w:rPr>
                <w:rFonts w:ascii="Arial" w:cs="Arial" w:eastAsia="Arial" w:hAnsi="Arial"/>
                <w:sz w:val="14"/>
                <w:szCs w:val="14"/>
                <w:b w:val="1"/>
                <w:bCs w:val="1"/>
                <w:color w:val="auto"/>
              </w:rPr>
              <w:t>Preferred &amp;</w:t>
            </w:r>
          </w:p>
        </w:tc>
        <w:tc>
          <w:tcPr>
            <w:tcW w:w="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First Lien</w:t>
            </w:r>
          </w:p>
        </w:tc>
        <w:tc>
          <w:tcPr>
            <w:tcW w:w="9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8"/>
              </w:rPr>
              <w:t>Second Lien</w:t>
            </w: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9"/>
              </w:rPr>
              <w:t>Subordinated</w:t>
            </w:r>
          </w:p>
        </w:tc>
        <w:tc>
          <w:tcPr>
            <w:tcW w:w="8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9"/>
              </w:rPr>
              <w:t>I-45 SLF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Year ended March 31, 2017</w:t>
            </w: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rPr>
              <w:t>&amp;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$ 39,491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49,267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$36,337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$178,436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New investments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101,858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145,778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investments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(10,199)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Principal repayments received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(36,168)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(43,279)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PIK interest earned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Accretion of loan discounts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Realized gain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Unrealized gain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3,014</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security from debt to equity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end of period</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107,817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56,039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63,395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286,880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Weighted average yield on debt investments at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10.28 %</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Weighted average yield on total investments at</w:t>
            </w: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10.49 %</w:t>
            </w:r>
          </w:p>
        </w:tc>
        <w:tc>
          <w:tcPr>
            <w:tcW w:w="0" w:type="dxa"/>
            <w:vAlign w:val="bottom"/>
          </w:tcPr>
          <w:p>
            <w:pPr>
              <w:spacing w:after="0"/>
              <w:rPr>
                <w:sz w:val="1"/>
                <w:szCs w:val="1"/>
                <w:color w:val="auto"/>
              </w:rPr>
            </w:pPr>
          </w:p>
        </w:tc>
      </w:tr>
      <w:tr>
        <w:trPr>
          <w:trHeight w:val="224"/>
        </w:trPr>
        <w:tc>
          <w:tcPr>
            <w:tcW w:w="3520" w:type="dxa"/>
            <w:vAlign w:val="bottom"/>
          </w:tcPr>
          <w:p>
            <w:pPr>
              <w:spacing w:after="0"/>
              <w:rPr>
                <w:sz w:val="20"/>
                <w:szCs w:val="20"/>
                <w:color w:val="auto"/>
              </w:rPr>
            </w:pPr>
            <w:r>
              <w:rPr>
                <w:rFonts w:ascii="Arial" w:cs="Arial" w:eastAsia="Arial" w:hAnsi="Arial"/>
                <w:sz w:val="18"/>
                <w:szCs w:val="18"/>
                <w:color w:val="auto"/>
              </w:rPr>
              <w:t>end of period</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50</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The composite measure of our financial performance in the Consolidated Statements of Operations is captioned “Net increase (decrease) in net assets from operations” and consists of three elements. The first is “Net investment income (loss),” which is the difference between income from interest, dividends and fees and our combined operating and interest expenses, net of applicable income taxes. The second element is “Net realized gain (loss) on investments before income tax,” which is the difference between the proceeds received from the disposition of portfolio securities and their stated cost. The third element is the “Net change in unrealized appreciation on investments, net of tax” which is the net change in the market or fair value of our investment portfolio, compared with stated cost. It should be noted that the “Net realized gain (loss) on investments before income tax” and “Net change in unrealized appreciation on investments, net of tax” are directly related in that when an appreciated portfolio security is sold to realize a gain, a corresponding decrease in net unrealized appreciation occurs by transferring the gain associated with the transaction from being “unrealized” to being “realized.” Conversely, when a loss is realized on a depreciated portfolio security, an increase in net unrealized appreciation occurs.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March 31, 2018 and March 31, 2017</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w w:val="97"/>
              </w:rPr>
              <w:t>Year ended March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Net Change</w:t>
            </w:r>
          </w:p>
        </w:tc>
      </w:tr>
      <w:tr>
        <w:trPr>
          <w:trHeight w:val="142"/>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right"/>
              <w:ind w:right="439"/>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35,126</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$ 11,652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(989)</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(3,886)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392.9 %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(13,823)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(12,818)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Income before taxes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9,667</w:t>
            </w:r>
          </w:p>
        </w:tc>
        <w:tc>
          <w:tcPr>
            <w:tcW w:w="280" w:type="dxa"/>
            <w:vAlign w:val="bottom"/>
            <w:gridSpan w:val="2"/>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69.9 %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7,888</w:t>
            </w:r>
          </w:p>
        </w:tc>
        <w:tc>
          <w:tcPr>
            <w:tcW w:w="16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105.8 %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 before income tax</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7"/>
              </w:rPr>
              <w:t>Net change in net unrealized appreciation on investments, net of tax</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13,802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179.5 %</w:t>
            </w:r>
          </w:p>
        </w:tc>
      </w:tr>
      <w:tr>
        <w:trPr>
          <w:trHeight w:val="217"/>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15,833</w:t>
            </w:r>
          </w:p>
        </w:tc>
        <w:tc>
          <w:tcPr>
            <w:tcW w:w="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4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Total investment income consisted of interest income, management fees, dividend income and other income for each applicable period. For the year ended March 31, 2018, total investment income was $35.1 million, a $11.7 million, or 49.6%, increase over total investment income of $23.5 million for the year ended March 31, 2017. The increase was primarily due to a $9.4 million, or 76.0% increase in interest income generated from our debt investments due to a 42.6% increase in the cost basis of debt investments held from $166.1 million to $236.8 million year over year in addition to an increase in the weighted average yield on debt investments from 10.28% to 11.46%.</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receive management fees primarily from our controlled affiliate investments which aggregated $0.4 million for both the years ended March 31, 2018 and 2017. We also received other miscellaneous fees and income of approximately $0.5 million and $0.6 million during the years ended March 31, 2018 and 2017, respectively, related primarily to other portfolio company activity.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Due to the nature of our business, the majority of our operating expenses are related to interest and fees on our borrowings, employee compensation (including both cash and share-based compensation), and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our Borrowings</w:t>
      </w:r>
    </w:p>
    <w:p>
      <w:pPr>
        <w:spacing w:after="0" w:line="1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For the year ended March 31, 2018, total interest expense was $4.9 million, an increase of $3.9 million as compared to the total interest expense of $1.0 million for the year ended March 31, 2017. The increase was primarily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attributable to an increase of $24.4 million in average borrowings on our Credit Facility during the year ended March 31, 2018, as well as the additional $57.5 million of December 2022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General and Administrative Expenses</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For the year ended March 31, 2018, total employee compensation expense (including both cash and share-based compensation) was $9.2 million, a $1.0 million, or 12.4%, increase over total employee compensation expense of $8.2 million for the year ended March 31, 2017. The increase was primarily due to an increase in headcount, as well as additional restricted stock award grants. For both the years ended March 31, 2018 and 2017, total general and administrative expense was $4.6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 the year ended March 31, 2018, net investment income was $16.2 million, an $8.3 million, or 105.8%, increase over net investment income of $7.9 million for the year ended March 31, 2017. The increase was driven by an $11.7 million increase in total investment income and a $1.6 million decrease in income tax expense primarily due to the tax reform, offset by a $3.9 million increase in interest expense and a $1.0 million increase in employee compensation expense.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in Net Assets from Operations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During the fiscal year ended March 31, 2018, we recognized realized gains on investments before income tax totaling $1.6 million, which consisted of gains on the partial repayments of five non-control/non-affiliate investments and full repayments on 13 non-control/non-affiliate investments.</w:t>
      </w:r>
    </w:p>
    <w:p>
      <w:pPr>
        <w:spacing w:after="0" w:line="123"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In addition, for the fiscal year ended March 31, 2018, we recorded a net increase in unrealized appreciation on investments, net of tax, totaling $21.5 million, consisting of net unrealized appreciation on our current portfolio of $22.0 million, the reversal of $0.6 million of net unrealized appreciation recognized in prior periods due to the realized gains noted above, and net unrealized appreciation related to deferred tax associated with the Taxable Subsidiary of $0.1 million. Net unrealized appreciation on our current portfolio included unrealized gains on TitanLiner, Inc. of $20.3 million and Media Recovery, Inc. of $5.3 million, partially offset by unrealized losses on Deepwater Corrosion Services of $5.3 million. These unrealized gains and losses were due to changes in fair value based on the overall EBITDA performance and cash flows of each investment.</w:t>
      </w:r>
    </w:p>
    <w:p>
      <w:pPr>
        <w:spacing w:after="0" w:line="1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During the fiscal year ended March 31, 2017, we recognized realized gains on investments before income tax totaling $7.9 million, which consisted of net gains on the partial repayments of 22 non-control/non-affiliate investments, full repayments on five non-control/non-affiliate investments and the sale of certain equity securities.</w:t>
      </w:r>
    </w:p>
    <w:p>
      <w:pPr>
        <w:spacing w:after="0" w:line="12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In addition, for the fiscal year ended March 31, 2017, we recorded a net increase in unrealized appreciation, net of tax, on investments totaling $7.7 million, consisting of net unrealized appreciation on our current portfolio of $12.5 million, the reversal of $4.5 million of net unrealized appreciation recognized in prior periods due to the realized gains noted above, and net unrealized depreciation related to deferred tax associated with the Taxable Subsidiary of $0.3 million. Net unrealized appreciation on our current portfolio included unrealized gains on Media Recovery, Inc. of $5.6 million, Deepwater Corrosion Services, Inc. of $4.9 million and I-45 SLF LLC of $3.1 million, partially offset by unrealized losses on TitanLiner, Inc. of $3.3 million. These unrealized gains and losses were due to changes in fair value based on the overall EBITDA performance and cash flows of each investment.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March 31, 2017 and March 31, 2016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w w:val="97"/>
              </w:rPr>
              <w:t>Year ended March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Net Change</w:t>
            </w:r>
          </w:p>
        </w:tc>
      </w:tr>
      <w:tr>
        <w:trPr>
          <w:trHeight w:val="142"/>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$ 14,314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(989)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(12,818)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(21,125)</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(11,965)</w:t>
            </w:r>
          </w:p>
        </w:tc>
        <w:tc>
          <w:tcPr>
            <w:tcW w:w="280" w:type="dxa"/>
            <w:vAlign w:val="bottom"/>
            <w:gridSpan w:val="2"/>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21,632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180.8 %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239.2 %</w:t>
            </w: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(10,687)</w:t>
            </w:r>
          </w:p>
        </w:tc>
        <w:tc>
          <w:tcPr>
            <w:tcW w:w="16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173.8 %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 before income tax</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(10,802)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7"/>
              </w:rPr>
              <w:t>Net change in net unrealized appreciation on investments, net of tax</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16,089</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(52.2)%</w:t>
            </w:r>
          </w:p>
        </w:tc>
      </w:tr>
      <w:tr>
        <w:trPr>
          <w:trHeight w:val="217"/>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28,874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534.7 %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Total investment income consisted of interest income, management fees, dividend income and other income for each applicable period. For the year ended March 31, 2017, total investment income was $23.5 million, a $14.3 million, or 156.3%, increase over total investment income of $9.2 million for the year ended March 31, 2016. This increase was primarily due to a $7.9 million, or 173.2%, increase in interest income generated from our debt investments due to a 78% increase in the cost basis of debt investments held from $93.4 million to $166.1 million year over year, partially offset by a decrease in the weighted average yield on debt investments from 10.67% to 10.28% year over year. Additionally, there was a $6.4 million, or 184.0%, increase in dividend income due to dividends received from I-45 SLF LLC and Media Recovery, Inc. Total investment income also includes interest income we earn from the short-term investment of cash funds, and the annual amount of such income varies based upon the average level of funds invested during the year and fluctuations in short-term interest rates. During the two years ended March 31, we had interest income from cash and cash equivalents of $0.2 million in 2017 and $0.4 million in 2016.</w:t>
      </w:r>
    </w:p>
    <w:p>
      <w:pPr>
        <w:spacing w:after="0" w:line="18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receive management fees primarily from our controlled affiliate investments which aggregated $0.4 million in 2017 and $0.7 million in 2016. We also received other miscellaneous income of approximately $0.6 million and $0.1 million during the years ended March 31, 2017 and 2016, respectively, related primarily to other portfolio company activity.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Due to the nature of our business, the majority of our operating expenses are related to interest and fees on our borrowings, employee compensation (including both cash and share-based compensation), and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our Borrowings</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the year ended March 31, 2017, total interest expense was $1.0 million. We entered into the Credit Facility in August 2016. As such, there was no interest expense incurred during the year ended March 31,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General and Administrative Expenses</w:t>
      </w:r>
    </w:p>
    <w:p>
      <w:pPr>
        <w:spacing w:after="0" w:line="14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For the year ended March 31, 2017, total employee compensation expense (including both cash and share-based compensation) was $8.2 million, a $1.6 million, or 16.2%, decrease from the total employee compensation expense of $9.8 million for the year ended March 31, 2016. The decrease was primarily due to approximately $1.6 million of compensation expense incurred in fiscal 2016 for employees who transferred to CSWI following the Share Distribution. For the year ended March 31, 2017, total general and administrative expense was $4.6 million, a $6.7 million, or 59.4%, decrease over total general and administrative expenses of $11.3 million for the year ended March 31, 2016. The decrease was primarily due to expenses of $7.0 million related to the Share Distribution.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Income/Loss</w:t>
      </w:r>
    </w:p>
    <w:p>
      <w:pPr>
        <w:spacing w:after="0" w:line="14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For the year ended March 31, 2017, net investment income was $7.9 million, a $18.6 million, or 173.8%, increase over net investment loss of $10.7 million during the fiscal year ended March 31, 2016, primarily as a result of the $14.3 million increase in total investment income and the $7.3 million decrease in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Increase/Decrease in Net Assets from Operations</w:t>
      </w:r>
    </w:p>
    <w:p>
      <w:pPr>
        <w:spacing w:after="0" w:line="14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During the fiscal year ended March 31, 2017, we recognized realized gains on investments before income tax totaling $7.9 million, which consisted of net gains on the partial repayments of 22 non-control/non-affiliate investments, full repayments on five non-control/non-affiliate investments and the sale of certain equity securities.</w:t>
      </w:r>
    </w:p>
    <w:p>
      <w:pPr>
        <w:spacing w:after="0" w:line="12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In addition, for the fiscal year ended March 31, 2017, we recorded a net increase in unrealized appreciation on investments totaling $7.7 million, consisting of net unrealized appreciation on our current portfolio of $12.5 million, the reversal of $4.5 million of net unrealized appreciation recognized in prior periods due to the realized gains noted above, and net unrealized depreciation related to deferred tax associated with the Taxable Subsidiary of $0.3 million. Net unrealized appreciation on our current portfolio included unrealized gains on Media Recovery, Inc. of $5.6 million, Deepwater Corrosion Services, Inc. of $4.9 million and I-45 SLF LLC of $3.1 million, partially offset by unrealized losses on TitanLiner, Inc. of $3.3 million. These unrealized gains and losses were due to changes in fair value based on the overall EBITDA performance and cash flows of each investment.</w:t>
      </w:r>
    </w:p>
    <w:p>
      <w:pPr>
        <w:spacing w:after="0" w:line="12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During the fiscal year ended March 31, 2016, we recognized a total net realized loss before income taxes of $10.8 million consisting of the difference between $19.7 million of proceeds from disposition of investments and $30.5 million of cost from four partial repayments of investments and the disposition of 12 investments.</w:t>
      </w:r>
    </w:p>
    <w:p>
      <w:pPr>
        <w:spacing w:after="0" w:line="123"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18"/>
          <w:szCs w:val="18"/>
          <w:color w:val="auto"/>
        </w:rPr>
        <w:t>In addition, for the fiscal year ended March 31, 2016, we recorded a net increase in unrealized appreciation on investments of $16.1 million, consisting of net unrealized appreciation on our current portfolio of $7.6 million and the reversal of $8.5 million of net unrealized appreciated recognized in prior periods due to the realized gains and losses noted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liquidity and capital resources are generated primarily from cash flows from operations, the net proceeds of public offerings of debt securities and advances from the Credit Facility. Management believes that the Company’s cash and cash equivalents, cash available from investments, and commitments under the Credit Facility are adequate to meet its needs for the next twelve months.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from time to time seek to retire or repurchase our common stock through cash purchases, as well as retire, cancel or purchase our outstanding debt through cash purchases and/or exchanges, in open market purchases, privately negotiated transactions or otherwise. In addition, we may from time to time enter into additional debt facilities, increase the size of existing facilities or issue additional debt securities. Any repurchase or issuance would be subject to prevailing market conditions, our liquidity requirements, contractual and regulatory restrictions and other factors. In accordance with the 1940 Act, with certain limited exceptions, we are only allowed to borrow amounts such that our asset coverage, calculated pursuant to the 1940 Act, is at least 200% (or, pursuant to recent legislation, 150% if certain requirements are met as described in the Business Section under “Regulation as a Business Development Company—Senior Securities”) after such borrowing. As of March 31, 2018, our asset coverage was 416%.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March 31, 2018, we experienced a net decrease in cash and cash equivalents in the amount of $14.5 million. During that period, our operating activities used $63.9 million in cash, consisting primarily of new portfolio investments of $166.2 million, partially offset by $82.5 million of repayments received from debt investments in portfolio companies. In addition, our financing activities increased cash by $49.4 million, consisting primarily of proceeds from the issuance of the December 2022 Notes of $55.8 million and net borrowings under the Credit Facility of $15.0 million, partially offset by cash dividends paid in the amount of $18.6 million. At March 31, 2018, the Company had cash and cash equivalents of approximately $7.9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the year ended March 31, 2017, we experienced a net decrease in cash and cash equivalents in the amount of $73.6 million. During that period, our operating activities used $89.6 million in cash, consisting primarily of new portfolio investments of $145.8 million, partially offset by $44.6 million of sales and repayments received from debt investments in portfolio companies and $7.7 million in proceeds from sales of equity investments in portfolio companies. In addition, our financing activities increased cash by $16.0 million, consisting primarily of proceeds from the Credit Facility of $25.0 million, partially offset by cash dividends paid in the amount of $6.0 million and debt issuance costs paid of $2.5 million. At March 31, 2017, the Company had cash and cash equivalents of approximately $22.4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2016, CSWC entered into the Credit Facility to provide additional liquidity to support its investment and operational activities, which included total commitments of $100.0 million. The Credit Facility contains an accordion feature that allows CSWC to increase the total commitments under the facility up to $150.0 million from new and existing lenders on the same terms and conditions as the existing commitments. In August 2017, we increased our total commitments by $15 million through adding an additional lender using the accordion feature.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November 16, 2017, CSWC entered into Amendment No. 1 (the “Amendment”) to its Credit Facility. Prior to the Amendment, borrowings under the Credit Facility accrued interest on a per annum basis at a rate equal to the applicable LIBOR rate plus 3.25% with no LIBOR floor. CSWC paid unused commitment fees of 0.50% to 1.50% per annum, based on utilization, on the unused lender commitments under the Credit Facility. The Amendment (1) increased the total borrowing capacity under the Credit Facility to $180.0 million, with commitments from a diversified group of eight lenders, (2) increased the Credit Facility’s accordion feature that allows for an increase in total commitments of up to $250 million under the Credit Facility from new and existing lenders on the same terms and conditions as the existing commitments, (3) reduced the interest rate on borrowings to LIBOR plus 3.00%, with a step-down to LIBOR plus 2.75% at the time the Company’s net worth exceeds $325 million, (4) reduced unused commitment fees to a range of 0.50% to 1.0% per annum based on utilization, and (5) extended the Credit Facility’s revolving period that ended on August 30, 2019 through November 16, 2020. Additionally, the final maturity of the Credit Facility was extended from August 30, 2020 to November 16, 2021. Subsequent to March 31, 2018, on April 16, 2018 and May 11, 2018, CSWC entered into Incremental Assumption Agreements, which increased the total commitments under the Credit Facility by $20 million and $10 million, respectively. The increases were executed under the accordion feature of the Credit Facility and increased total commitments from $180 million to $210 million.</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Credit Facility contains certain affirmative and negative covenants, including but not limited to: (1) certain reporting requirements, (2) maintaining RIC and BDC status, (3) maintaining a minimum shareholders’ equity, (4) maintaining a minimum consolidated net worth, (5) maintaining an asset coverage of not less than 200%, (6) maintaining a consolidated interest coverage ratio of at least 2.5 to 1.0, and (7) at any time the outstanding advances exceed 90% of the borrowing base, maintaining a minimum liquidity of not less than 10% of the covered debt amount.</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Credit Facility also contains customary events of default, including, without limitation, nonpayment, misrepresentation of representations and warranties in a material respect, breach of covenant, bankruptcy, and change of control, with customary cure and notice provisions. If the Company defaults on its obligations under the Credit Facility, the lenders may have the right to foreclose upon and sell, or otherwise transfer, the collateral subject to their security interests. There are no changes to the covenants or the events of default in the Credit Facility as a result of the Amendment.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Facility is secured by (1) substantially all of the present and future property and assets of the Company and the guarantors and (2) 100% of the equity interests in the Company’s wholly-owned subsidiaries. As of March 31, 2018, substantially all of the Company’s assets were pledged as collateral for the Credit Facility.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March 31, 2018, CSWC had $40.0 million in borrowings outstanding under the Credit Facility. CSWC recognized interest expense related to the Credit Facility, including unused commitment fees and amortization of deferred loan costs of $3.7 million and $1.0 million, respectively, for the years ended March 31, 2018 and 2017. The weighted average interest rate on the Credit Facility was 4.66% and 4.28%, respectively, for the years ended March 31, 2018 and 2017. Average borrowings for the years ended March 31, 2018 and 2017 were $42.2 million and $17.8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As of March 31, 2018 and 2017, CSWC was in compliance with all financial covenants under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2022 Notes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2017, the Company issued $57.5 million, including the underwriters’ full exercise of their option to purchase additional principal amounts to cover over-allotments, in aggregate principal amount of 5.95% Notes due 2022 (the “December 2022 Notes”). The December 2022 Notes mature on December 15, 2022 and may be redeemed in whole or in part at any time, or from time to time, at the Company’s option on or after December 15, 2019. The December 2022 Notes bear interest at a rate of 5.95% per year, payable quarterly on March 15, June 15, September 15 and December 15 of each year, beginning on March 15, 2018. The December 2022 Notes are an unsecured obligation, rank pari passu with our other outstanding and future unsecured unsubordinated indebtedness and are effectively subordinated to all of our existing and future secured indebtedness, including borrowings under our Credit Facility.</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2018, the carrying amount of the December 2022 Notes was $55.3 million. As of March 31, 2018, the fair value of the December 2022 Notes was $58.4 million. The fair value is based on the closing price of the security of The Nasdaq Global Select Market, which is a Level 1 input under ASC 820. The Company recognized interest expense related to the December 2022 Notes, including amortization of deferred issuance costs, of $1.2 million for the year ended March 31, 2018.</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indenture governing the December 2022 Notes contains certain covenants including but not limited to (i) a requirement that the Company comply with the asset coverage requirement of Section 61 of the 1940 Act or any successor provisions thereto, after giving effect to any exemptive relief granted to the Company by the SEC, (ii) a requirement, subject to a limited exception, that the Company will not declare any cash dividend, or declare any other cash distribution, upon a class of its capital stock, or purchase any such capital stock, unless, in every such case, at the time of the declaration of any such dividend or distribution, or at the time of any such purchase, the Company has the minimum asset coverage required pursuant to Section 61 of the 1940 Act or any successor provision thereto after deducting the amount of such dividend, distribution or purchase price, as the case may be, giving effect to any exemptive relief granted to the Company by the SEC and (iii) a requirement to provide financial information to the holders of the December 2022 Notes and the trustee under the indenture if the Company should no longer be subject to the reporting requirements under the Exchange Act. The indenture and supplement relating to the December 2022 Notes also provides for customary events of default. As of March 31, 2018, the Company was in compliance with all covenants of the December 2022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Capital Activities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2016, our board of directors approved a share repurchase program authorizing us to repurchase up to $10 million in the aggregate of our outstanding common stock in the open market at certain thresholds below our net asset value per share, in accordance with Rules 10b-18 under the Exchange Act. As of March 31, 2018, we had repurchased a total of 35,911 shares of our common stock in the open market under the stock repurchase program, at an average price of $16.37, including commissions paid, leaving approximately $9.4 million available for additional repurchases under the program.</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anticipate that we will continue to fund our investment activities through existing cash and cash equivalents, cash flows generated through our ongoing operating activities, utilization of available borrowings under our Credit Facility and future issuances of debt and equity on terms we believe are favorable to the Company and our shareholders. Our primary uses of funds will be investments in portfolio companies and operating expenses.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order to satisfy the Code requirements applicable to a RIC, we intend to distribute to our stockholders, after consideration and application of our ability under the Code to carry forward certain excess undistributed taxable income from one tax year into the next tax year, substantially all of our taxable income.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be a party to financial instruments with off-balance sheet risk in the normal course of business to meet the financial needs of our portfolio companies. These instruments may include commitments to extend credit and fund equity capital and involve, to varying degrees, elements of liquidity and credit risk in excess of the amount recognized in the balance sheet. At March 31, 2018, we had a total of approximately $11.6 million in currently unfunded commitments, consisting of $3.2 million in equity capital commitments to I-45 SLF LLC that had not been fully called, a $2.0 million revolver to Clickbooth.com, a $2.0 million revolver to ITA Holdings Group, LLC, a $0.9 million delayed draw term loan to LGM Pharma, a $1.5 million revolver to Prism Spectrum Holdings LLC, and a $2.0 million revolver to Zenfolio Inc. We believe our assets will provide adequate coverage to satisfy these commitments. As of March 31, 2018, we had cash and cash equivalents of $7.9 million and $140 million in available borrowings under the Credit Facility.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shown below, we had the following contractual obligations as of March 31, 2018. For information on our unfunded investment commitments, see Note 12 of the Notes to Consolidated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6"/>
              </w:rPr>
              <w:t>1-3 Years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Credit Facility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47,350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4"/>
              </w:rPr>
              <w:t>45,328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December 2022 Notes (2)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73,846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59,961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122,215</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56,515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59,961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200" w:hanging="333"/>
        <w:spacing w:after="0" w:line="21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include interest payments calculated at an average rate 5.00% of outstanding Credit Facility borrowings, which were $40.0 million as of March 31, 2018.</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interest payments.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 2018, CSWC paid regular dividends declared on February 28, 2018 in the amount of $4.5 million, or $0.28 per share.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April 16, 2018 and May 11, 2018, CSWC entered into Incremental Assumption Agreements, which increased the total commitments under the Credit Facility by $20 million and $10 million, respectively. The increases were executed under the accordion feature of the Credit Facility and increased total commitments from $180 million to $210 million.</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25, 2018, the Board of Directors unanimously approved the application of the recently modified asset coverage requirements set forth in Section 61(a)(2) of the 1940 Act. As a result, the minimum asset coverage ratio applicable to the Company will be decreased from 200% to 150%, effective April 25, 2019. The Board of Directors also approved a resolution which limits the Company’s issuance of senior securities such that the asset coverage ratio, taking into account any such issuance, would not be less than 166%, effective April 25, 2019.</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June 1, 2018, the Company’s Board of Directors declared a $0.29 dividend per share for the quarter ended June 30, 2018. The record date for the dividend is June 26, 2018. The payment date for the dividend is July 2, 2018.</w:t>
      </w: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Market risk includes risk that arise from changes in interest rates, commodity prices, equity prices and other market changes that affect market sensitive instruments. The prices of securities held by us may decline in response to certain events, including those directly involving the companies in which we invest; conditions affecting the general economy; overall market changes; legislative reform; local, regional, national or global political, social or economic instability; and interest rate fluctuations.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Interest Rate Risk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subject to interest rate risk. Interest rate risk is defined as the sensitivity of our current and future earnings to interest rate volatility, variability of spread relationships, the difference in re-pricing internals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However, the interest rates on our December 2022 Notes are fixed for the life of such debt. Our risk management systems and procedures are designed to identify and analyze our risk, to set appropriate policies and limits and to continually monitor these risks. We regularly measure exposure to interest rate risk and determine whether or not any hedging transactions are necessary to mitigate exposure to changes in interest rates. As of March 31, 2018, we were not a party to any hedging arrangements.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March 31, 2018, approximately 92.1% of our debt investment portfolio (at fair value) bore interest at floating rates, of which 94.2% were subject to contractual minimum interest rates. A hypothetical 100 basis point increase in interest rates could increase our net investment income by a maximum of $2.4 million, or $0.15 per share, on an annual basis. A hypothetical 100 basis point decrease in interest rates could decrease our net investment income by a maximum of $2.4 million, or $0.15 per share, on an annual basis. Our Credit Facility bears interest on a per annum basis equal to the applicable LIBOR rate plus 3.00%, with a step-down to LIBOR plus 2.75% at the time the Company’s net worth exceeds $325 million. We pay unused commitment fees of 0.50% to 1.00% per annum, based on utilization.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Although we believe that the foregoing analysis is indicative of our sensitivity to interest rate changes, it does not adjust for potential changes in the credit market, credit quality, size and composition of the assets in our portfolio. It also does not adjust for other business developments, including future borrowings that could affect the net increase in net assets resulting from operations, or net income. It also does not assume any repayments from borrowers. Accordingly, no assurances can be given that actual results would not differ materially from the statement above.</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48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7760" w:type="dxa"/>
            <w:vAlign w:val="bottom"/>
            <w:gridSpan w:val="1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8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Index to Financial Statements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20" w:type="dxa"/>
            <w:vAlign w:val="bottom"/>
          </w:tcPr>
          <w:p>
            <w:pPr>
              <w:spacing w:after="0"/>
              <w:rPr>
                <w:sz w:val="24"/>
                <w:szCs w:val="24"/>
                <w:color w:val="auto"/>
              </w:rPr>
            </w:pPr>
          </w:p>
        </w:tc>
        <w:tc>
          <w:tcPr>
            <w:tcW w:w="6840" w:type="dxa"/>
            <w:vAlign w:val="bottom"/>
            <w:gridSpan w:val="11"/>
            <w:vMerge w:val="restart"/>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Reports of Independent Registered Public Accounting Firm</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Page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40" w:type="dxa"/>
            <w:vAlign w:val="bottom"/>
            <w:gridSpan w:val="11"/>
            <w:vMerge w:val="continue"/>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60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8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Consolidated Statements of Assets and Liabilities as of March 31, 2018 and 2017</w:t>
              </w:r>
            </w:hyperlink>
          </w:p>
        </w:tc>
        <w:tc>
          <w:tcPr>
            <w:tcW w:w="980" w:type="dxa"/>
            <w:vAlign w:val="bottom"/>
            <w:gridSpan w:val="4"/>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40" w:type="dxa"/>
            <w:vAlign w:val="bottom"/>
            <w:gridSpan w:val="11"/>
          </w:tcPr>
          <w:p>
            <w:pPr>
              <w:spacing w:after="0" w:line="196"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Consolidated Statements of Operations for Years Ended March 31, 2018, 2017 and 2016</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Changes in Net Assets for Years Ended March 31, 2018, 2017 and</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rPr>
                <w:sz w:val="17"/>
                <w:szCs w:val="17"/>
                <w:color w:val="auto"/>
              </w:rPr>
            </w:pPr>
          </w:p>
        </w:tc>
        <w:tc>
          <w:tcPr>
            <w:tcW w:w="36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2016</w:t>
              </w:r>
            </w:hyperlink>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40" w:type="dxa"/>
            <w:vAlign w:val="bottom"/>
            <w:gridSpan w:val="11"/>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Consolidated Statements of Cash Flows for Years Ended March 31, 2018, 2017 and 2016</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Schedules of Investments as of March 31, 2018 and 2017</w:t>
              </w:r>
            </w:hyperlink>
          </w:p>
        </w:tc>
        <w:tc>
          <w:tcPr>
            <w:tcW w:w="1300" w:type="dxa"/>
            <w:vAlign w:val="bottom"/>
            <w:tcBorders>
              <w:top w:val="single" w:sz="8" w:color="0000EE"/>
            </w:tcBorders>
            <w:gridSpan w:val="3"/>
          </w:tcPr>
          <w:p>
            <w:pPr>
              <w:spacing w:after="0"/>
              <w:rPr>
                <w:sz w:val="17"/>
                <w:szCs w:val="17"/>
                <w:color w:val="auto"/>
              </w:rPr>
            </w:pPr>
          </w:p>
        </w:tc>
        <w:tc>
          <w:tcPr>
            <w:tcW w:w="42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40" w:type="dxa"/>
            <w:vAlign w:val="bottom"/>
            <w:gridSpan w:val="11"/>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920" w:type="dxa"/>
            <w:vAlign w:val="bottom"/>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color w:val="auto"/>
              </w:rPr>
              <w:t>59</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Southwest Corporation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audited the accompanying consolidated statement of assets and liabilities, including the consolidated schedule of investments, of Capital Southwest Corporation and Subsidiaries (the Company) as of March 31, 2018, and the related consolidated statements of operations, changes in net assets and cash flows for the year then ended, the related notes to the consolidated financial statements, and the Schedule of Investments in and Advances to Affiliates of the Company listed in Schedule 12-14 (collectively, the financial statements). In our opinion, the financial statements present fairly, in all material respects, the financial position of the Company as of March 31, 2018, and the results of its operations and its cash flows for the year ended March 31, 2018 in conformity with accounting principles generally accepted in the United States of America, and in our opinion, the related Schedule of Investments in and Advances to Affiliates, when considered in relation to the basic consolidated financial statements taken as a whole, present fairly in all material respects the information set forth therein.</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March 31, 2018, based on criteria established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in 2013, and our report dated June 5, 2018, expressed an unqualified opinion on the effectiveness of the Company’s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March 31, 2018, by correspondence with the custodians, portfolio companies or agents or by other appropriate procedures where replies from custodians, portfolio companies or agents were not received.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Southwest Corporation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Capital Southwest Corporation and Subsidiaries’ (the Company) internal control over financial reporting as of March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March 31, 2018,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by the Committee of Sponsoring Organizations of the Treadway Commission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2013.</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including the consolidated schedules of investments, of the Company as of March 31, 2018, and the related consolidated statements of operations, changes in net assets and cash flows for the year then ended, the related notes to the consolidated financial statements, and our report dated June 5, 2018 expressed an unqualified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 Southwest Corporation</w:t>
      </w:r>
    </w:p>
    <w:p>
      <w:pPr>
        <w:spacing w:after="0" w:line="200" w:lineRule="exact"/>
        <w:rPr>
          <w:sz w:val="20"/>
          <w:szCs w:val="20"/>
          <w:color w:val="auto"/>
        </w:rPr>
      </w:pP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audited the accompanying consolidated statements of assets and liabilities of Capital Southwest Corporation (a Texas corporation) and subsidiaries (the “Company”), including the consolidated schedules of investments, as of March 31, 2017, and the related consolidated statements of operations, changes in net assets, and cash flows for each of the two years in the period ended March 31, 2017 and the selected per share data and ratios for each of the four years in the period ended March 31, 2017. Our audits of the basic consolidated financial statements included the Schedule of Investments In and Advances to Affiliates listed in the index appearing under Item 15(2). These financial statements, per share data and ratios, and financial statement schedule are the responsibility of the Company’s management. Our responsibility is to express an opinion on these financial statements, per share data and ratios, and financial statement schedule based on our audits.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our opinion, the consolidated financial statements, including the consolidated schedules of investments, referred to above present fairly, in all material respects, the financial position of Capital Southwest Corporation and subsidiaries as of March 31, 2017, and the results of their operations, changes in their net assets and their cash flows for each of the two years in the period ended March 31, 2017, and the selected per share data and ratios for each of the four years in the period ended March 31, 2017,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Non-control/Non-affiliate investments (Cost: $200,981 and $172,437, respectively)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20"/>
              <w:spacing w:after="0"/>
              <w:rPr>
                <w:sz w:val="20"/>
                <w:szCs w:val="20"/>
                <w:color w:val="auto"/>
              </w:rPr>
            </w:pPr>
            <w:r>
              <w:rPr>
                <w:rFonts w:ascii="Arial" w:cs="Arial" w:eastAsia="Arial" w:hAnsi="Arial"/>
                <w:sz w:val="18"/>
                <w:szCs w:val="18"/>
                <w:color w:val="auto"/>
              </w:rPr>
              <w:t>Affiliate investments (Cost: $51,648 and $5,925,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 investments (Cost: $82,768 and $72,178, respectively)</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139,948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20"/>
              <w:spacing w:after="0"/>
              <w:rPr>
                <w:sz w:val="20"/>
                <w:szCs w:val="20"/>
                <w:color w:val="auto"/>
              </w:rPr>
            </w:pPr>
            <w:r>
              <w:rPr>
                <w:rFonts w:ascii="Arial" w:cs="Arial" w:eastAsia="Arial" w:hAnsi="Arial"/>
                <w:sz w:val="18"/>
                <w:szCs w:val="18"/>
                <w:color w:val="auto"/>
              </w:rPr>
              <w:t>Total investments (Cost: $335,397 and $250,540,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393,095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and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Escrow</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w w:val="95"/>
              </w:rPr>
              <w:t>Debt issuance costs (net of accumulated amortization of $1,041 and $366,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417,490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Notes (Par value: $57,500 and $ -, respectively)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Credit facility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restoration plan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20" w:type="dxa"/>
            <w:vAlign w:val="bottom"/>
          </w:tcPr>
          <w:p>
            <w:pPr>
              <w:spacing w:after="0" w:line="201" w:lineRule="exact"/>
              <w:rPr>
                <w:sz w:val="20"/>
                <w:szCs w:val="20"/>
                <w:color w:val="auto"/>
              </w:rPr>
            </w:pPr>
            <w:r>
              <w:rPr>
                <w:rFonts w:ascii="Arial" w:cs="Arial" w:eastAsia="Arial" w:hAnsi="Arial"/>
                <w:sz w:val="18"/>
                <w:szCs w:val="18"/>
                <w:color w:val="auto"/>
              </w:rPr>
              <w:t>Common stock, $0.25 par value per share: authorized, 25,000,000 shares; issued,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18,501,298 shares at March 31, 2018 and 18,350,808 shares at March 31, 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Accumulated net investment income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Unrealized appreciation on investments, net of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 at cost, 2,339,512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(23,937)</w:t>
            </w:r>
          </w:p>
        </w:tc>
        <w:tc>
          <w:tcPr>
            <w:tcW w:w="0" w:type="dxa"/>
            <w:vAlign w:val="bottom"/>
          </w:tcPr>
          <w:p>
            <w:pPr>
              <w:spacing w:after="0"/>
              <w:rPr>
                <w:sz w:val="1"/>
                <w:szCs w:val="1"/>
                <w:color w:val="auto"/>
              </w:rPr>
            </w:pPr>
          </w:p>
        </w:tc>
      </w:tr>
      <w:tr>
        <w:trPr>
          <w:trHeight w:val="210"/>
        </w:trPr>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assets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308,288</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417,490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20" w:type="dxa"/>
            <w:vAlign w:val="bottom"/>
          </w:tcPr>
          <w:p>
            <w:pPr>
              <w:spacing w:after="0" w:line="176" w:lineRule="exact"/>
              <w:rPr>
                <w:sz w:val="20"/>
                <w:szCs w:val="20"/>
                <w:color w:val="auto"/>
              </w:rPr>
            </w:pPr>
            <w:r>
              <w:rPr>
                <w:rFonts w:ascii="Arial" w:cs="Arial" w:eastAsia="Arial" w:hAnsi="Arial"/>
                <w:sz w:val="18"/>
                <w:szCs w:val="18"/>
                <w:color w:val="auto"/>
                <w:w w:val="90"/>
              </w:rPr>
              <w:t>Net asset value per share (16,161,786 shares outstanding at March 31, 2018 and 16,011,296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20" w:type="dxa"/>
            <w:vAlign w:val="bottom"/>
          </w:tcPr>
          <w:p>
            <w:pPr>
              <w:spacing w:after="0"/>
              <w:rPr>
                <w:sz w:val="20"/>
                <w:szCs w:val="20"/>
                <w:color w:val="auto"/>
              </w:rPr>
            </w:pPr>
            <w:r>
              <w:rPr>
                <w:rFonts w:ascii="Arial" w:cs="Arial" w:eastAsia="Arial" w:hAnsi="Arial"/>
                <w:sz w:val="18"/>
                <w:szCs w:val="18"/>
                <w:color w:val="auto"/>
              </w:rPr>
              <w:t>shares outstanding at March 31, 2017)</w:t>
            </w: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4"/>
                <w:szCs w:val="14"/>
                <w:b w:val="1"/>
                <w:bCs w:val="1"/>
                <w:color w:val="auto"/>
              </w:rPr>
              <w:t>Years Ended March 31,</w:t>
            </w: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Non-control/Non-affiliate investments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Dividend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Affiliate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income from cash and cash equivalents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Fees and other income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0" w:type="dxa"/>
            <w:vAlign w:val="bottom"/>
            <w:shd w:val="clear" w:color="auto" w:fill="CCEEFF"/>
          </w:tcPr>
          <w:p>
            <w:pPr>
              <w:spacing w:after="0"/>
              <w:rPr>
                <w:sz w:val="18"/>
                <w:szCs w:val="18"/>
                <w:color w:val="auto"/>
              </w:rPr>
            </w:pPr>
          </w:p>
        </w:tc>
      </w:tr>
      <w:tr>
        <w:trPr>
          <w:trHeight w:val="210"/>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w:t>
            </w:r>
          </w:p>
        </w:tc>
        <w:tc>
          <w:tcPr>
            <w:tcW w:w="40" w:type="dxa"/>
            <w:vAlign w:val="bottom"/>
            <w:tcBorders>
              <w:bottom w:val="single" w:sz="8" w:color="CCEEFF"/>
            </w:tcBorders>
          </w:tcPr>
          <w:p>
            <w:pPr>
              <w:spacing w:after="0"/>
              <w:rPr>
                <w:sz w:val="18"/>
                <w:szCs w:val="18"/>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7,310</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Spin-off compensation plan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1,181</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1,749</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pension expense (benefit)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Spin-off professional fees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7,040</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40" w:type="dxa"/>
            <w:vAlign w:val="bottom"/>
            <w:shd w:val="clear" w:color="auto" w:fill="CCEEFF"/>
          </w:tcPr>
          <w:p>
            <w:pPr>
              <w:spacing w:after="0"/>
              <w:rPr>
                <w:sz w:val="18"/>
                <w:szCs w:val="18"/>
                <w:color w:val="auto"/>
              </w:rPr>
            </w:pPr>
          </w:p>
        </w:tc>
      </w:tr>
      <w:tr>
        <w:trPr>
          <w:trHeight w:val="210"/>
        </w:trPr>
        <w:tc>
          <w:tcPr>
            <w:tcW w:w="5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21,125</w:t>
            </w:r>
          </w:p>
        </w:tc>
        <w:tc>
          <w:tcPr>
            <w:tcW w:w="40" w:type="dxa"/>
            <w:vAlign w:val="bottom"/>
            <w:tcBorders>
              <w:bottom w:val="single" w:sz="8" w:color="CCEEFF"/>
            </w:tcBorders>
          </w:tcPr>
          <w:p>
            <w:pPr>
              <w:spacing w:after="0"/>
              <w:rPr>
                <w:sz w:val="18"/>
                <w:szCs w:val="18"/>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r>
      <w:tr>
        <w:trPr>
          <w:trHeight w:val="217"/>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gain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(9,575)</w:t>
            </w: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w:t>
            </w:r>
          </w:p>
        </w:tc>
      </w:tr>
      <w:tr>
        <w:trPr>
          <w:trHeight w:val="216"/>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Control investments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0" w:type="dxa"/>
            <w:vAlign w:val="bottom"/>
            <w:tcBorders>
              <w:bottom w:val="single" w:sz="8" w:color="CCEEFF"/>
            </w:tcBorders>
          </w:tcPr>
          <w:p>
            <w:pPr>
              <w:spacing w:after="0"/>
              <w:rPr>
                <w:sz w:val="18"/>
                <w:szCs w:val="18"/>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realized gain (loss) on investments before income tax</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unrealized appreciation of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5,585</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Affiliate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ind w:left="120"/>
              <w:spacing w:after="0"/>
              <w:rPr>
                <w:sz w:val="20"/>
                <w:szCs w:val="20"/>
                <w:color w:val="auto"/>
              </w:rPr>
            </w:pPr>
            <w:r>
              <w:rPr>
                <w:rFonts w:ascii="Arial" w:cs="Arial" w:eastAsia="Arial" w:hAnsi="Arial"/>
                <w:sz w:val="18"/>
                <w:szCs w:val="18"/>
                <w:color w:val="auto"/>
              </w:rPr>
              <w:t>Control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7,644</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3"/>
              </w:rPr>
              <w:t>Total net change in unrealized appreciation of investments, net of tax</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40" w:type="dxa"/>
            <w:vAlign w:val="bottom"/>
            <w:tcBorders>
              <w:bottom w:val="single" w:sz="8" w:color="CCEEFF"/>
            </w:tcBorders>
          </w:tcPr>
          <w:p>
            <w:pPr>
              <w:spacing w:after="0"/>
              <w:rPr>
                <w:sz w:val="18"/>
                <w:szCs w:val="18"/>
                <w:color w:val="auto"/>
              </w:rPr>
            </w:pPr>
          </w:p>
        </w:tc>
      </w:tr>
      <w:tr>
        <w:trPr>
          <w:trHeight w:val="210"/>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Net realized and unrealized gains on investments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23,074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15,586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5,287</w:t>
            </w:r>
          </w:p>
        </w:tc>
        <w:tc>
          <w:tcPr>
            <w:tcW w:w="40" w:type="dxa"/>
            <w:vAlign w:val="bottom"/>
          </w:tcPr>
          <w:p>
            <w:pPr>
              <w:spacing w:after="0"/>
              <w:rPr>
                <w:sz w:val="18"/>
                <w:szCs w:val="18"/>
                <w:color w:val="auto"/>
              </w:rPr>
            </w:pPr>
          </w:p>
        </w:tc>
      </w:tr>
      <w:tr>
        <w:trPr>
          <w:trHeight w:val="210"/>
        </w:trPr>
        <w:tc>
          <w:tcPr>
            <w:tcW w:w="5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39,307</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23,474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r>
      <w:tr>
        <w:trPr>
          <w:trHeight w:val="216"/>
        </w:trPr>
        <w:tc>
          <w:tcPr>
            <w:tcW w:w="5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w w:val="98"/>
              </w:rPr>
              <w:t>Pre-tax net investment income (loss) per share - basic and diluted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(0.76)</w:t>
            </w:r>
          </w:p>
        </w:tc>
      </w:tr>
      <w:tr>
        <w:trPr>
          <w:trHeight w:val="236"/>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investment income (loss) per share - basic and diluted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5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w w:val="89"/>
              </w:rPr>
              <w:t>Net increase (decrease) in net assets from operations - basic and diluted</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40" w:type="dxa"/>
            <w:vAlign w:val="bottom"/>
            <w:tcBorders>
              <w:bottom w:val="single" w:sz="8" w:color="CCEEFF"/>
            </w:tcBorders>
          </w:tcPr>
          <w:p>
            <w:pPr>
              <w:spacing w:after="0"/>
              <w:rPr>
                <w:sz w:val="18"/>
                <w:szCs w:val="18"/>
                <w:color w:val="auto"/>
              </w:rPr>
            </w:pPr>
          </w:p>
        </w:tc>
      </w:tr>
      <w:tr>
        <w:trPr>
          <w:trHeight w:val="23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16,073,642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15,824,879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15,635,597</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560" w:type="dxa"/>
            <w:vAlign w:val="bottom"/>
          </w:tcPr>
          <w:p>
            <w:pPr>
              <w:spacing w:after="0" w:line="203" w:lineRule="exact"/>
              <w:rPr>
                <w:sz w:val="20"/>
                <w:szCs w:val="20"/>
                <w:color w:val="auto"/>
              </w:rPr>
            </w:pPr>
            <w:r>
              <w:rPr>
                <w:rFonts w:ascii="Arial" w:cs="Arial" w:eastAsia="Arial" w:hAnsi="Arial"/>
                <w:sz w:val="18"/>
                <w:szCs w:val="18"/>
                <w:b w:val="1"/>
                <w:bCs w:val="1"/>
                <w:color w:val="auto"/>
              </w:rPr>
              <w:t>Weighted average shares outstanding – diluted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16,138,541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15,877,331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15,723,617</w:t>
            </w:r>
          </w:p>
        </w:tc>
        <w:tc>
          <w:tcPr>
            <w:tcW w:w="40" w:type="dxa"/>
            <w:vAlign w:val="bottom"/>
          </w:tcPr>
          <w:p>
            <w:pPr>
              <w:spacing w:after="0"/>
              <w:rPr>
                <w:sz w:val="18"/>
                <w:szCs w:val="18"/>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10"/>
          </w:tcPr>
          <w:p>
            <w:pPr>
              <w:ind w:left="520"/>
              <w:spacing w:after="0"/>
              <w:rPr>
                <w:sz w:val="20"/>
                <w:szCs w:val="20"/>
                <w:color w:val="auto"/>
              </w:rPr>
            </w:pPr>
            <w:r>
              <w:rPr>
                <w:rFonts w:ascii="Arial" w:cs="Arial" w:eastAsia="Arial" w:hAnsi="Arial"/>
                <w:sz w:val="14"/>
                <w:szCs w:val="14"/>
                <w:b w:val="1"/>
                <w:bCs w:val="1"/>
                <w:color w:val="auto"/>
              </w:rPr>
              <w:t>Years Ended March 31,</w:t>
            </w:r>
          </w:p>
        </w:tc>
      </w:tr>
      <w:tr>
        <w:trPr>
          <w:trHeight w:val="142"/>
        </w:trPr>
        <w:tc>
          <w:tcPr>
            <w:tcW w:w="6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Net investment income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16,233</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7,888</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(10,687)</w:t>
            </w: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gain (loss) on investments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(10,802)</w:t>
            </w:r>
          </w:p>
        </w:tc>
      </w:tr>
      <w:tr>
        <w:trPr>
          <w:trHeight w:val="216"/>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change in unrealized appreciation on investments, net of tax</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16,089</w:t>
            </w:r>
          </w:p>
        </w:tc>
        <w:tc>
          <w:tcPr>
            <w:tcW w:w="60" w:type="dxa"/>
            <w:vAlign w:val="bottom"/>
            <w:tcBorders>
              <w:bottom w:val="single" w:sz="8" w:color="CCEEFF"/>
            </w:tcBorders>
          </w:tcPr>
          <w:p>
            <w:pPr>
              <w:spacing w:after="0"/>
              <w:rPr>
                <w:sz w:val="18"/>
                <w:szCs w:val="18"/>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Distributions from: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r>
      <w:tr>
        <w:trPr>
          <w:trHeight w:val="216"/>
        </w:trPr>
        <w:tc>
          <w:tcPr>
            <w:tcW w:w="6100" w:type="dxa"/>
            <w:vAlign w:val="bottom"/>
          </w:tcPr>
          <w:p>
            <w:pPr>
              <w:ind w:left="200"/>
              <w:spacing w:after="0"/>
              <w:rPr>
                <w:sz w:val="20"/>
                <w:szCs w:val="20"/>
                <w:color w:val="auto"/>
              </w:rPr>
            </w:pPr>
            <w:r>
              <w:rPr>
                <w:rFonts w:ascii="Arial" w:cs="Arial" w:eastAsia="Arial" w:hAnsi="Arial"/>
                <w:sz w:val="18"/>
                <w:szCs w:val="18"/>
                <w:color w:val="auto"/>
              </w:rPr>
              <w:t>Realized gains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(1,544)</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Taxes incurred on deemed capital gain distributions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Distributions of CSW Industrials,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unrealized appreciation related to spin-off investments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(458,338)</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Distribution from additional capital for spin-off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(26,279)</w:t>
            </w:r>
          </w:p>
        </w:tc>
      </w:tr>
      <w:tr>
        <w:trPr>
          <w:trHeight w:val="202"/>
        </w:trPr>
        <w:tc>
          <w:tcPr>
            <w:tcW w:w="6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Spin-Off Compensation Plan distribution, net of tax of $ - , $692 and $ - for the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years ended March 31, 2018, 2017 and 2016,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60" w:type="dxa"/>
            <w:vAlign w:val="bottom"/>
            <w:shd w:val="clear" w:color="auto" w:fill="CCEEFF"/>
          </w:tcPr>
          <w:p>
            <w:pPr>
              <w:spacing w:after="0"/>
              <w:rPr>
                <w:sz w:val="20"/>
                <w:szCs w:val="20"/>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Capital share transactions: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restoration plan liability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Exercise of employee stock options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0"/>
        </w:trPr>
        <w:tc>
          <w:tcPr>
            <w:tcW w:w="6100" w:type="dxa"/>
            <w:vAlign w:val="bottom"/>
          </w:tcPr>
          <w:p>
            <w:pPr>
              <w:ind w:left="220"/>
              <w:spacing w:after="0"/>
              <w:rPr>
                <w:sz w:val="20"/>
                <w:szCs w:val="20"/>
                <w:color w:val="auto"/>
              </w:rPr>
            </w:pPr>
            <w:r>
              <w:rPr>
                <w:rFonts w:ascii="Arial" w:cs="Arial" w:eastAsia="Arial" w:hAnsi="Arial"/>
                <w:sz w:val="18"/>
                <w:szCs w:val="18"/>
                <w:color w:val="auto"/>
              </w:rPr>
              <w:t>Increase (decrease) in net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(494,783)</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year</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285,072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272,635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767,418</w:t>
            </w:r>
          </w:p>
        </w:tc>
        <w:tc>
          <w:tcPr>
            <w:tcW w:w="60" w:type="dxa"/>
            <w:vAlign w:val="bottom"/>
            <w:shd w:val="clear" w:color="auto" w:fill="CCEEFF"/>
          </w:tcPr>
          <w:p>
            <w:pPr>
              <w:spacing w:after="0"/>
              <w:rPr>
                <w:sz w:val="18"/>
                <w:szCs w:val="18"/>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8"/>
                <w:szCs w:val="18"/>
                <w:b w:val="1"/>
                <w:bCs w:val="1"/>
                <w:color w:val="auto"/>
              </w:rPr>
              <w:t>Net assets, end of year</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308,288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285,072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272,635</w:t>
            </w:r>
          </w:p>
        </w:tc>
        <w:tc>
          <w:tcPr>
            <w:tcW w:w="60" w:type="dxa"/>
            <w:vAlign w:val="bottom"/>
          </w:tcPr>
          <w:p>
            <w:pPr>
              <w:spacing w:after="0"/>
              <w:rPr>
                <w:sz w:val="18"/>
                <w:szCs w:val="18"/>
                <w:color w:val="auto"/>
              </w:rPr>
            </w:pPr>
          </w:p>
        </w:tc>
      </w:tr>
    </w:tbl>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March 31,</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r>
      <w:tr>
        <w:trPr>
          <w:trHeight w:val="196"/>
        </w:trPr>
        <w:tc>
          <w:tcPr>
            <w:tcW w:w="6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Net increase (decrease) in net assets from operations</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39,307</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23,474</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(5,400)</w:t>
            </w:r>
          </w:p>
        </w:tc>
      </w:tr>
      <w:tr>
        <w:trPr>
          <w:trHeight w:val="19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w w:val="93"/>
              </w:rPr>
              <w:t>Adjustments to reconcile net increase (decrease) in net assets from operations to net cash</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2"/>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used in operating activities: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3"/>
        </w:trPr>
        <w:tc>
          <w:tcPr>
            <w:tcW w:w="6000" w:type="dxa"/>
            <w:vAlign w:val="bottom"/>
          </w:tcPr>
          <w:p>
            <w:pPr>
              <w:ind w:left="220"/>
              <w:spacing w:after="0"/>
              <w:rPr>
                <w:sz w:val="20"/>
                <w:szCs w:val="20"/>
                <w:color w:val="auto"/>
              </w:rPr>
            </w:pPr>
            <w:r>
              <w:rPr>
                <w:rFonts w:ascii="Arial" w:cs="Arial" w:eastAsia="Arial" w:hAnsi="Arial"/>
                <w:sz w:val="16"/>
                <w:szCs w:val="16"/>
                <w:color w:val="auto"/>
              </w:rPr>
              <w:t>Purchases and originations of investments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(166,181)</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(145,778)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(123,014)</w:t>
            </w:r>
          </w:p>
        </w:tc>
      </w:tr>
      <w:tr>
        <w:trPr>
          <w:trHeight w:val="203"/>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and repayments of debt investments in portfolio companies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44,568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rPr>
                <w:sz w:val="20"/>
                <w:szCs w:val="20"/>
                <w:color w:val="auto"/>
              </w:rPr>
            </w:pPr>
            <w:r>
              <w:rPr>
                <w:rFonts w:ascii="Arial" w:cs="Arial" w:eastAsia="Arial" w:hAnsi="Arial"/>
                <w:sz w:val="16"/>
                <w:szCs w:val="16"/>
                <w:color w:val="auto"/>
                <w:w w:val="94"/>
              </w:rPr>
              <w:t>Proceeds from sales and return of capital of equity investments in portfolio companies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19,637</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accreted original issue discounts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pension benefit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r>
      <w:tr>
        <w:trPr>
          <w:trHeight w:val="203"/>
        </w:trPr>
        <w:tc>
          <w:tcPr>
            <w:tcW w:w="6000" w:type="dxa"/>
            <w:vAlign w:val="bottom"/>
          </w:tcPr>
          <w:p>
            <w:pPr>
              <w:ind w:left="220"/>
              <w:spacing w:after="0"/>
              <w:rPr>
                <w:sz w:val="20"/>
                <w:szCs w:val="20"/>
                <w:color w:val="auto"/>
              </w:rPr>
            </w:pPr>
            <w:r>
              <w:rPr>
                <w:rFonts w:ascii="Arial" w:cs="Arial" w:eastAsia="Arial" w:hAnsi="Arial"/>
                <w:sz w:val="16"/>
                <w:szCs w:val="16"/>
                <w:color w:val="auto"/>
              </w:rPr>
              <w:t>Realized (gain) loss on investments before income tax</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(1,582)</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(7,896)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10,802</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unrealized appreciation on investments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(21,359)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(16,089)</w:t>
            </w:r>
          </w:p>
        </w:tc>
      </w:tr>
      <w:tr>
        <w:trPr>
          <w:trHeight w:val="203"/>
        </w:trPr>
        <w:tc>
          <w:tcPr>
            <w:tcW w:w="6000" w:type="dxa"/>
            <w:vAlign w:val="bottom"/>
          </w:tcPr>
          <w:p>
            <w:pPr>
              <w:ind w:left="220"/>
              <w:spacing w:after="0"/>
              <w:rPr>
                <w:sz w:val="20"/>
                <w:szCs w:val="20"/>
                <w:color w:val="auto"/>
              </w:rPr>
            </w:pPr>
            <w:r>
              <w:rPr>
                <w:rFonts w:ascii="Arial" w:cs="Arial" w:eastAsia="Arial" w:hAnsi="Arial"/>
                <w:sz w:val="16"/>
                <w:szCs w:val="16"/>
                <w:color w:val="auto"/>
              </w:rPr>
              <w:t>Accretion of discounts on investments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(96)</w:t>
            </w:r>
          </w:p>
        </w:tc>
      </w:tr>
      <w:tr>
        <w:trPr>
          <w:trHeight w:val="203"/>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Payment-in-kind interest and dividends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rPr>
                <w:sz w:val="20"/>
                <w:szCs w:val="20"/>
                <w:color w:val="auto"/>
              </w:rPr>
            </w:pPr>
            <w:r>
              <w:rPr>
                <w:rFonts w:ascii="Arial" w:cs="Arial" w:eastAsia="Arial" w:hAnsi="Arial"/>
                <w:sz w:val="16"/>
                <w:szCs w:val="16"/>
                <w:color w:val="auto"/>
              </w:rPr>
              <w:t>Stock option and restricted awards expense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1,181</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(363)</w:t>
            </w:r>
          </w:p>
        </w:tc>
      </w:tr>
      <w:tr>
        <w:trPr>
          <w:trHeight w:val="203"/>
        </w:trPr>
        <w:tc>
          <w:tcPr>
            <w:tcW w:w="6000" w:type="dxa"/>
            <w:vAlign w:val="bottom"/>
          </w:tcPr>
          <w:p>
            <w:pPr>
              <w:ind w:left="220"/>
              <w:spacing w:after="0"/>
              <w:rPr>
                <w:sz w:val="20"/>
                <w:szCs w:val="20"/>
                <w:color w:val="auto"/>
              </w:rPr>
            </w:pPr>
            <w:r>
              <w:rPr>
                <w:rFonts w:ascii="Arial" w:cs="Arial" w:eastAsia="Arial" w:hAnsi="Arial"/>
                <w:sz w:val="16"/>
                <w:szCs w:val="16"/>
                <w:color w:val="auto"/>
              </w:rPr>
              <w:t>Changes in other assets and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 decrease in dividend and interest receivable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(2,082)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(1,675)</w:t>
            </w:r>
          </w:p>
        </w:tc>
      </w:tr>
      <w:tr>
        <w:trPr>
          <w:trHeight w:val="203"/>
        </w:trPr>
        <w:tc>
          <w:tcPr>
            <w:tcW w:w="6000" w:type="dxa"/>
            <w:vAlign w:val="bottom"/>
          </w:tcPr>
          <w:p>
            <w:pPr>
              <w:ind w:left="320"/>
              <w:spacing w:after="0"/>
              <w:rPr>
                <w:sz w:val="20"/>
                <w:szCs w:val="20"/>
                <w:color w:val="auto"/>
              </w:rPr>
            </w:pPr>
            <w:r>
              <w:rPr>
                <w:rFonts w:ascii="Arial" w:cs="Arial" w:eastAsia="Arial" w:hAnsi="Arial"/>
                <w:sz w:val="16"/>
                <w:szCs w:val="16"/>
                <w:color w:val="auto"/>
              </w:rPr>
              <w:t>Decrease (increase) in escrow receivables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(570)</w:t>
            </w:r>
          </w:p>
        </w:tc>
      </w:tr>
      <w:tr>
        <w:trPr>
          <w:trHeight w:val="203"/>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(increase) in other receivables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ind w:left="320"/>
              <w:spacing w:after="0"/>
              <w:rPr>
                <w:sz w:val="20"/>
                <w:szCs w:val="20"/>
                <w:color w:val="auto"/>
              </w:rPr>
            </w:pPr>
            <w:r>
              <w:rPr>
                <w:rFonts w:ascii="Arial" w:cs="Arial" w:eastAsia="Arial" w:hAnsi="Arial"/>
                <w:sz w:val="16"/>
                <w:szCs w:val="16"/>
                <w:color w:val="auto"/>
              </w:rPr>
              <w:t>(Increase) decrease in tax receivable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(915)</w:t>
            </w:r>
          </w:p>
        </w:tc>
      </w:tr>
      <w:tr>
        <w:trPr>
          <w:trHeight w:val="203"/>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(increase) in other assets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(601)</w:t>
            </w:r>
          </w:p>
        </w:tc>
      </w:tr>
      <w:tr>
        <w:trPr>
          <w:trHeight w:val="203"/>
        </w:trPr>
        <w:tc>
          <w:tcPr>
            <w:tcW w:w="6000" w:type="dxa"/>
            <w:vAlign w:val="bottom"/>
          </w:tcPr>
          <w:p>
            <w:pPr>
              <w:ind w:left="320"/>
              <w:spacing w:after="0"/>
              <w:rPr>
                <w:sz w:val="20"/>
                <w:szCs w:val="20"/>
                <w:color w:val="auto"/>
              </w:rPr>
            </w:pPr>
            <w:r>
              <w:rPr>
                <w:rFonts w:ascii="Arial" w:cs="Arial" w:eastAsia="Arial" w:hAnsi="Arial"/>
                <w:sz w:val="16"/>
                <w:szCs w:val="16"/>
                <w:color w:val="auto"/>
              </w:rPr>
              <w:t>Increase in other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Increase (decrease) in payable for unsettled transaction</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w:t>
            </w:r>
          </w:p>
        </w:tc>
        <w:tc>
          <w:tcPr>
            <w:tcW w:w="40" w:type="dxa"/>
            <w:vAlign w:val="bottom"/>
            <w:shd w:val="clear" w:color="auto" w:fill="CCEEFF"/>
          </w:tcPr>
          <w:p>
            <w:pPr>
              <w:spacing w:after="0"/>
              <w:rPr>
                <w:sz w:val="17"/>
                <w:szCs w:val="17"/>
                <w:color w:val="auto"/>
              </w:rPr>
            </w:pPr>
          </w:p>
        </w:tc>
      </w:tr>
      <w:tr>
        <w:trPr>
          <w:trHeight w:val="196"/>
        </w:trPr>
        <w:tc>
          <w:tcPr>
            <w:tcW w:w="6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(63,863)</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(89,559)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(111,506)</w:t>
            </w:r>
          </w:p>
        </w:tc>
        <w:tc>
          <w:tcPr>
            <w:tcW w:w="40" w:type="dxa"/>
            <w:vAlign w:val="bottom"/>
            <w:tcBorders>
              <w:bottom w:val="single" w:sz="8" w:color="CCEEFF"/>
            </w:tcBorders>
          </w:tcPr>
          <w:p>
            <w:pPr>
              <w:spacing w:after="0"/>
              <w:rPr>
                <w:sz w:val="17"/>
                <w:szCs w:val="17"/>
                <w:color w:val="auto"/>
              </w:rPr>
            </w:pPr>
          </w:p>
        </w:tc>
      </w:tr>
      <w:tr>
        <w:trPr>
          <w:trHeight w:val="196"/>
        </w:trPr>
        <w:tc>
          <w:tcPr>
            <w:tcW w:w="6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Borrowings under credit facility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Repayments of credit facility</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(61,000)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Debt issuance costs paid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(2,503)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notes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Taxes incurred on deemed capital gain distribution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(2,948)</w:t>
            </w: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Dividends to shareholders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(18,586)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Proceeds from exercise of employee stock options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431</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Common stock withheld for payroll taxes upon vesting of restricted stock</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Spin-off Compensation Plan distribution</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(1,261)</w:t>
            </w: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Cash distribution to CSW Industrials, Inc.</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(13,000)</w:t>
            </w:r>
          </w:p>
        </w:tc>
      </w:tr>
      <w:tr>
        <w:trPr>
          <w:trHeight w:val="19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49,384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(18,322)</w:t>
            </w:r>
          </w:p>
        </w:tc>
        <w:tc>
          <w:tcPr>
            <w:tcW w:w="40" w:type="dxa"/>
            <w:vAlign w:val="bottom"/>
            <w:tcBorders>
              <w:top w:val="single" w:sz="8" w:color="CCEEFF"/>
            </w:tcBorders>
            <w:shd w:val="clear" w:color="auto" w:fill="CCEEFF"/>
          </w:tcPr>
          <w:p>
            <w:pPr>
              <w:spacing w:after="0"/>
              <w:rPr>
                <w:sz w:val="17"/>
                <w:szCs w:val="17"/>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(73,583)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(129,828)</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22,386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225,797</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95,969</w:t>
            </w:r>
          </w:p>
        </w:tc>
        <w:tc>
          <w:tcPr>
            <w:tcW w:w="40" w:type="dxa"/>
            <w:vAlign w:val="bottom"/>
            <w:tcBorders>
              <w:bottom w:val="single" w:sz="8" w:color="CCEEFF"/>
            </w:tcBorders>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disclosures: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2,948</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financing activities: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not yet paid</w:t>
            </w:r>
          </w:p>
        </w:tc>
        <w:tc>
          <w:tcPr>
            <w:tcW w:w="42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Noncash adjustment to realized gain for escrow receivable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Cost of Investments spun-off</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c>
          <w:tcPr>
            <w:tcW w:w="40" w:type="dxa"/>
            <w:vAlign w:val="bottom"/>
            <w:shd w:val="clear" w:color="auto" w:fill="CCEEFF"/>
          </w:tcPr>
          <w:p>
            <w:pPr>
              <w:spacing w:after="0"/>
              <w:rPr>
                <w:sz w:val="17"/>
                <w:szCs w:val="17"/>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Decrease in unrealized appreciation due to spin-off of CSWI</w:t>
            </w:r>
            <w:r>
              <w:rPr>
                <w:rFonts w:ascii="Arial" w:cs="Arial" w:eastAsia="Arial" w:hAnsi="Arial"/>
                <w:sz w:val="17"/>
                <w:szCs w:val="17"/>
                <w:color w:val="auto"/>
                <w:vertAlign w:val="superscript"/>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458,338</w:t>
            </w:r>
          </w:p>
        </w:tc>
        <w:tc>
          <w:tcPr>
            <w:tcW w:w="4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rPr>
                <w:sz w:val="20"/>
                <w:szCs w:val="20"/>
                <w:color w:val="auto"/>
              </w:rPr>
            </w:pPr>
            <w:r>
              <w:rPr>
                <w:rFonts w:ascii="Arial" w:cs="Arial" w:eastAsia="Arial" w:hAnsi="Arial"/>
                <w:sz w:val="16"/>
                <w:szCs w:val="16"/>
                <w:color w:val="auto"/>
              </w:rPr>
              <w:t>Net pension assets</w:t>
            </w:r>
            <w:r>
              <w:rPr>
                <w:rFonts w:ascii="Arial" w:cs="Arial" w:eastAsia="Arial" w:hAnsi="Arial"/>
                <w:sz w:val="17"/>
                <w:szCs w:val="17"/>
                <w:color w:val="auto"/>
                <w:vertAlign w:val="superscript"/>
              </w:rPr>
              <w:t>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9,687</w:t>
            </w:r>
          </w:p>
        </w:tc>
        <w:tc>
          <w:tcPr>
            <w:tcW w:w="40" w:type="dxa"/>
            <w:vAlign w:val="bottom"/>
            <w:shd w:val="clear" w:color="auto" w:fill="CCEEFF"/>
          </w:tcPr>
          <w:p>
            <w:pPr>
              <w:spacing w:after="0"/>
              <w:rPr>
                <w:sz w:val="17"/>
                <w:szCs w:val="17"/>
                <w:color w:val="auto"/>
              </w:rPr>
            </w:pPr>
          </w:p>
        </w:tc>
      </w:tr>
      <w:tr>
        <w:trPr>
          <w:trHeight w:val="193"/>
        </w:trPr>
        <w:tc>
          <w:tcPr>
            <w:tcW w:w="6000" w:type="dxa"/>
            <w:vAlign w:val="bottom"/>
          </w:tcPr>
          <w:p>
            <w:pPr>
              <w:spacing w:after="0" w:line="193" w:lineRule="exact"/>
              <w:rPr>
                <w:sz w:val="20"/>
                <w:szCs w:val="20"/>
                <w:color w:val="auto"/>
              </w:rPr>
            </w:pPr>
            <w:r>
              <w:rPr>
                <w:rFonts w:ascii="Arial" w:cs="Arial" w:eastAsia="Arial" w:hAnsi="Arial"/>
                <w:sz w:val="16"/>
                <w:szCs w:val="16"/>
                <w:color w:val="auto"/>
              </w:rPr>
              <w:t>Change in deferred tax liabilities</w:t>
            </w:r>
            <w:r>
              <w:rPr>
                <w:rFonts w:ascii="Arial" w:cs="Arial" w:eastAsia="Arial" w:hAnsi="Arial"/>
                <w:sz w:val="17"/>
                <w:szCs w:val="17"/>
                <w:color w:val="auto"/>
                <w:vertAlign w:val="superscript"/>
              </w:rPr>
              <w:t>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3,391</w:t>
            </w:r>
          </w:p>
        </w:tc>
        <w:tc>
          <w:tcPr>
            <w:tcW w:w="40" w:type="dxa"/>
            <w:vAlign w:val="bottom"/>
          </w:tcPr>
          <w:p>
            <w:pPr>
              <w:spacing w:after="0"/>
              <w:rPr>
                <w:sz w:val="16"/>
                <w:szCs w:val="16"/>
                <w:color w:val="auto"/>
              </w:rPr>
            </w:pPr>
          </w:p>
        </w:tc>
      </w:tr>
      <w:tr>
        <w:trPr>
          <w:trHeight w:val="192"/>
        </w:trPr>
        <w:tc>
          <w:tcPr>
            <w:tcW w:w="6000" w:type="dxa"/>
            <w:vAlign w:val="bottom"/>
          </w:tcPr>
          <w:p>
            <w:pPr>
              <w:spacing w:after="0"/>
              <w:rPr>
                <w:sz w:val="20"/>
                <w:szCs w:val="20"/>
                <w:color w:val="auto"/>
              </w:rPr>
            </w:pPr>
            <w:r>
              <w:rPr>
                <w:rFonts w:ascii="Arial" w:cs="Arial" w:eastAsia="Arial" w:hAnsi="Arial"/>
                <w:sz w:val="16"/>
                <w:szCs w:val="16"/>
                <w:color w:val="auto"/>
              </w:rPr>
              <w:t>Spin-off Compensation Plan distribution accrued, not yet paid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513</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575437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ind w:left="320" w:hanging="317"/>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non-cash items are related to the spin-off of CSW Industrials, Inc. at September 30, 2015.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ind w:left="2740"/>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13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4"/>
                <w:szCs w:val="14"/>
                <w:b w:val="1"/>
                <w:bCs w:val="1"/>
                <w:color w:val="auto"/>
                <w:vertAlign w:val="superscript"/>
              </w:rPr>
              <w:t>1</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0"/>
              </w:rPr>
              <w:t>Investment</w:t>
            </w:r>
            <w:r>
              <w:rPr>
                <w:rFonts w:ascii="Arial" w:cs="Arial" w:eastAsia="Arial" w:hAnsi="Arial"/>
                <w:sz w:val="14"/>
                <w:szCs w:val="14"/>
                <w:b w:val="1"/>
                <w:bCs w:val="1"/>
                <w:color w:val="auto"/>
                <w:w w:val="90"/>
                <w:vertAlign w:val="superscript"/>
              </w:rPr>
              <w:t>2</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Rate</w:t>
            </w:r>
            <w:r>
              <w:rPr>
                <w:rFonts w:ascii="Arial" w:cs="Arial" w:eastAsia="Arial" w:hAnsi="Arial"/>
                <w:sz w:val="14"/>
                <w:szCs w:val="14"/>
                <w:b w:val="1"/>
                <w:bCs w:val="1"/>
                <w:color w:val="auto"/>
                <w:w w:val="89"/>
                <w:vertAlign w:val="superscript"/>
              </w:rPr>
              <w:t>3</w:t>
            </w: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Value</w:t>
            </w:r>
            <w:r>
              <w:rPr>
                <w:rFonts w:ascii="Arial" w:cs="Arial" w:eastAsia="Arial" w:hAnsi="Arial"/>
                <w:sz w:val="14"/>
                <w:szCs w:val="14"/>
                <w:b w:val="1"/>
                <w:bCs w:val="1"/>
                <w:color w:val="auto"/>
                <w:w w:val="89"/>
                <w:vertAlign w:val="superscript"/>
              </w:rPr>
              <w:t>4</w:t>
            </w:r>
          </w:p>
        </w:tc>
        <w:tc>
          <w:tcPr>
            <w:tcW w:w="0" w:type="dxa"/>
            <w:vAlign w:val="bottom"/>
          </w:tcPr>
          <w:p>
            <w:pPr>
              <w:spacing w:after="0"/>
              <w:rPr>
                <w:sz w:val="1"/>
                <w:szCs w:val="1"/>
                <w:color w:val="auto"/>
              </w:rPr>
            </w:pPr>
          </w:p>
        </w:tc>
      </w:tr>
      <w:tr>
        <w:trPr>
          <w:trHeight w:val="119"/>
        </w:trPr>
        <w:tc>
          <w:tcPr>
            <w:tcW w:w="194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Non-control/Non-affiliate</w:t>
            </w:r>
          </w:p>
        </w:tc>
        <w:tc>
          <w:tcPr>
            <w:tcW w:w="120" w:type="dxa"/>
            <w:vAlign w:val="bottom"/>
            <w:tcBorders>
              <w:top w:val="single" w:sz="8" w:color="CCEEFF"/>
            </w:tcBorders>
            <w:shd w:val="clear" w:color="auto" w:fill="CCEEFF"/>
          </w:tcPr>
          <w:p>
            <w:pPr>
              <w:spacing w:after="0"/>
              <w:rPr>
                <w:sz w:val="10"/>
                <w:szCs w:val="10"/>
                <w:color w:val="auto"/>
              </w:rPr>
            </w:pPr>
          </w:p>
        </w:tc>
        <w:tc>
          <w:tcPr>
            <w:tcW w:w="23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4"/>
                <w:szCs w:val="14"/>
                <w:b w:val="1"/>
                <w:bCs w:val="1"/>
                <w:color w:val="auto"/>
                <w:vertAlign w:val="superscript"/>
              </w:rPr>
              <w:t>5</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L+6.75% (Floor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AAC HOLDINGS, INC.</w:t>
            </w: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1.00%), Current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40" w:type="dxa"/>
            <w:vAlign w:val="bottom"/>
            <w:vMerge w:val="continue"/>
          </w:tcPr>
          <w:p>
            <w:pPr>
              <w:spacing w:after="0"/>
              <w:rPr>
                <w:sz w:val="14"/>
                <w:szCs w:val="14"/>
                <w:color w:val="auto"/>
              </w:rPr>
            </w:pPr>
          </w:p>
        </w:tc>
        <w:tc>
          <w:tcPr>
            <w:tcW w:w="2480" w:type="dxa"/>
            <w:vAlign w:val="bottom"/>
            <w:gridSpan w:val="2"/>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w w:val="97"/>
              </w:rPr>
              <w:t>Healthcare services</w:t>
            </w: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Coupon 8.52%</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6/30/2023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9,321,875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$ 9,110,902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$ 9,485,008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L+9.40% (Floor</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AG KINGS HOLDINGS INC.</w:t>
            </w:r>
            <w:r>
              <w:rPr>
                <w:rFonts w:ascii="Arial" w:cs="Arial" w:eastAsia="Arial" w:hAnsi="Arial"/>
                <w:sz w:val="14"/>
                <w:szCs w:val="14"/>
                <w:b w:val="1"/>
                <w:bCs w:val="1"/>
                <w:color w:val="auto"/>
                <w:vertAlign w:val="superscript"/>
              </w:rPr>
              <w:t>8</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Food, agriculture &amp;</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5"/>
              </w:rPr>
              <w:t>1.00%), Current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40" w:type="dxa"/>
            <w:vAlign w:val="bottom"/>
            <w:vMerge w:val="continue"/>
            <w:shd w:val="clear" w:color="auto" w:fill="CCEEFF"/>
          </w:tcPr>
          <w:p>
            <w:pPr>
              <w:spacing w:after="0"/>
              <w:rPr>
                <w:sz w:val="14"/>
                <w:szCs w:val="14"/>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beverage</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Coupon 11.21%</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9,650,000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9,507,562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9,437,700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940" w:type="dxa"/>
            <w:vAlign w:val="bottom"/>
          </w:tcPr>
          <w:p>
            <w:pPr>
              <w:spacing w:after="0" w:line="126" w:lineRule="exact"/>
              <w:rPr>
                <w:sz w:val="20"/>
                <w:szCs w:val="20"/>
                <w:color w:val="auto"/>
              </w:rPr>
            </w:pPr>
            <w:r>
              <w:rPr>
                <w:rFonts w:ascii="Arial" w:cs="Arial" w:eastAsia="Arial" w:hAnsi="Arial"/>
                <w:sz w:val="14"/>
                <w:szCs w:val="14"/>
                <w:b w:val="1"/>
                <w:bCs w:val="1"/>
                <w:color w:val="auto"/>
              </w:rPr>
              <w:t>ALLIANCE SPORTS GROUP,</w:t>
            </w:r>
          </w:p>
        </w:tc>
        <w:tc>
          <w:tcPr>
            <w:tcW w:w="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380" w:type="dxa"/>
            <w:vAlign w:val="bottom"/>
            <w:gridSpan w:val="2"/>
          </w:tcPr>
          <w:p>
            <w:pPr>
              <w:ind w:left="160"/>
              <w:spacing w:after="0" w:line="126" w:lineRule="exact"/>
              <w:rPr>
                <w:sz w:val="20"/>
                <w:szCs w:val="20"/>
                <w:color w:val="auto"/>
              </w:rPr>
            </w:pPr>
            <w:r>
              <w:rPr>
                <w:rFonts w:ascii="Arial" w:cs="Arial" w:eastAsia="Arial" w:hAnsi="Arial"/>
                <w:sz w:val="14"/>
                <w:szCs w:val="14"/>
                <w:color w:val="auto"/>
                <w:w w:val="98"/>
              </w:rPr>
              <w:t>Consumer products</w:t>
            </w: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20"/>
                <w:szCs w:val="20"/>
                <w:color w:val="auto"/>
              </w:rPr>
            </w:pPr>
            <w:r>
              <w:rPr>
                <w:rFonts w:ascii="Arial" w:cs="Arial" w:eastAsia="Arial" w:hAnsi="Arial"/>
                <w:sz w:val="14"/>
                <w:szCs w:val="14"/>
                <w:b w:val="1"/>
                <w:bCs w:val="1"/>
                <w:color w:val="auto"/>
              </w:rPr>
              <w:t>L.P.</w:t>
            </w:r>
          </w:p>
        </w:tc>
        <w:tc>
          <w:tcPr>
            <w:tcW w:w="2480" w:type="dxa"/>
            <w:vAlign w:val="bottom"/>
            <w:gridSpan w:val="2"/>
          </w:tcPr>
          <w:p>
            <w:pPr>
              <w:ind w:left="120"/>
              <w:spacing w:after="0"/>
              <w:rPr>
                <w:sz w:val="20"/>
                <w:szCs w:val="20"/>
                <w:color w:val="auto"/>
              </w:rPr>
            </w:pPr>
            <w:r>
              <w:rPr>
                <w:rFonts w:ascii="Arial" w:cs="Arial" w:eastAsia="Arial" w:hAnsi="Arial"/>
                <w:sz w:val="14"/>
                <w:szCs w:val="14"/>
                <w:color w:val="auto"/>
              </w:rPr>
              <w:t>Senior subordinated debt</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&amp; retail</w:t>
            </w:r>
          </w:p>
        </w:tc>
        <w:tc>
          <w:tcPr>
            <w:tcW w:w="116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11.00%</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2/1/2023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10,100,000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9,916,216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9,807,100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2.65% membership interest</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0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12,416,216</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11,803,100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AMERICAN</w:t>
            </w:r>
          </w:p>
        </w:tc>
        <w:tc>
          <w:tcPr>
            <w:tcW w:w="12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4"/>
                <w:szCs w:val="14"/>
                <w:color w:val="auto"/>
                <w:w w:val="97"/>
              </w:rPr>
              <w:t>L+6.50% (Floor</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TELECONFERENCING</w:t>
            </w: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5"/>
              </w:rPr>
              <w:t>1.00%), Current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SERVICES, LTD.</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3"/>
              </w:rPr>
              <w:t>Telecommunications</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Coupon 8.29%</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12/8/2021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6,378,173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6,238,734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6,376,578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L+9.50% (Floor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1.00%), Current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2480" w:type="dxa"/>
            <w:vAlign w:val="bottom"/>
            <w:gridSpan w:val="2"/>
          </w:tcPr>
          <w:p>
            <w:pPr>
              <w:ind w:left="120"/>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11.20%</w:t>
            </w:r>
          </w:p>
        </w:tc>
        <w:tc>
          <w:tcPr>
            <w:tcW w:w="600" w:type="dxa"/>
            <w:vAlign w:val="bottom"/>
          </w:tcPr>
          <w:p>
            <w:pPr>
              <w:jc w:val="center"/>
              <w:spacing w:after="0"/>
              <w:rPr>
                <w:sz w:val="20"/>
                <w:szCs w:val="20"/>
                <w:color w:val="auto"/>
              </w:rPr>
            </w:pPr>
            <w:r>
              <w:rPr>
                <w:rFonts w:ascii="Arial" w:cs="Arial" w:eastAsia="Arial" w:hAnsi="Arial"/>
                <w:sz w:val="14"/>
                <w:szCs w:val="14"/>
                <w:color w:val="auto"/>
                <w:w w:val="95"/>
              </w:rPr>
              <w:t>6/6/2022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2,005,714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1,941,047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1,918,806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8,179,781</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8,295,384</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AMWARE FULFILLMENT</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00" w:type="dxa"/>
            <w:vAlign w:val="bottom"/>
            <w:gridSpan w:val="3"/>
          </w:tcPr>
          <w:p>
            <w:pPr>
              <w:jc w:val="center"/>
              <w:spacing w:after="0" w:line="130" w:lineRule="exact"/>
              <w:rPr>
                <w:sz w:val="20"/>
                <w:szCs w:val="20"/>
                <w:color w:val="auto"/>
              </w:rPr>
            </w:pPr>
            <w:r>
              <w:rPr>
                <w:rFonts w:ascii="Arial" w:cs="Arial" w:eastAsia="Arial" w:hAnsi="Arial"/>
                <w:sz w:val="14"/>
                <w:szCs w:val="14"/>
                <w:color w:val="auto"/>
                <w:w w:val="98"/>
              </w:rPr>
              <w:t>L+12.00% (Floor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5"/>
              </w:rPr>
              <w:t>1.00%), Current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14"/>
                <w:szCs w:val="14"/>
                <w:b w:val="1"/>
                <w:bCs w:val="1"/>
                <w:color w:val="auto"/>
                <w:vertAlign w:val="superscript"/>
              </w:rPr>
              <w:t>17</w:t>
            </w:r>
          </w:p>
        </w:tc>
        <w:tc>
          <w:tcPr>
            <w:tcW w:w="2480" w:type="dxa"/>
            <w:vAlign w:val="bottom"/>
            <w:gridSpan w:val="2"/>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Distribution</w:t>
            </w: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14.02%</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5/21/2019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13,478,333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13,284,488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12,939,200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BINSWANGER HOLDING</w:t>
            </w:r>
          </w:p>
        </w:tc>
        <w:tc>
          <w:tcPr>
            <w:tcW w:w="1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L+8.00% (Floor</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5"/>
              </w:rPr>
              <w:t>1.00%), Current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CORP.</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Distribution</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Coupon 10.02%</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3/9/2022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13,036,418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12,817,614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12,899,536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4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900,000 shares of common stock</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00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900,000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13,717,614</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13,773,536</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CALIFORNIA PIZZA</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L+6.00% (Floor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5"/>
              </w:rPr>
              <w:t>1.00%), Current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20"/>
                <w:szCs w:val="20"/>
                <w:color w:val="auto"/>
              </w:rPr>
            </w:pPr>
            <w:r>
              <w:rPr>
                <w:rFonts w:ascii="Arial" w:cs="Arial" w:eastAsia="Arial" w:hAnsi="Arial"/>
                <w:sz w:val="14"/>
                <w:szCs w:val="14"/>
                <w:b w:val="1"/>
                <w:bCs w:val="1"/>
                <w:color w:val="auto"/>
              </w:rPr>
              <w:t>KITCHEN, INC.</w:t>
            </w:r>
          </w:p>
        </w:tc>
        <w:tc>
          <w:tcPr>
            <w:tcW w:w="2480" w:type="dxa"/>
            <w:vAlign w:val="bottom"/>
            <w:gridSpan w:val="2"/>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Restaurants</w:t>
            </w: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Coupon 7.88%</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8/23/2022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4,925,000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4,886,550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4,836,350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CAPITAL PAWN</w:t>
            </w:r>
          </w:p>
        </w:tc>
        <w:tc>
          <w:tcPr>
            <w:tcW w:w="1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L+9.50%,</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160"/>
              <w:spacing w:after="0" w:line="145" w:lineRule="exact"/>
              <w:rPr>
                <w:sz w:val="20"/>
                <w:szCs w:val="20"/>
                <w:color w:val="auto"/>
              </w:rPr>
            </w:pPr>
            <w:r>
              <w:rPr>
                <w:rFonts w:ascii="Arial" w:cs="Arial" w:eastAsia="Arial" w:hAnsi="Arial"/>
                <w:sz w:val="14"/>
                <w:szCs w:val="14"/>
                <w:color w:val="auto"/>
                <w:w w:val="98"/>
              </w:rPr>
              <w:t>Consumer products</w:t>
            </w: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4"/>
              </w:rPr>
              <w:t>Current Coupon</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HOLDINGS, LLC</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&amp; retail</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11.19%</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7/8/2020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12,922,365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12,669,652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12,767,297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L+8.50% (Floor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CLICKBOOTH.COM, LLC</w:t>
            </w: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9"/>
              </w:rPr>
              <w:t>Media, marketing &amp;</w:t>
            </w: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1.00%), Current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40" w:type="dxa"/>
            <w:vAlign w:val="bottom"/>
            <w:vMerge w:val="continue"/>
          </w:tcPr>
          <w:p>
            <w:pPr>
              <w:spacing w:after="0"/>
              <w:rPr>
                <w:sz w:val="14"/>
                <w:szCs w:val="14"/>
                <w:color w:val="auto"/>
              </w:rPr>
            </w:pPr>
          </w:p>
        </w:tc>
        <w:tc>
          <w:tcPr>
            <w:tcW w:w="2480" w:type="dxa"/>
            <w:vAlign w:val="bottom"/>
            <w:gridSpan w:val="2"/>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entertainment</w:t>
            </w: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10.19%</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12/5/2022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17,390,625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17,059,608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17,442,797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L+8.50% (Floor</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Revolving Loan</w:t>
            </w:r>
            <w:r>
              <w:rPr>
                <w:rFonts w:ascii="Arial" w:cs="Arial" w:eastAsia="Arial" w:hAnsi="Arial"/>
                <w:sz w:val="14"/>
                <w:szCs w:val="14"/>
                <w:color w:val="auto"/>
                <w:vertAlign w:val="superscript"/>
              </w:rPr>
              <w:t>15</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1.00%)</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12/5/2022</w:t>
            </w:r>
          </w:p>
        </w:tc>
        <w:tc>
          <w:tcPr>
            <w:tcW w:w="10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17,040,889</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17,442,797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DEEPWATER CORROSION</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7"/>
              </w:rPr>
              <w:t>127,004 shares of Series A convertible</w:t>
            </w: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Energy services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SERVICES, INC.</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preferred stock</w:t>
            </w:r>
          </w:p>
        </w:tc>
        <w:tc>
          <w:tcPr>
            <w:tcW w:w="1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(upstream)</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0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4,629,000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DELPHI INTERMEDIATE</w:t>
            </w: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L+7.50% (Floor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5"/>
              </w:rPr>
              <w:t>1.00%), Current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40" w:type="dxa"/>
            <w:vAlign w:val="bottom"/>
          </w:tcPr>
          <w:p>
            <w:pPr>
              <w:spacing w:after="0"/>
              <w:rPr>
                <w:sz w:val="20"/>
                <w:szCs w:val="20"/>
                <w:color w:val="auto"/>
              </w:rPr>
            </w:pPr>
            <w:r>
              <w:rPr>
                <w:rFonts w:ascii="Arial" w:cs="Arial" w:eastAsia="Arial" w:hAnsi="Arial"/>
                <w:sz w:val="14"/>
                <w:szCs w:val="14"/>
                <w:b w:val="1"/>
                <w:bCs w:val="1"/>
                <w:color w:val="auto"/>
              </w:rPr>
              <w:t>HEALTHCO, LLC</w:t>
            </w:r>
          </w:p>
        </w:tc>
        <w:tc>
          <w:tcPr>
            <w:tcW w:w="2480" w:type="dxa"/>
            <w:vAlign w:val="bottom"/>
            <w:gridSpan w:val="2"/>
          </w:tcPr>
          <w:p>
            <w:pPr>
              <w:ind w:left="120"/>
              <w:spacing w:after="0"/>
              <w:rPr>
                <w:sz w:val="20"/>
                <w:szCs w:val="20"/>
                <w:color w:val="auto"/>
              </w:rPr>
            </w:pPr>
            <w:r>
              <w:rPr>
                <w:rFonts w:ascii="Arial" w:cs="Arial" w:eastAsia="Arial" w:hAnsi="Arial"/>
                <w:sz w:val="14"/>
                <w:szCs w:val="14"/>
                <w:color w:val="auto"/>
              </w:rPr>
              <w:t>First Lien</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w w:val="97"/>
              </w:rPr>
              <w:t>Healthcare services</w:t>
            </w:r>
          </w:p>
        </w:tc>
        <w:tc>
          <w:tcPr>
            <w:tcW w:w="14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Coupon 9.27%</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10/3/2022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7,406,250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7,336,879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7,265,531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749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620"/>
          </w:cols>
          <w:pgMar w:left="640" w:top="148" w:right="6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4"/>
                <w:szCs w:val="14"/>
                <w:b w:val="1"/>
                <w:bCs w:val="1"/>
                <w:color w:val="auto"/>
                <w:vertAlign w:val="superscript"/>
              </w:rPr>
              <w:t>1</w:t>
            </w:r>
          </w:p>
        </w:tc>
        <w:tc>
          <w:tcPr>
            <w:tcW w:w="14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Interest</w:t>
            </w: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 xml:space="preserve">Investment </w:t>
            </w:r>
            <w:r>
              <w:rPr>
                <w:rFonts w:ascii="Arial" w:cs="Arial" w:eastAsia="Arial" w:hAnsi="Arial"/>
                <w:sz w:val="14"/>
                <w:szCs w:val="14"/>
                <w:b w:val="1"/>
                <w:bCs w:val="1"/>
                <w:color w:val="auto"/>
                <w:w w:val="91"/>
                <w:vertAlign w:val="superscript"/>
              </w:rPr>
              <w:t>2</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 xml:space="preserve">Rate </w:t>
            </w:r>
            <w:r>
              <w:rPr>
                <w:rFonts w:ascii="Arial" w:cs="Arial" w:eastAsia="Arial" w:hAnsi="Arial"/>
                <w:sz w:val="14"/>
                <w:szCs w:val="14"/>
                <w:b w:val="1"/>
                <w:bCs w:val="1"/>
                <w:color w:val="auto"/>
                <w:w w:val="91"/>
                <w:vertAlign w:val="superscript"/>
              </w:rPr>
              <w:t>3</w:t>
            </w: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 xml:space="preserve">Value </w:t>
            </w:r>
            <w:r>
              <w:rPr>
                <w:rFonts w:ascii="Arial" w:cs="Arial" w:eastAsia="Arial" w:hAnsi="Arial"/>
                <w:sz w:val="14"/>
                <w:szCs w:val="14"/>
                <w:b w:val="1"/>
                <w:bCs w:val="1"/>
                <w:color w:val="auto"/>
                <w:w w:val="90"/>
                <w:vertAlign w:val="superscript"/>
              </w:rPr>
              <w:t>4</w:t>
            </w:r>
          </w:p>
        </w:tc>
        <w:tc>
          <w:tcPr>
            <w:tcW w:w="0" w:type="dxa"/>
            <w:vAlign w:val="bottom"/>
          </w:tcPr>
          <w:p>
            <w:pPr>
              <w:spacing w:after="0"/>
              <w:rPr>
                <w:sz w:val="1"/>
                <w:szCs w:val="1"/>
                <w:color w:val="auto"/>
              </w:rPr>
            </w:pPr>
          </w:p>
        </w:tc>
      </w:tr>
      <w:tr>
        <w:trPr>
          <w:trHeight w:val="123"/>
        </w:trPr>
        <w:tc>
          <w:tcPr>
            <w:tcW w:w="1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7"/>
              </w:rPr>
              <w:t>L+6.50% (Floor</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DIGITAL RIVER, INC.</w:t>
            </w: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Software &amp; IT</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1.00%), Current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shd w:val="clear" w:color="auto" w:fill="CCEEFF"/>
          </w:tcPr>
          <w:p>
            <w:pPr>
              <w:spacing w:after="0"/>
              <w:rPr>
                <w:sz w:val="14"/>
                <w:szCs w:val="14"/>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4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services</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Coupon 8.61%</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2/12/2021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6,285,443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6,273,415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6,285,443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L+8.75% (Floor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DUNN PAPER, INC.</w:t>
            </w: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Paper &amp; forest</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1.00%), Current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420" w:type="dxa"/>
            <w:vAlign w:val="bottom"/>
            <w:gridSpan w:val="2"/>
          </w:tcPr>
          <w:p>
            <w:pPr>
              <w:ind w:left="140"/>
              <w:spacing w:after="0"/>
              <w:rPr>
                <w:sz w:val="20"/>
                <w:szCs w:val="20"/>
                <w:color w:val="auto"/>
              </w:rPr>
            </w:pPr>
            <w:r>
              <w:rPr>
                <w:rFonts w:ascii="Arial" w:cs="Arial" w:eastAsia="Arial" w:hAnsi="Arial"/>
                <w:sz w:val="14"/>
                <w:szCs w:val="14"/>
                <w:color w:val="auto"/>
              </w:rPr>
              <w:t>Second Lien</w:t>
            </w:r>
          </w:p>
        </w:tc>
        <w:tc>
          <w:tcPr>
            <w:tcW w:w="1460" w:type="dxa"/>
            <w:vAlign w:val="bottom"/>
            <w:gridSpan w:val="3"/>
          </w:tcPr>
          <w:p>
            <w:pPr>
              <w:ind w:left="160"/>
              <w:spacing w:after="0"/>
              <w:rPr>
                <w:sz w:val="20"/>
                <w:szCs w:val="20"/>
                <w:color w:val="auto"/>
              </w:rPr>
            </w:pPr>
            <w:r>
              <w:rPr>
                <w:rFonts w:ascii="Arial" w:cs="Arial" w:eastAsia="Arial" w:hAnsi="Arial"/>
                <w:sz w:val="14"/>
                <w:szCs w:val="14"/>
                <w:color w:val="auto"/>
              </w:rPr>
              <w:t>products</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10.63%</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8/26/2023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2,949,611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L+8.50% (Floor</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LGM PHARMA, LLC</w:t>
            </w:r>
            <w:r>
              <w:rPr>
                <w:rFonts w:ascii="Arial" w:cs="Arial" w:eastAsia="Arial" w:hAnsi="Arial"/>
                <w:sz w:val="14"/>
                <w:szCs w:val="14"/>
                <w:b w:val="1"/>
                <w:bCs w:val="1"/>
                <w:color w:val="auto"/>
                <w:vertAlign w:val="superscript"/>
              </w:rPr>
              <w:t>13</w:t>
            </w: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1.00%), Current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shd w:val="clear" w:color="auto" w:fill="CCEEFF"/>
          </w:tcPr>
          <w:p>
            <w:pPr>
              <w:spacing w:after="0"/>
              <w:rPr>
                <w:sz w:val="14"/>
                <w:szCs w:val="14"/>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4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Healthcare products</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Coupon 10.17%</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11/15/2022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9,975,000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9,787,481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9,955,050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L+8.50% (Floor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1.00%), Current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2420" w:type="dxa"/>
            <w:vAlign w:val="bottom"/>
            <w:gridSpan w:val="2"/>
          </w:tcPr>
          <w:p>
            <w:pPr>
              <w:ind w:left="140"/>
              <w:spacing w:after="0"/>
              <w:rPr>
                <w:sz w:val="20"/>
                <w:szCs w:val="20"/>
                <w:color w:val="auto"/>
              </w:rPr>
            </w:pPr>
            <w:r>
              <w:rPr>
                <w:rFonts w:ascii="Arial" w:cs="Arial" w:eastAsia="Arial" w:hAnsi="Arial"/>
                <w:sz w:val="14"/>
                <w:szCs w:val="14"/>
                <w:color w:val="auto"/>
              </w:rPr>
              <w:t>Delayed Draw Term Loan</w:t>
            </w:r>
            <w:r>
              <w:rPr>
                <w:rFonts w:ascii="Arial" w:cs="Arial" w:eastAsia="Arial" w:hAnsi="Arial"/>
                <w:sz w:val="14"/>
                <w:szCs w:val="14"/>
                <w:color w:val="auto"/>
                <w:vertAlign w:val="superscript"/>
              </w:rPr>
              <w:t>18</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10.29%</w:t>
            </w:r>
          </w:p>
        </w:tc>
        <w:tc>
          <w:tcPr>
            <w:tcW w:w="660" w:type="dxa"/>
            <w:vAlign w:val="bottom"/>
          </w:tcPr>
          <w:p>
            <w:pPr>
              <w:jc w:val="center"/>
              <w:spacing w:after="0"/>
              <w:rPr>
                <w:sz w:val="20"/>
                <w:szCs w:val="20"/>
                <w:color w:val="auto"/>
              </w:rPr>
            </w:pPr>
            <w:r>
              <w:rPr>
                <w:rFonts w:ascii="Arial" w:cs="Arial" w:eastAsia="Arial" w:hAnsi="Arial"/>
                <w:sz w:val="14"/>
                <w:szCs w:val="14"/>
                <w:color w:val="auto"/>
                <w:w w:val="91"/>
              </w:rPr>
              <w:t>11/15/2022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1,300,000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1,274,815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1,297,400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110,000 units of Class A common</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w:t>
            </w:r>
            <w:r>
              <w:rPr>
                <w:rFonts w:ascii="Arial" w:cs="Arial" w:eastAsia="Arial" w:hAnsi="Arial"/>
                <w:sz w:val="14"/>
                <w:szCs w:val="14"/>
                <w:color w:val="auto"/>
                <w:vertAlign w:val="superscript"/>
              </w:rPr>
              <w:t>9</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1,100,000</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12,162,296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9"/>
              </w:rPr>
              <w:t>12,352,450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LIGHTING RETROFIT</w:t>
            </w:r>
          </w:p>
        </w:tc>
        <w:tc>
          <w:tcPr>
            <w:tcW w:w="1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L+9.25% (Floor</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160"/>
              <w:spacing w:after="0" w:line="145" w:lineRule="exact"/>
              <w:rPr>
                <w:sz w:val="20"/>
                <w:szCs w:val="20"/>
                <w:color w:val="auto"/>
              </w:rPr>
            </w:pPr>
            <w:r>
              <w:rPr>
                <w:rFonts w:ascii="Arial" w:cs="Arial" w:eastAsia="Arial" w:hAnsi="Arial"/>
                <w:sz w:val="14"/>
                <w:szCs w:val="14"/>
                <w:color w:val="auto"/>
              </w:rPr>
              <w:t>Environmental</w:t>
            </w:r>
          </w:p>
        </w:tc>
        <w:tc>
          <w:tcPr>
            <w:tcW w:w="11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3"/>
              </w:rPr>
              <w:t>1.00%), Current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INTERNATIONAL, LLC</w:t>
            </w: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4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services</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Coupon 10.94%</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6/30/2022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14,625,000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14,487,144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14,361,750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2420" w:type="dxa"/>
            <w:vAlign w:val="bottom"/>
            <w:gridSpan w:val="2"/>
          </w:tcPr>
          <w:p>
            <w:pPr>
              <w:ind w:left="140"/>
              <w:spacing w:after="0" w:line="130" w:lineRule="exact"/>
              <w:rPr>
                <w:sz w:val="20"/>
                <w:szCs w:val="20"/>
                <w:color w:val="auto"/>
              </w:rPr>
            </w:pPr>
            <w:r>
              <w:rPr>
                <w:rFonts w:ascii="Arial" w:cs="Arial" w:eastAsia="Arial" w:hAnsi="Arial"/>
                <w:sz w:val="14"/>
                <w:szCs w:val="14"/>
                <w:color w:val="auto"/>
                <w:w w:val="98"/>
              </w:rPr>
              <w:t>396,825 shares of Series B preferred</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stock</w:t>
            </w: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376,000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14,987,144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14,737,750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PRE-PAID LEGAL</w:t>
            </w: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L+9.00% (Floor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3"/>
              </w:rPr>
              <w:t>1.25%), Current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Arial" w:cs="Arial" w:eastAsia="Arial" w:hAnsi="Arial"/>
                <w:sz w:val="14"/>
                <w:szCs w:val="14"/>
                <w:b w:val="1"/>
                <w:bCs w:val="1"/>
                <w:color w:val="auto"/>
              </w:rPr>
              <w:t>SERVICES, INC.</w:t>
            </w:r>
          </w:p>
        </w:tc>
        <w:tc>
          <w:tcPr>
            <w:tcW w:w="2420" w:type="dxa"/>
            <w:vAlign w:val="bottom"/>
            <w:gridSpan w:val="2"/>
          </w:tcPr>
          <w:p>
            <w:pPr>
              <w:ind w:left="140"/>
              <w:spacing w:after="0"/>
              <w:rPr>
                <w:sz w:val="20"/>
                <w:szCs w:val="20"/>
                <w:color w:val="auto"/>
              </w:rPr>
            </w:pPr>
            <w:r>
              <w:rPr>
                <w:rFonts w:ascii="Arial" w:cs="Arial" w:eastAsia="Arial" w:hAnsi="Arial"/>
                <w:sz w:val="14"/>
                <w:szCs w:val="14"/>
                <w:color w:val="auto"/>
              </w:rPr>
              <w:t>Second Lien</w:t>
            </w:r>
          </w:p>
        </w:tc>
        <w:tc>
          <w:tcPr>
            <w:tcW w:w="1460" w:type="dxa"/>
            <w:vAlign w:val="bottom"/>
            <w:gridSpan w:val="3"/>
          </w:tcPr>
          <w:p>
            <w:pPr>
              <w:ind w:left="160"/>
              <w:spacing w:after="0"/>
              <w:rPr>
                <w:sz w:val="20"/>
                <w:szCs w:val="20"/>
                <w:color w:val="auto"/>
              </w:rPr>
            </w:pPr>
            <w:r>
              <w:rPr>
                <w:rFonts w:ascii="Arial" w:cs="Arial" w:eastAsia="Arial" w:hAnsi="Arial"/>
                <w:sz w:val="14"/>
                <w:szCs w:val="14"/>
                <w:color w:val="auto"/>
              </w:rPr>
              <w:t>Consumer services</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10.88%</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7/1/2020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4,967,603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RESEARCH NOW GROUP,</w:t>
            </w:r>
          </w:p>
        </w:tc>
        <w:tc>
          <w:tcPr>
            <w:tcW w:w="1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L+9.50% (Floor</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3"/>
              </w:rPr>
              <w:t>1.00%), Current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w:t>
            </w: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Second Lien</w:t>
            </w:r>
          </w:p>
        </w:tc>
        <w:tc>
          <w:tcPr>
            <w:tcW w:w="14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Business services</w:t>
            </w:r>
          </w:p>
        </w:tc>
        <w:tc>
          <w:tcPr>
            <w:tcW w:w="11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Coupon 11.28%</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12/20/2025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10,500,000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9,778,956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9,817,500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RESTAURANT</w:t>
            </w: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L+8.75% (Floor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3"/>
              </w:rPr>
              <w:t>1.00%), Current</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Arial" w:cs="Arial" w:eastAsia="Arial" w:hAnsi="Arial"/>
                <w:sz w:val="14"/>
                <w:szCs w:val="14"/>
                <w:b w:val="1"/>
                <w:bCs w:val="1"/>
                <w:color w:val="auto"/>
              </w:rPr>
              <w:t>TECHNOLOGIES, INC.</w:t>
            </w:r>
          </w:p>
        </w:tc>
        <w:tc>
          <w:tcPr>
            <w:tcW w:w="2420" w:type="dxa"/>
            <w:vAlign w:val="bottom"/>
            <w:gridSpan w:val="2"/>
          </w:tcPr>
          <w:p>
            <w:pPr>
              <w:ind w:left="140"/>
              <w:spacing w:after="0"/>
              <w:rPr>
                <w:sz w:val="20"/>
                <w:szCs w:val="20"/>
                <w:color w:val="auto"/>
              </w:rPr>
            </w:pPr>
            <w:r>
              <w:rPr>
                <w:rFonts w:ascii="Arial" w:cs="Arial" w:eastAsia="Arial" w:hAnsi="Arial"/>
                <w:sz w:val="14"/>
                <w:szCs w:val="14"/>
                <w:color w:val="auto"/>
              </w:rPr>
              <w:t>Second Lien</w:t>
            </w:r>
          </w:p>
        </w:tc>
        <w:tc>
          <w:tcPr>
            <w:tcW w:w="1460" w:type="dxa"/>
            <w:vAlign w:val="bottom"/>
            <w:gridSpan w:val="3"/>
          </w:tcPr>
          <w:p>
            <w:pPr>
              <w:ind w:left="160"/>
              <w:spacing w:after="0"/>
              <w:rPr>
                <w:sz w:val="20"/>
                <w:szCs w:val="20"/>
                <w:color w:val="auto"/>
              </w:rPr>
            </w:pPr>
            <w:r>
              <w:rPr>
                <w:rFonts w:ascii="Arial" w:cs="Arial" w:eastAsia="Arial" w:hAnsi="Arial"/>
                <w:sz w:val="14"/>
                <w:szCs w:val="14"/>
                <w:color w:val="auto"/>
              </w:rPr>
              <w:t>Business services</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Coupon 10.69%</w:t>
            </w:r>
          </w:p>
        </w:tc>
        <w:tc>
          <w:tcPr>
            <w:tcW w:w="660" w:type="dxa"/>
            <w:vAlign w:val="bottom"/>
          </w:tcPr>
          <w:p>
            <w:pPr>
              <w:jc w:val="center"/>
              <w:spacing w:after="0"/>
              <w:rPr>
                <w:sz w:val="20"/>
                <w:szCs w:val="20"/>
                <w:color w:val="auto"/>
              </w:rPr>
            </w:pPr>
            <w:r>
              <w:rPr>
                <w:rFonts w:ascii="Arial" w:cs="Arial" w:eastAsia="Arial" w:hAnsi="Arial"/>
                <w:sz w:val="14"/>
                <w:szCs w:val="14"/>
                <w:color w:val="auto"/>
                <w:w w:val="91"/>
              </w:rPr>
              <w:t>11/23/2023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3,454,894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3,493,000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L+8.02% (Floor</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 xml:space="preserve">JVMC HOLDINGS CORP. </w:t>
            </w:r>
            <w:r>
              <w:rPr>
                <w:rFonts w:ascii="Arial" w:cs="Arial" w:eastAsia="Arial" w:hAnsi="Arial"/>
                <w:sz w:val="14"/>
                <w:szCs w:val="14"/>
                <w:b w:val="1"/>
                <w:bCs w:val="1"/>
                <w:color w:val="auto"/>
                <w:vertAlign w:val="superscript"/>
              </w:rPr>
              <w:t>14</w:t>
            </w: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1.00%), Current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shd w:val="clear" w:color="auto" w:fill="CCEEFF"/>
          </w:tcPr>
          <w:p>
            <w:pPr>
              <w:spacing w:after="0"/>
              <w:rPr>
                <w:sz w:val="14"/>
                <w:szCs w:val="14"/>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4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Financial services</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Coupon 9.90%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5/5/2022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7,218,750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7,156,878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7,215,141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line="126" w:lineRule="exact"/>
              <w:rPr>
                <w:sz w:val="20"/>
                <w:szCs w:val="20"/>
                <w:color w:val="auto"/>
              </w:rPr>
            </w:pPr>
            <w:r>
              <w:rPr>
                <w:rFonts w:ascii="Arial" w:cs="Arial" w:eastAsia="Arial" w:hAnsi="Arial"/>
                <w:sz w:val="14"/>
                <w:szCs w:val="14"/>
                <w:b w:val="1"/>
                <w:bCs w:val="1"/>
                <w:color w:val="auto"/>
              </w:rPr>
              <w:t>TAX ADVISORS GROUP,</w:t>
            </w:r>
          </w:p>
        </w:tc>
        <w:tc>
          <w:tcPr>
            <w:tcW w:w="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4"/>
                <w:szCs w:val="14"/>
                <w:color w:val="auto"/>
                <w:w w:val="93"/>
              </w:rPr>
              <w:t>10.00% / 2.00%</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14"/>
                <w:szCs w:val="14"/>
                <w:b w:val="1"/>
                <w:bCs w:val="1"/>
                <w:color w:val="auto"/>
                <w:vertAlign w:val="superscript"/>
              </w:rPr>
              <w:t>13</w:t>
            </w:r>
          </w:p>
        </w:tc>
        <w:tc>
          <w:tcPr>
            <w:tcW w:w="2420" w:type="dxa"/>
            <w:vAlign w:val="bottom"/>
            <w:gridSpan w:val="2"/>
          </w:tcPr>
          <w:p>
            <w:pPr>
              <w:ind w:left="140"/>
              <w:spacing w:after="0"/>
              <w:rPr>
                <w:sz w:val="20"/>
                <w:szCs w:val="20"/>
                <w:color w:val="auto"/>
              </w:rPr>
            </w:pPr>
            <w:r>
              <w:rPr>
                <w:rFonts w:ascii="Arial" w:cs="Arial" w:eastAsia="Arial" w:hAnsi="Arial"/>
                <w:sz w:val="14"/>
                <w:szCs w:val="14"/>
                <w:color w:val="auto"/>
              </w:rPr>
              <w:t>Senior subordinated debt</w:t>
            </w:r>
          </w:p>
        </w:tc>
        <w:tc>
          <w:tcPr>
            <w:tcW w:w="1460" w:type="dxa"/>
            <w:vAlign w:val="bottom"/>
            <w:gridSpan w:val="3"/>
          </w:tcPr>
          <w:p>
            <w:pPr>
              <w:ind w:left="160"/>
              <w:spacing w:after="0"/>
              <w:rPr>
                <w:sz w:val="20"/>
                <w:szCs w:val="20"/>
                <w:color w:val="auto"/>
              </w:rPr>
            </w:pPr>
            <w:r>
              <w:rPr>
                <w:rFonts w:ascii="Arial" w:cs="Arial" w:eastAsia="Arial" w:hAnsi="Arial"/>
                <w:sz w:val="14"/>
                <w:szCs w:val="14"/>
                <w:color w:val="auto"/>
              </w:rPr>
              <w:t>Financial services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rPr>
              <w:t>PIK</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12/23/2022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4,517,884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143.3 Class A units</w:t>
            </w:r>
            <w:r>
              <w:rPr>
                <w:rFonts w:ascii="Arial" w:cs="Arial" w:eastAsia="Arial" w:hAnsi="Arial"/>
                <w:sz w:val="14"/>
                <w:szCs w:val="14"/>
                <w:color w:val="auto"/>
                <w:vertAlign w:val="superscript"/>
              </w:rPr>
              <w:t>9</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541,176</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5,059,060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5,486,000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L+10.00%</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4"/>
              </w:rPr>
              <w:t>(Floor 1.00%),</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VISTAR MEDIA INC.</w:t>
            </w: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Media, marketing</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Current Coupon</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shd w:val="clear" w:color="auto" w:fill="CCEEFF"/>
          </w:tcPr>
          <w:p>
            <w:pPr>
              <w:spacing w:after="0"/>
              <w:rPr>
                <w:sz w:val="14"/>
                <w:szCs w:val="14"/>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4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&amp; entertainment</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12.02%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2/16/2022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7,434,072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8,193,625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2420" w:type="dxa"/>
            <w:vAlign w:val="bottom"/>
            <w:gridSpan w:val="2"/>
          </w:tcPr>
          <w:p>
            <w:pPr>
              <w:ind w:left="140"/>
              <w:spacing w:after="0" w:line="130" w:lineRule="exact"/>
              <w:rPr>
                <w:sz w:val="20"/>
                <w:szCs w:val="20"/>
                <w:color w:val="auto"/>
              </w:rPr>
            </w:pPr>
            <w:r>
              <w:rPr>
                <w:rFonts w:ascii="Arial" w:cs="Arial" w:eastAsia="Arial" w:hAnsi="Arial"/>
                <w:sz w:val="14"/>
                <w:szCs w:val="14"/>
                <w:color w:val="auto"/>
              </w:rPr>
              <w:t>Warrants (Expiration - February 17,</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2027)</w:t>
            </w: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886,000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1,682,000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8,320,072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9,875,625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4"/>
              </w:rPr>
              <w:t>L+12.25%</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WASTEWATER</w:t>
            </w: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(Floor 1.00%),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2"/>
              </w:rPr>
              <w:t>Current Coupon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Arial" w:cs="Arial" w:eastAsia="Arial" w:hAnsi="Arial"/>
                <w:sz w:val="14"/>
                <w:szCs w:val="14"/>
                <w:b w:val="1"/>
                <w:bCs w:val="1"/>
                <w:color w:val="auto"/>
              </w:rPr>
              <w:t>SPECIALTIES, LLC</w:t>
            </w:r>
          </w:p>
        </w:tc>
        <w:tc>
          <w:tcPr>
            <w:tcW w:w="2420" w:type="dxa"/>
            <w:vAlign w:val="bottom"/>
            <w:gridSpan w:val="2"/>
          </w:tcPr>
          <w:p>
            <w:pPr>
              <w:ind w:left="140"/>
              <w:spacing w:after="0"/>
              <w:rPr>
                <w:sz w:val="20"/>
                <w:szCs w:val="20"/>
                <w:color w:val="auto"/>
              </w:rPr>
            </w:pPr>
            <w:r>
              <w:rPr>
                <w:rFonts w:ascii="Arial" w:cs="Arial" w:eastAsia="Arial" w:hAnsi="Arial"/>
                <w:sz w:val="14"/>
                <w:szCs w:val="14"/>
                <w:color w:val="auto"/>
              </w:rPr>
              <w:t>First Lien</w:t>
            </w:r>
            <w:r>
              <w:rPr>
                <w:rFonts w:ascii="Arial" w:cs="Arial" w:eastAsia="Arial" w:hAnsi="Arial"/>
                <w:sz w:val="14"/>
                <w:szCs w:val="14"/>
                <w:color w:val="auto"/>
                <w:vertAlign w:val="superscript"/>
              </w:rPr>
              <w:t>16</w:t>
            </w:r>
          </w:p>
        </w:tc>
        <w:tc>
          <w:tcPr>
            <w:tcW w:w="1460" w:type="dxa"/>
            <w:vAlign w:val="bottom"/>
            <w:gridSpan w:val="3"/>
          </w:tcPr>
          <w:p>
            <w:pPr>
              <w:ind w:left="160"/>
              <w:spacing w:after="0"/>
              <w:rPr>
                <w:sz w:val="20"/>
                <w:szCs w:val="20"/>
                <w:color w:val="auto"/>
              </w:rPr>
            </w:pPr>
            <w:r>
              <w:rPr>
                <w:rFonts w:ascii="Arial" w:cs="Arial" w:eastAsia="Arial" w:hAnsi="Arial"/>
                <w:sz w:val="14"/>
                <w:szCs w:val="14"/>
                <w:color w:val="auto"/>
              </w:rPr>
              <w:t>Industrial services</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13.90%</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4/18/2022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9,863,582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9,720,600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9"/>
              </w:rPr>
              <w:t>10,011,536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840" w:type="dxa"/>
            <w:vAlign w:val="bottom"/>
          </w:tcPr>
          <w:p>
            <w:pPr>
              <w:spacing w:after="0" w:line="106" w:lineRule="exact"/>
              <w:rPr>
                <w:sz w:val="20"/>
                <w:szCs w:val="20"/>
                <w:color w:val="auto"/>
              </w:rPr>
            </w:pPr>
            <w:r>
              <w:rPr>
                <w:rFonts w:ascii="Arial" w:cs="Arial" w:eastAsia="Arial" w:hAnsi="Arial"/>
                <w:sz w:val="12"/>
                <w:szCs w:val="12"/>
                <w:b w:val="1"/>
                <w:bCs w:val="1"/>
                <w:color w:val="auto"/>
              </w:rPr>
              <w:t>Total Non-control/Non-</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40" w:type="dxa"/>
            <w:vAlign w:val="bottom"/>
          </w:tcPr>
          <w:p>
            <w:pPr>
              <w:spacing w:after="0"/>
              <w:rPr>
                <w:sz w:val="20"/>
                <w:szCs w:val="20"/>
                <w:color w:val="auto"/>
              </w:rPr>
            </w:pPr>
            <w:r>
              <w:rPr>
                <w:rFonts w:ascii="Arial" w:cs="Arial" w:eastAsia="Arial" w:hAnsi="Arial"/>
                <w:sz w:val="14"/>
                <w:szCs w:val="14"/>
                <w:b w:val="1"/>
                <w:bCs w:val="1"/>
                <w:color w:val="auto"/>
              </w:rPr>
              <w:t>affiliate Investments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2"/>
              </w:rPr>
              <w:t>200,981,062</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89"/>
              </w:rPr>
              <w:t>199,949,348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Affiliate Investments</w:t>
            </w:r>
            <w:r>
              <w:rPr>
                <w:rFonts w:ascii="Arial" w:cs="Arial" w:eastAsia="Arial" w:hAnsi="Arial"/>
                <w:sz w:val="14"/>
                <w:szCs w:val="14"/>
                <w:b w:val="1"/>
                <w:bCs w:val="1"/>
                <w:color w:val="auto"/>
                <w:vertAlign w:val="superscript"/>
              </w:rPr>
              <w:t>6</w:t>
            </w:r>
          </w:p>
        </w:tc>
        <w:tc>
          <w:tcPr>
            <w:tcW w:w="14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CHANDLER SIGNS, LLC</w:t>
            </w:r>
            <w:r>
              <w:rPr>
                <w:rFonts w:ascii="Arial" w:cs="Arial" w:eastAsia="Arial" w:hAnsi="Arial"/>
                <w:sz w:val="14"/>
                <w:szCs w:val="14"/>
                <w:b w:val="1"/>
                <w:bCs w:val="1"/>
                <w:color w:val="auto"/>
                <w:vertAlign w:val="superscript"/>
              </w:rPr>
              <w:t>13</w:t>
            </w: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Arial" w:cs="Arial" w:eastAsia="Arial" w:hAnsi="Arial"/>
                <w:sz w:val="14"/>
                <w:szCs w:val="14"/>
                <w:color w:val="auto"/>
                <w:w w:val="93"/>
              </w:rPr>
              <w:t>12.00% / 1.00%</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tcPr>
          <w:p>
            <w:pPr>
              <w:spacing w:after="0"/>
              <w:rPr>
                <w:sz w:val="14"/>
                <w:szCs w:val="14"/>
                <w:color w:val="auto"/>
              </w:rPr>
            </w:pPr>
          </w:p>
        </w:tc>
        <w:tc>
          <w:tcPr>
            <w:tcW w:w="2420" w:type="dxa"/>
            <w:vAlign w:val="bottom"/>
            <w:gridSpan w:val="2"/>
          </w:tcPr>
          <w:p>
            <w:pPr>
              <w:ind w:left="140"/>
              <w:spacing w:after="0"/>
              <w:rPr>
                <w:sz w:val="20"/>
                <w:szCs w:val="20"/>
                <w:color w:val="auto"/>
              </w:rPr>
            </w:pPr>
            <w:r>
              <w:rPr>
                <w:rFonts w:ascii="Arial" w:cs="Arial" w:eastAsia="Arial" w:hAnsi="Arial"/>
                <w:sz w:val="14"/>
                <w:szCs w:val="14"/>
                <w:color w:val="auto"/>
              </w:rPr>
              <w:t>Senior subordinated debt</w:t>
            </w:r>
          </w:p>
        </w:tc>
        <w:tc>
          <w:tcPr>
            <w:tcW w:w="1460" w:type="dxa"/>
            <w:vAlign w:val="bottom"/>
            <w:gridSpan w:val="3"/>
          </w:tcPr>
          <w:p>
            <w:pPr>
              <w:ind w:left="160"/>
              <w:spacing w:after="0"/>
              <w:rPr>
                <w:sz w:val="20"/>
                <w:szCs w:val="20"/>
                <w:color w:val="auto"/>
              </w:rPr>
            </w:pPr>
            <w:r>
              <w:rPr>
                <w:rFonts w:ascii="Arial" w:cs="Arial" w:eastAsia="Arial" w:hAnsi="Arial"/>
                <w:sz w:val="14"/>
                <w:szCs w:val="14"/>
                <w:color w:val="auto"/>
              </w:rPr>
              <w:t>Business services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color w:val="auto"/>
              </w:rPr>
              <w:t>PIK</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7/4/2021</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4,511,259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4,450,704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4,375,922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1,500,000 units of Class A-1 common</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w:t>
            </w:r>
            <w:r>
              <w:rPr>
                <w:rFonts w:ascii="Arial" w:cs="Arial" w:eastAsia="Arial" w:hAnsi="Arial"/>
                <w:sz w:val="14"/>
                <w:szCs w:val="14"/>
                <w:color w:val="auto"/>
                <w:vertAlign w:val="superscript"/>
              </w:rPr>
              <w:t>9</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5,950,704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6,309,922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7"/>
              </w:rPr>
              <w:t>L+9.90% (Floor</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ELITE SEM, INC.</w:t>
            </w:r>
            <w:r>
              <w:rPr>
                <w:rFonts w:ascii="Arial" w:cs="Arial" w:eastAsia="Arial" w:hAnsi="Arial"/>
                <w:sz w:val="14"/>
                <w:szCs w:val="14"/>
                <w:b w:val="1"/>
                <w:bCs w:val="1"/>
                <w:color w:val="auto"/>
                <w:vertAlign w:val="superscript"/>
              </w:rPr>
              <w:t>8</w:t>
            </w:r>
          </w:p>
        </w:tc>
        <w:tc>
          <w:tcPr>
            <w:tcW w:w="14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Media, marketing</w:t>
            </w:r>
          </w:p>
        </w:tc>
        <w:tc>
          <w:tcPr>
            <w:tcW w:w="11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1.00%), Current</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vMerge w:val="continue"/>
            <w:shd w:val="clear" w:color="auto" w:fill="CCEEFF"/>
          </w:tcPr>
          <w:p>
            <w:pPr>
              <w:spacing w:after="0"/>
              <w:rPr>
                <w:sz w:val="14"/>
                <w:szCs w:val="14"/>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4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&amp; entertainment</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Coupon 12.10%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2/1/2022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17,500,000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17,103,533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17,500,000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7494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620"/>
          </w:cols>
          <w:pgMar w:left="640" w:top="118" w:right="639" w:bottom="1440" w:gutter="0" w:footer="0" w:header="0"/>
        </w:sectPr>
      </w:pPr>
    </w:p>
    <w:bookmarkStart w:id="70" w:name="page71"/>
    <w:bookmarkEnd w:id="70"/>
    <w:tbl>
      <w:tblPr>
        <w:tblLayout w:type="fixed"/>
        <w:tblInd w:w="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vMerge w:val="restart"/>
          </w:tcPr>
          <w:p>
            <w:pPr>
              <w:jc w:val="center"/>
              <w:ind w:right="628"/>
              <w:spacing w:after="0"/>
              <w:rPr>
                <w:sz w:val="20"/>
                <w:szCs w:val="20"/>
                <w:color w:val="auto"/>
              </w:rPr>
            </w:pPr>
            <w:r>
              <w:rPr>
                <w:rFonts w:ascii="Arial" w:cs="Arial" w:eastAsia="Arial" w:hAnsi="Arial"/>
                <w:sz w:val="14"/>
                <w:szCs w:val="14"/>
                <w:b w:val="1"/>
                <w:bCs w:val="1"/>
                <w:color w:val="auto"/>
                <w:w w:val="92"/>
              </w:rPr>
              <w:t>Type of</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4"/>
                <w:szCs w:val="14"/>
                <w:b w:val="1"/>
                <w:bCs w:val="1"/>
                <w:color w:val="auto"/>
                <w:vertAlign w:val="superscript"/>
              </w:rPr>
              <w:t>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Interest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w:t>
            </w:r>
          </w:p>
        </w:tc>
        <w:tc>
          <w:tcPr>
            <w:tcW w:w="106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Principal</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jc w:val="center"/>
              <w:ind w:right="648"/>
              <w:spacing w:after="0"/>
              <w:rPr>
                <w:sz w:val="20"/>
                <w:szCs w:val="20"/>
                <w:color w:val="auto"/>
              </w:rPr>
            </w:pPr>
            <w:r>
              <w:rPr>
                <w:rFonts w:ascii="Arial" w:cs="Arial" w:eastAsia="Arial" w:hAnsi="Arial"/>
                <w:sz w:val="14"/>
                <w:szCs w:val="14"/>
                <w:b w:val="1"/>
                <w:bCs w:val="1"/>
                <w:color w:val="auto"/>
                <w:w w:val="91"/>
              </w:rPr>
              <w:t xml:space="preserve">Investment </w:t>
            </w:r>
            <w:r>
              <w:rPr>
                <w:rFonts w:ascii="Arial" w:cs="Arial" w:eastAsia="Arial" w:hAnsi="Arial"/>
                <w:sz w:val="14"/>
                <w:szCs w:val="14"/>
                <w:b w:val="1"/>
                <w:bCs w:val="1"/>
                <w:color w:val="auto"/>
                <w:w w:val="91"/>
                <w:vertAlign w:val="superscript"/>
              </w:rPr>
              <w:t>2</w:t>
            </w: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xml:space="preserve">Rate </w:t>
            </w:r>
            <w:r>
              <w:rPr>
                <w:rFonts w:ascii="Arial" w:cs="Arial" w:eastAsia="Arial" w:hAnsi="Arial"/>
                <w:sz w:val="14"/>
                <w:szCs w:val="14"/>
                <w:b w:val="1"/>
                <w:bCs w:val="1"/>
                <w:color w:val="auto"/>
                <w:w w:val="91"/>
                <w:vertAlign w:val="superscript"/>
              </w:rPr>
              <w:t>3</w:t>
            </w:r>
          </w:p>
        </w:tc>
        <w:tc>
          <w:tcPr>
            <w:tcW w:w="74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 xml:space="preserve">Value </w:t>
            </w:r>
            <w:r>
              <w:rPr>
                <w:rFonts w:ascii="Arial" w:cs="Arial" w:eastAsia="Arial" w:hAnsi="Arial"/>
                <w:sz w:val="14"/>
                <w:szCs w:val="14"/>
                <w:b w:val="1"/>
                <w:bCs w:val="1"/>
                <w:color w:val="auto"/>
                <w:w w:val="90"/>
                <w:vertAlign w:val="superscript"/>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20" w:type="dxa"/>
            <w:vAlign w:val="bottom"/>
            <w:tcBorders>
              <w:top w:val="single" w:sz="8" w:color="auto"/>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1,089 Preferred units</w:t>
            </w:r>
          </w:p>
        </w:tc>
        <w:tc>
          <w:tcPr>
            <w:tcW w:w="14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CCEEFF"/>
            </w:tcBorders>
          </w:tcPr>
          <w:p>
            <w:pPr>
              <w:jc w:val="center"/>
              <w:spacing w:after="0" w:line="142" w:lineRule="exact"/>
              <w:rPr>
                <w:sz w:val="20"/>
                <w:szCs w:val="20"/>
                <w:color w:val="auto"/>
              </w:rPr>
            </w:pPr>
            <w:r>
              <w:rPr>
                <w:rFonts w:ascii="Arial" w:cs="Arial" w:eastAsia="Arial" w:hAnsi="Arial"/>
                <w:sz w:val="14"/>
                <w:szCs w:val="14"/>
                <w:color w:val="auto"/>
                <w:w w:val="99"/>
              </w:rPr>
              <w:t>12% PIK</w:t>
            </w:r>
          </w:p>
        </w:tc>
        <w:tc>
          <w:tcPr>
            <w:tcW w:w="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jc w:val="cente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jc w:val="center"/>
              <w:ind w:left="48"/>
              <w:spacing w:after="0" w:line="142" w:lineRule="exact"/>
              <w:rPr>
                <w:sz w:val="20"/>
                <w:szCs w:val="20"/>
                <w:color w:val="auto"/>
              </w:rPr>
            </w:pPr>
            <w:r>
              <w:rPr>
                <w:rFonts w:ascii="Arial" w:cs="Arial" w:eastAsia="Arial" w:hAnsi="Arial"/>
                <w:sz w:val="14"/>
                <w:szCs w:val="14"/>
                <w:color w:val="auto"/>
                <w:w w:val="84"/>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1,235,651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1,879,000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18,339,184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19,379,000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ITA HOLDINGS GROUP,</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7"/>
              </w:rPr>
              <w:t>L+8.50% (Floor</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0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Transportation &amp;</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5" w:lineRule="exact"/>
              <w:rPr>
                <w:sz w:val="20"/>
                <w:szCs w:val="20"/>
                <w:color w:val="auto"/>
              </w:rPr>
            </w:pPr>
            <w:r>
              <w:rPr>
                <w:rFonts w:ascii="Arial" w:cs="Arial" w:eastAsia="Arial" w:hAnsi="Arial"/>
                <w:sz w:val="14"/>
                <w:szCs w:val="14"/>
                <w:color w:val="auto"/>
                <w:w w:val="95"/>
              </w:rPr>
              <w:t>1.00%, Current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LLC</w:t>
            </w:r>
            <w:r>
              <w:rPr>
                <w:rFonts w:ascii="Arial" w:cs="Arial" w:eastAsia="Arial" w:hAnsi="Arial"/>
                <w:sz w:val="14"/>
                <w:szCs w:val="14"/>
                <w:b w:val="1"/>
                <w:bCs w:val="1"/>
                <w:color w:val="auto"/>
                <w:vertAlign w:val="superscript"/>
              </w:rPr>
              <w:t>13</w:t>
            </w:r>
          </w:p>
        </w:tc>
        <w:tc>
          <w:tcPr>
            <w:tcW w:w="2560" w:type="dxa"/>
            <w:vAlign w:val="bottom"/>
            <w:gridSpan w:val="3"/>
          </w:tcPr>
          <w:p>
            <w:pPr>
              <w:ind w:left="140"/>
              <w:spacing w:after="0"/>
              <w:rPr>
                <w:sz w:val="20"/>
                <w:szCs w:val="20"/>
                <w:color w:val="auto"/>
              </w:rPr>
            </w:pPr>
            <w:r>
              <w:rPr>
                <w:rFonts w:ascii="Arial" w:cs="Arial" w:eastAsia="Arial" w:hAnsi="Arial"/>
                <w:sz w:val="14"/>
                <w:szCs w:val="14"/>
                <w:color w:val="auto"/>
              </w:rPr>
              <w:t>First Lien</w:t>
            </w: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rPr>
              <w:t>logistics</w:t>
            </w:r>
          </w:p>
        </w:tc>
        <w:tc>
          <w:tcPr>
            <w:tcW w:w="128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Coupon 10.32%)</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2/14/2023</w:t>
            </w:r>
          </w:p>
        </w:tc>
        <w:tc>
          <w:tcPr>
            <w:tcW w:w="160" w:type="dxa"/>
            <w:vAlign w:val="bottom"/>
          </w:tcPr>
          <w:p>
            <w:pPr>
              <w:spacing w:after="0"/>
              <w:rPr>
                <w:sz w:val="14"/>
                <w:szCs w:val="14"/>
                <w:color w:val="auto"/>
              </w:rPr>
            </w:pPr>
          </w:p>
        </w:tc>
        <w:tc>
          <w:tcPr>
            <w:tcW w:w="840" w:type="dxa"/>
            <w:vAlign w:val="bottom"/>
          </w:tcPr>
          <w:p>
            <w:pPr>
              <w:jc w:val="center"/>
              <w:ind w:left="48"/>
              <w:spacing w:after="0"/>
              <w:rPr>
                <w:sz w:val="20"/>
                <w:szCs w:val="20"/>
                <w:color w:val="auto"/>
              </w:rPr>
            </w:pPr>
            <w:r>
              <w:rPr>
                <w:rFonts w:ascii="Arial" w:cs="Arial" w:eastAsia="Arial" w:hAnsi="Arial"/>
                <w:sz w:val="14"/>
                <w:szCs w:val="14"/>
                <w:color w:val="auto"/>
                <w:w w:val="89"/>
              </w:rPr>
              <w:t>9,500,000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9,313,995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9,313,995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L+8.50% (Floor</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Revolving Loan</w:t>
            </w:r>
            <w:r>
              <w:rPr>
                <w:rFonts w:ascii="Arial" w:cs="Arial" w:eastAsia="Arial" w:hAnsi="Arial"/>
                <w:sz w:val="14"/>
                <w:szCs w:val="14"/>
                <w:color w:val="auto"/>
                <w:vertAlign w:val="superscript"/>
              </w:rPr>
              <w:t>19</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2/14/2023</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7"/>
              </w:rPr>
              <w:t>L+8.50% (Floor</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1.00%, Current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3"/>
          </w:tcPr>
          <w:p>
            <w:pPr>
              <w:ind w:left="140"/>
              <w:spacing w:after="0"/>
              <w:rPr>
                <w:sz w:val="20"/>
                <w:szCs w:val="20"/>
                <w:color w:val="auto"/>
              </w:rPr>
            </w:pPr>
            <w:r>
              <w:rPr>
                <w:rFonts w:ascii="Arial" w:cs="Arial" w:eastAsia="Arial" w:hAnsi="Arial"/>
                <w:sz w:val="14"/>
                <w:szCs w:val="14"/>
                <w:color w:val="auto"/>
              </w:rPr>
              <w:t>Delayed Draw Term Loan</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4"/>
                <w:szCs w:val="14"/>
                <w:color w:val="auto"/>
                <w:w w:val="93"/>
              </w:rPr>
              <w:t>Coupon 10.32%)</w:t>
            </w: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2/14/2023</w:t>
            </w:r>
          </w:p>
        </w:tc>
        <w:tc>
          <w:tcPr>
            <w:tcW w:w="160" w:type="dxa"/>
            <w:vAlign w:val="bottom"/>
          </w:tcPr>
          <w:p>
            <w:pPr>
              <w:spacing w:after="0"/>
              <w:rPr>
                <w:sz w:val="14"/>
                <w:szCs w:val="14"/>
                <w:color w:val="auto"/>
              </w:rPr>
            </w:pPr>
          </w:p>
        </w:tc>
        <w:tc>
          <w:tcPr>
            <w:tcW w:w="840" w:type="dxa"/>
            <w:vAlign w:val="bottom"/>
          </w:tcPr>
          <w:p>
            <w:pPr>
              <w:jc w:val="center"/>
              <w:ind w:left="48"/>
              <w:spacing w:after="0"/>
              <w:rPr>
                <w:sz w:val="20"/>
                <w:szCs w:val="20"/>
                <w:color w:val="auto"/>
              </w:rPr>
            </w:pPr>
            <w:r>
              <w:rPr>
                <w:rFonts w:ascii="Arial" w:cs="Arial" w:eastAsia="Arial" w:hAnsi="Arial"/>
                <w:sz w:val="14"/>
                <w:szCs w:val="14"/>
                <w:color w:val="auto"/>
                <w:w w:val="89"/>
              </w:rPr>
              <w:t>1,500,000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1,470,378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1,470,378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5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9.25% Class A Membership Interest</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12,274,625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9"/>
              </w:rPr>
              <w:t>12,284,373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L+9.00% (Floor</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ZENFOLIO INC.</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1.00%), Current</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vMerge w:val="continue"/>
            <w:shd w:val="clear" w:color="auto" w:fill="CCEEFF"/>
          </w:tcPr>
          <w:p>
            <w:pPr>
              <w:spacing w:after="0"/>
              <w:rPr>
                <w:sz w:val="14"/>
                <w:szCs w:val="14"/>
                <w:color w:val="auto"/>
              </w:rPr>
            </w:pPr>
          </w:p>
        </w:tc>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Business services</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Coupon 10.69%</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7/17/2022</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13,200,549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13,325,040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7"/>
              </w:rPr>
              <w:t>L+9.00% (Floor</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3"/>
          </w:tcPr>
          <w:p>
            <w:pPr>
              <w:ind w:left="140"/>
              <w:spacing w:after="0"/>
              <w:rPr>
                <w:sz w:val="20"/>
                <w:szCs w:val="20"/>
                <w:color w:val="auto"/>
              </w:rPr>
            </w:pPr>
            <w:r>
              <w:rPr>
                <w:rFonts w:ascii="Arial" w:cs="Arial" w:eastAsia="Arial" w:hAnsi="Arial"/>
                <w:sz w:val="14"/>
                <w:szCs w:val="14"/>
                <w:color w:val="auto"/>
              </w:rPr>
              <w:t>Revolving Loan</w:t>
            </w:r>
            <w:r>
              <w:rPr>
                <w:rFonts w:ascii="Arial" w:cs="Arial" w:eastAsia="Arial" w:hAnsi="Arial"/>
                <w:sz w:val="14"/>
                <w:szCs w:val="14"/>
                <w:color w:val="auto"/>
                <w:vertAlign w:val="superscript"/>
              </w:rPr>
              <w:t>15</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1.00%)</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3"/>
              </w:rPr>
              <w:t>7/17/2022</w:t>
            </w:r>
          </w:p>
        </w:tc>
        <w:tc>
          <w:tcPr>
            <w:tcW w:w="160" w:type="dxa"/>
            <w:vAlign w:val="bottom"/>
          </w:tcPr>
          <w:p>
            <w:pPr>
              <w:spacing w:after="0"/>
              <w:rPr>
                <w:sz w:val="14"/>
                <w:szCs w:val="14"/>
                <w:color w:val="auto"/>
              </w:rPr>
            </w:pPr>
          </w:p>
        </w:tc>
        <w:tc>
          <w:tcPr>
            <w:tcW w:w="840" w:type="dxa"/>
            <w:vAlign w:val="bottom"/>
          </w:tcPr>
          <w:p>
            <w:pPr>
              <w:jc w:val="center"/>
              <w:ind w:left="48"/>
              <w:spacing w:after="0"/>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(17,174)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5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190 shares of common stock</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15,083,375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9"/>
              </w:rPr>
              <w:t>15,225,040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51,647,888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53,198,335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b w:val="1"/>
                <w:bCs w:val="1"/>
                <w:color w:val="auto"/>
              </w:rPr>
              <w:t>Control Investments</w:t>
            </w:r>
            <w:r>
              <w:rPr>
                <w:rFonts w:ascii="Arial" w:cs="Arial" w:eastAsia="Arial" w:hAnsi="Arial"/>
                <w:sz w:val="14"/>
                <w:szCs w:val="14"/>
                <w:b w:val="1"/>
                <w:bCs w:val="1"/>
                <w:color w:val="auto"/>
                <w:vertAlign w:val="superscript"/>
              </w:rPr>
              <w:t>7</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I-45 SLF LLC</w:t>
            </w:r>
            <w:r>
              <w:rPr>
                <w:rFonts w:ascii="Arial" w:cs="Arial" w:eastAsia="Arial" w:hAnsi="Arial"/>
                <w:sz w:val="14"/>
                <w:szCs w:val="14"/>
                <w:b w:val="1"/>
                <w:bCs w:val="1"/>
                <w:color w:val="auto"/>
                <w:vertAlign w:val="superscript"/>
              </w:rPr>
              <w:t>9, 10, 11</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Multi-sector</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vMerge w:val="continue"/>
            <w:shd w:val="clear" w:color="auto" w:fill="CCEEFF"/>
          </w:tcPr>
          <w:p>
            <w:pPr>
              <w:spacing w:after="0"/>
              <w:rPr>
                <w:sz w:val="14"/>
                <w:szCs w:val="14"/>
                <w:color w:val="auto"/>
              </w:rPr>
            </w:pPr>
          </w:p>
        </w:tc>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80% LLC equity interest</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holdings</w:t>
            </w:r>
          </w:p>
        </w:tc>
        <w:tc>
          <w:tcPr>
            <w:tcW w:w="11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64,800,000</w:t>
            </w:r>
          </w:p>
        </w:tc>
        <w:tc>
          <w:tcPr>
            <w:tcW w:w="1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67,113,368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MEDIA RECOVERY, INC.</w:t>
            </w:r>
            <w:r>
              <w:rPr>
                <w:rFonts w:ascii="Arial" w:cs="Arial" w:eastAsia="Arial" w:hAnsi="Arial"/>
                <w:sz w:val="14"/>
                <w:szCs w:val="14"/>
                <w:b w:val="1"/>
                <w:bCs w:val="1"/>
                <w:color w:val="auto"/>
                <w:vertAlign w:val="superscript"/>
              </w:rPr>
              <w:t>11</w:t>
            </w:r>
          </w:p>
        </w:tc>
        <w:tc>
          <w:tcPr>
            <w:tcW w:w="2560" w:type="dxa"/>
            <w:vAlign w:val="bottom"/>
            <w:gridSpan w:val="3"/>
          </w:tcPr>
          <w:p>
            <w:pPr>
              <w:ind w:left="140"/>
              <w:spacing w:after="0" w:line="130" w:lineRule="exact"/>
              <w:rPr>
                <w:sz w:val="20"/>
                <w:szCs w:val="20"/>
                <w:color w:val="auto"/>
              </w:rPr>
            </w:pPr>
            <w:r>
              <w:rPr>
                <w:rFonts w:ascii="Arial" w:cs="Arial" w:eastAsia="Arial" w:hAnsi="Arial"/>
                <w:sz w:val="14"/>
                <w:szCs w:val="14"/>
                <w:color w:val="auto"/>
                <w:w w:val="99"/>
              </w:rPr>
              <w:t>800,000 shares of Series A convertible</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gridSpan w:val="2"/>
            <w:vMerge w:val="continue"/>
          </w:tcPr>
          <w:p>
            <w:pPr>
              <w:spacing w:after="0"/>
              <w:rPr>
                <w:sz w:val="14"/>
                <w:szCs w:val="14"/>
                <w:color w:val="auto"/>
              </w:rPr>
            </w:pPr>
          </w:p>
        </w:tc>
        <w:tc>
          <w:tcPr>
            <w:tcW w:w="2560" w:type="dxa"/>
            <w:vAlign w:val="bottom"/>
            <w:gridSpan w:val="3"/>
          </w:tcPr>
          <w:p>
            <w:pPr>
              <w:ind w:left="140"/>
              <w:spacing w:after="0"/>
              <w:rPr>
                <w:sz w:val="20"/>
                <w:szCs w:val="20"/>
                <w:color w:val="auto"/>
              </w:rPr>
            </w:pPr>
            <w:r>
              <w:rPr>
                <w:rFonts w:ascii="Arial" w:cs="Arial" w:eastAsia="Arial" w:hAnsi="Arial"/>
                <w:sz w:val="14"/>
                <w:szCs w:val="14"/>
                <w:color w:val="auto"/>
              </w:rPr>
              <w:t>preferred stock</w:t>
            </w:r>
          </w:p>
        </w:tc>
        <w:tc>
          <w:tcPr>
            <w:tcW w:w="1300" w:type="dxa"/>
            <w:vAlign w:val="bottom"/>
            <w:gridSpan w:val="2"/>
          </w:tcPr>
          <w:p>
            <w:pPr>
              <w:ind w:left="140"/>
              <w:spacing w:after="0"/>
              <w:rPr>
                <w:sz w:val="20"/>
                <w:szCs w:val="20"/>
                <w:color w:val="auto"/>
              </w:rPr>
            </w:pPr>
            <w:r>
              <w:rPr>
                <w:rFonts w:ascii="Arial" w:cs="Arial" w:eastAsia="Arial" w:hAnsi="Arial"/>
                <w:sz w:val="14"/>
                <w:szCs w:val="14"/>
                <w:color w:val="auto"/>
                <w:w w:val="99"/>
              </w:rPr>
              <w:t>Industrial products</w:t>
            </w:r>
          </w:p>
        </w:tc>
        <w:tc>
          <w:tcPr>
            <w:tcW w:w="1120" w:type="dxa"/>
            <w:vAlign w:val="bottom"/>
            <w:gridSpan w:val="2"/>
          </w:tcPr>
          <w:p>
            <w:pPr>
              <w:jc w:val="center"/>
              <w:ind w:lef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800,000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6,370,748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5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4,000,002 shares of common stock</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4,615,000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36,751,252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5,415,000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9"/>
              </w:rPr>
              <w:t>43,122,000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PRISM SPECTRUM</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L+9.50% (Floor</w:t>
            </w: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Environmental</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160"/>
              <w:spacing w:after="0" w:line="145" w:lineRule="exact"/>
              <w:rPr>
                <w:sz w:val="20"/>
                <w:szCs w:val="20"/>
                <w:color w:val="auto"/>
              </w:rPr>
            </w:pPr>
            <w:r>
              <w:rPr>
                <w:rFonts w:ascii="Arial" w:cs="Arial" w:eastAsia="Arial" w:hAnsi="Arial"/>
                <w:sz w:val="14"/>
                <w:szCs w:val="14"/>
                <w:color w:val="auto"/>
                <w:w w:val="95"/>
              </w:rPr>
              <w:t>2.25%), Current</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HOLDINGS, LLC</w:t>
            </w:r>
            <w:r>
              <w:rPr>
                <w:rFonts w:ascii="Arial" w:cs="Arial" w:eastAsia="Arial" w:hAnsi="Arial"/>
                <w:sz w:val="14"/>
                <w:szCs w:val="14"/>
                <w:b w:val="1"/>
                <w:bCs w:val="1"/>
                <w:color w:val="auto"/>
                <w:vertAlign w:val="superscript"/>
              </w:rPr>
              <w:t>13</w:t>
            </w:r>
          </w:p>
        </w:tc>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Coupon 11.75%</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2/6/2023</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4,325,177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4,240,522</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4,240,522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7"/>
              </w:rPr>
              <w:t>L+9.50% (Floor</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2.25%), Current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3"/>
          </w:tcPr>
          <w:p>
            <w:pPr>
              <w:ind w:left="140"/>
              <w:spacing w:after="0"/>
              <w:rPr>
                <w:sz w:val="20"/>
                <w:szCs w:val="20"/>
                <w:color w:val="auto"/>
              </w:rPr>
            </w:pPr>
            <w:r>
              <w:rPr>
                <w:rFonts w:ascii="Arial" w:cs="Arial" w:eastAsia="Arial" w:hAnsi="Arial"/>
                <w:sz w:val="14"/>
                <w:szCs w:val="14"/>
                <w:color w:val="auto"/>
              </w:rPr>
              <w:t>Revolving Loan</w:t>
            </w:r>
            <w:r>
              <w:rPr>
                <w:rFonts w:ascii="Arial" w:cs="Arial" w:eastAsia="Arial" w:hAnsi="Arial"/>
                <w:sz w:val="14"/>
                <w:szCs w:val="14"/>
                <w:color w:val="auto"/>
                <w:vertAlign w:val="superscript"/>
              </w:rPr>
              <w:t>20</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Coupon 11.75%</w:t>
            </w:r>
          </w:p>
        </w:tc>
        <w:tc>
          <w:tcPr>
            <w:tcW w:w="580" w:type="dxa"/>
            <w:vAlign w:val="bottom"/>
          </w:tcPr>
          <w:p>
            <w:pPr>
              <w:jc w:val="center"/>
              <w:spacing w:after="0"/>
              <w:rPr>
                <w:sz w:val="20"/>
                <w:szCs w:val="20"/>
                <w:color w:val="auto"/>
              </w:rPr>
            </w:pPr>
            <w:r>
              <w:rPr>
                <w:rFonts w:ascii="Arial" w:cs="Arial" w:eastAsia="Arial" w:hAnsi="Arial"/>
                <w:sz w:val="14"/>
                <w:szCs w:val="14"/>
                <w:color w:val="auto"/>
                <w:w w:val="91"/>
              </w:rPr>
              <w:t>2/6/2023</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490,290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490,290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5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57.25 Class A units</w:t>
            </w:r>
            <w:r>
              <w:rPr>
                <w:rFonts w:ascii="Arial" w:cs="Arial" w:eastAsia="Arial" w:hAnsi="Arial"/>
                <w:sz w:val="14"/>
                <w:szCs w:val="14"/>
                <w:color w:val="auto"/>
                <w:vertAlign w:val="superscript"/>
              </w:rPr>
              <w:t>9</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84"/>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1,691,674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1,691,674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6,422,486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6,422,486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TITANLINER, INC.</w:t>
            </w:r>
          </w:p>
        </w:tc>
        <w:tc>
          <w:tcPr>
            <w:tcW w:w="25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w w:val="95"/>
              </w:rPr>
              <w:t>1,189,609 shares of Series B convertible</w:t>
            </w:r>
          </w:p>
        </w:tc>
        <w:tc>
          <w:tcPr>
            <w:tcW w:w="130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rPr>
              <w:t>Energy services</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vMerge w:val="continue"/>
            <w:shd w:val="clear" w:color="auto" w:fill="CCEEFF"/>
          </w:tcPr>
          <w:p>
            <w:pPr>
              <w:spacing w:after="0"/>
              <w:rPr>
                <w:sz w:val="14"/>
                <w:szCs w:val="14"/>
                <w:color w:val="auto"/>
              </w:rPr>
            </w:pPr>
          </w:p>
        </w:tc>
        <w:tc>
          <w:tcPr>
            <w:tcW w:w="25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(upstream)</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6% PIK</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2,925,960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11,362,000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60" w:type="dxa"/>
            <w:vAlign w:val="bottom"/>
            <w:gridSpan w:val="3"/>
          </w:tcPr>
          <w:p>
            <w:pPr>
              <w:ind w:left="140"/>
              <w:spacing w:after="0" w:line="130" w:lineRule="exact"/>
              <w:rPr>
                <w:sz w:val="20"/>
                <w:szCs w:val="20"/>
                <w:color w:val="auto"/>
              </w:rPr>
            </w:pPr>
            <w:r>
              <w:rPr>
                <w:rFonts w:ascii="Arial" w:cs="Arial" w:eastAsia="Arial" w:hAnsi="Arial"/>
                <w:sz w:val="14"/>
                <w:szCs w:val="14"/>
                <w:color w:val="auto"/>
                <w:w w:val="99"/>
              </w:rPr>
              <w:t>339,277 shares of Series A convertible</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preferred stock</w:t>
            </w:r>
          </w:p>
        </w:tc>
        <w:tc>
          <w:tcPr>
            <w:tcW w:w="1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gridSpan w:val="2"/>
          </w:tcPr>
          <w:p>
            <w:pPr>
              <w:jc w:val="center"/>
              <w:ind w:left="6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3,204,222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11,928,000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6,130,182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23,290,000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82,767,668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139,947,854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4"/>
                <w:szCs w:val="14"/>
                <w:b w:val="1"/>
                <w:bCs w:val="1"/>
                <w:color w:val="auto"/>
                <w:vertAlign w:val="superscript"/>
              </w:rPr>
              <w:t>12</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2"/>
              </w:rPr>
              <w:t>335,396,618</w:t>
            </w:r>
          </w:p>
        </w:tc>
        <w:tc>
          <w:tcPr>
            <w:tcW w:w="16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89"/>
              </w:rPr>
              <w:t>393,095,537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3" w:hanging="323"/>
        <w:spacing w:after="0"/>
        <w:tabs>
          <w:tab w:leader="none" w:pos="323"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debt investments are income-producing, unless otherwise noted. Equity investments are non-income producing, unless otherwise noted.</w:t>
      </w:r>
    </w:p>
    <w:p>
      <w:pPr>
        <w:spacing w:after="0" w:line="22"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2   All of the Company’s investments, unless otherwise noted, are encumbered as security for the Company’s senior secured credit facility.</w:t>
      </w:r>
    </w:p>
    <w:p>
      <w:pPr>
        <w:spacing w:after="0" w:line="19" w:lineRule="exact"/>
        <w:rPr>
          <w:sz w:val="20"/>
          <w:szCs w:val="20"/>
          <w:color w:val="auto"/>
        </w:rPr>
      </w:pPr>
    </w:p>
    <w:p>
      <w:pPr>
        <w:jc w:val="both"/>
        <w:ind w:left="323" w:hanging="323"/>
        <w:spacing w:after="0" w:line="224" w:lineRule="auto"/>
        <w:tabs>
          <w:tab w:leader="none" w:pos="3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majority of investments bear interest at a rate that may be determined by reference to London Interbank Offered Rate (“LIBOR” or “L”) or Prime (“P”) and reset daily, monthly, quarterly, or semiannually. For each the Company has provided the spread over LIBOR or Prime and the current contractual interest rate in effect at March 31, 2018. Certain investments are subject to a LIBOR or Prime interest rate floor. Certain investments, as noted, accrue payment-in-kind (“PIK”) interest.</w:t>
      </w:r>
    </w:p>
    <w:p>
      <w:pPr>
        <w:spacing w:after="0" w:line="39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7494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623"/>
          </w:cols>
          <w:pgMar w:left="637" w:top="118" w:right="639" w:bottom="1440" w:gutter="0" w:footer="0" w:header="0"/>
        </w:sectPr>
      </w:pPr>
    </w:p>
    <w:bookmarkStart w:id="71" w:name="page72"/>
    <w:bookmarkEnd w:id="71"/>
    <w:p>
      <w:pPr>
        <w:jc w:val="both"/>
        <w:ind w:left="323" w:hanging="323"/>
        <w:spacing w:after="0" w:line="215" w:lineRule="auto"/>
        <w:tabs>
          <w:tab w:leader="none" w:pos="323"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Investments are carried at fair value in accordance with the Investment Company Act of 1940 (the “1940 Act”) and Financial Accounting Standards Board (“FASB”) Accounting Standard Codification (“ASC”) 820, Fair Value Measurements and Disclosures. We determine in good faith the fair value of our Investment portfolio pursuant to a valuation policy in accordance with ASC 820 and a valuation process approved by our Board of Directors. See Note 4 to the consolidated financial statements.</w:t>
      </w:r>
    </w:p>
    <w:p>
      <w:pPr>
        <w:spacing w:after="0" w:line="2" w:lineRule="exact"/>
        <w:rPr>
          <w:sz w:val="20"/>
          <w:szCs w:val="20"/>
          <w:color w:val="auto"/>
        </w:rPr>
      </w:pPr>
    </w:p>
    <w:p>
      <w:pPr>
        <w:jc w:val="both"/>
        <w:ind w:left="323" w:hanging="323"/>
        <w:spacing w:after="0" w:line="211" w:lineRule="auto"/>
        <w:tabs>
          <w:tab w:leader="none" w:pos="323"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Non-Control/Non-Affiliate investments are generally defined by the 1940 Act as investments that are neither control investments nor affiliate investments. At March 31, 2018, approximately 50.9% of the Company’s investment assets were non-control/non-affiliate investments. The fair value of these investments as a percent of net assets is 64.9%.</w:t>
      </w:r>
    </w:p>
    <w:p>
      <w:pPr>
        <w:spacing w:after="0" w:line="1" w:lineRule="exact"/>
        <w:rPr>
          <w:sz w:val="20"/>
          <w:szCs w:val="20"/>
          <w:color w:val="auto"/>
        </w:rPr>
      </w:pPr>
    </w:p>
    <w:p>
      <w:pPr>
        <w:jc w:val="both"/>
        <w:ind w:left="323" w:hanging="323"/>
        <w:spacing w:after="0" w:line="225" w:lineRule="auto"/>
        <w:tabs>
          <w:tab w:leader="none" w:pos="323" w:val="left"/>
        </w:tabs>
        <w:numPr>
          <w:ilvl w:val="0"/>
          <w:numId w:val="42"/>
        </w:numPr>
        <w:rPr>
          <w:rFonts w:ascii="Arial" w:cs="Arial" w:eastAsia="Arial" w:hAnsi="Arial"/>
          <w:sz w:val="15"/>
          <w:szCs w:val="15"/>
          <w:color w:val="auto"/>
        </w:rPr>
      </w:pPr>
      <w:r>
        <w:rPr>
          <w:rFonts w:ascii="Arial" w:cs="Arial" w:eastAsia="Arial" w:hAnsi="Arial"/>
          <w:sz w:val="15"/>
          <w:szCs w:val="15"/>
          <w:color w:val="auto"/>
        </w:rPr>
        <w:t>Affiliate investments are generally defined by the 1940 Act as investments in which between 5% and 25% of the voting securities are owned and the investments are not classified as control investments. At March 31, 2018, approximately 13.5% of the Company’s investment assets were affiliate</w:t>
      </w:r>
    </w:p>
    <w:p>
      <w:pPr>
        <w:ind w:left="323"/>
        <w:spacing w:after="0" w:line="212" w:lineRule="auto"/>
        <w:rPr>
          <w:sz w:val="20"/>
          <w:szCs w:val="20"/>
          <w:color w:val="auto"/>
        </w:rPr>
      </w:pPr>
      <w:r>
        <w:rPr>
          <w:rFonts w:ascii="Arial" w:cs="Arial" w:eastAsia="Arial" w:hAnsi="Arial"/>
          <w:sz w:val="16"/>
          <w:szCs w:val="16"/>
          <w:color w:val="auto"/>
        </w:rPr>
        <w:t>investments. The fair value of these investments as a percent of net assets is 17.3%.</w:t>
      </w:r>
    </w:p>
    <w:p>
      <w:pPr>
        <w:jc w:val="both"/>
        <w:ind w:left="323" w:hanging="323"/>
        <w:spacing w:after="0" w:line="211" w:lineRule="auto"/>
        <w:tabs>
          <w:tab w:leader="none" w:pos="32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Control investments are generally defined by the 1940 Act as investments in which more than 25% of the voting securities are owned or where greater than 50% of the board representation is maintained. At March 31, 2018, approximately 35.6% of the Company’s investment assets were control investments. The fair value of these investments as a percent of net assets is 45.4%.</w:t>
      </w:r>
    </w:p>
    <w:p>
      <w:pPr>
        <w:spacing w:after="0" w:line="1" w:lineRule="exact"/>
        <w:rPr>
          <w:sz w:val="20"/>
          <w:szCs w:val="20"/>
          <w:color w:val="auto"/>
        </w:rPr>
      </w:pPr>
    </w:p>
    <w:p>
      <w:pPr>
        <w:ind w:left="323" w:hanging="323"/>
        <w:spacing w:after="0"/>
        <w:tabs>
          <w:tab w:leader="none" w:pos="3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investment is structured as a first lien last out term loan.</w:t>
      </w:r>
    </w:p>
    <w:p>
      <w:pPr>
        <w:spacing w:after="0" w:line="8" w:lineRule="exact"/>
        <w:rPr>
          <w:sz w:val="20"/>
          <w:szCs w:val="20"/>
          <w:color w:val="auto"/>
        </w:rPr>
      </w:pPr>
    </w:p>
    <w:p>
      <w:pPr>
        <w:ind w:left="323" w:hanging="323"/>
        <w:spacing w:after="0"/>
        <w:tabs>
          <w:tab w:leader="none" w:pos="323"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Indicates assets that are considered “non-qualifying assets” under section 55(a) of the 1940 Act. Qualifying assets must represent at least 70% of total assets</w:t>
      </w:r>
    </w:p>
    <w:p>
      <w:pPr>
        <w:spacing w:after="0" w:line="11" w:lineRule="exact"/>
        <w:rPr>
          <w:sz w:val="20"/>
          <w:szCs w:val="20"/>
          <w:color w:val="auto"/>
        </w:rPr>
      </w:pPr>
    </w:p>
    <w:p>
      <w:pPr>
        <w:ind w:left="323"/>
        <w:spacing w:after="0" w:line="211" w:lineRule="auto"/>
        <w:rPr>
          <w:sz w:val="20"/>
          <w:szCs w:val="20"/>
          <w:color w:val="auto"/>
        </w:rPr>
      </w:pPr>
      <w:r>
        <w:rPr>
          <w:rFonts w:ascii="Arial" w:cs="Arial" w:eastAsia="Arial" w:hAnsi="Arial"/>
          <w:sz w:val="16"/>
          <w:szCs w:val="16"/>
          <w:color w:val="auto"/>
        </w:rPr>
        <w:t>at the time of acquisition of any additional non-qualifying assets. As of March 31, 2018, approximately 18.0% of the Company’s investment assets are non-qualifying assets.</w:t>
      </w:r>
    </w:p>
    <w:p>
      <w:pPr>
        <w:spacing w:after="0" w:line="1" w:lineRule="exact"/>
        <w:rPr>
          <w:sz w:val="20"/>
          <w:szCs w:val="20"/>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investment has approximately $3.2 million unfunded commitment as of March 31, 2018.</w:t>
      </w:r>
    </w:p>
    <w:p>
      <w:pPr>
        <w:spacing w:after="0" w:line="8" w:lineRule="exact"/>
        <w:rPr>
          <w:rFonts w:ascii="Arial" w:cs="Arial" w:eastAsia="Arial" w:hAnsi="Arial"/>
          <w:sz w:val="16"/>
          <w:szCs w:val="16"/>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Income producing through dividends on distributions.</w:t>
      </w:r>
    </w:p>
    <w:p>
      <w:pPr>
        <w:spacing w:after="0" w:line="18" w:lineRule="exact"/>
        <w:rPr>
          <w:rFonts w:ascii="Arial" w:cs="Arial" w:eastAsia="Arial" w:hAnsi="Arial"/>
          <w:sz w:val="16"/>
          <w:szCs w:val="16"/>
          <w:color w:val="auto"/>
        </w:rPr>
      </w:pPr>
    </w:p>
    <w:p>
      <w:pPr>
        <w:jc w:val="both"/>
        <w:ind w:left="323" w:hanging="323"/>
        <w:spacing w:after="0" w:line="215" w:lineRule="auto"/>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March 31, 2018, the cumulative gross unrealized appreciation for federal income tax purposes is approximately $62.4 million; cumulative gross unrealized depreciation for federal income tax purposes is $4.9 million. Cumulative net unrealized appreciation is $57.5 million, based on a tax cost of $335.6 million.</w:t>
      </w:r>
    </w:p>
    <w:p>
      <w:pPr>
        <w:spacing w:after="0" w:line="1" w:lineRule="exact"/>
        <w:rPr>
          <w:rFonts w:ascii="Arial" w:cs="Arial" w:eastAsia="Arial" w:hAnsi="Arial"/>
          <w:sz w:val="16"/>
          <w:szCs w:val="16"/>
          <w:color w:val="auto"/>
        </w:rPr>
      </w:pPr>
    </w:p>
    <w:p>
      <w:pPr>
        <w:ind w:left="323" w:hanging="323"/>
        <w:spacing w:after="0" w:line="220" w:lineRule="auto"/>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ITA Holdings Group, LLC membership interest, LGM Pharma, LLC Class A common stock, Prism Spectrum Holdings LLC Class A units, Tax Advisors Group, LLC Class A units and Chandler Signs, LP Class A-1 common stock are held through a wholly-owned taxable subsidiary</w:t>
      </w:r>
      <w:r>
        <w:rPr>
          <w:rFonts w:ascii="Arial" w:cs="Arial" w:eastAsia="Arial" w:hAnsi="Arial"/>
          <w:sz w:val="14"/>
          <w:szCs w:val="14"/>
          <w:color w:val="auto"/>
        </w:rPr>
        <w:t>.</w:t>
      </w: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investment is structured as a first lien first out term loan</w:t>
      </w:r>
      <w:r>
        <w:rPr>
          <w:rFonts w:ascii="Arial" w:cs="Arial" w:eastAsia="Arial" w:hAnsi="Arial"/>
          <w:sz w:val="14"/>
          <w:szCs w:val="14"/>
          <w:color w:val="auto"/>
        </w:rPr>
        <w:t>.</w:t>
      </w:r>
    </w:p>
    <w:p>
      <w:pPr>
        <w:spacing w:after="0" w:line="8" w:lineRule="exact"/>
        <w:rPr>
          <w:rFonts w:ascii="Arial" w:cs="Arial" w:eastAsia="Arial" w:hAnsi="Arial"/>
          <w:sz w:val="16"/>
          <w:szCs w:val="16"/>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investment has approximately $2.0 million unfunded commitment as of March 31, 2018.</w:t>
      </w:r>
    </w:p>
    <w:p>
      <w:pPr>
        <w:spacing w:after="0" w:line="18" w:lineRule="exact"/>
        <w:rPr>
          <w:rFonts w:ascii="Arial" w:cs="Arial" w:eastAsia="Arial" w:hAnsi="Arial"/>
          <w:sz w:val="16"/>
          <w:szCs w:val="16"/>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March 31, 2018, the investment is paying default interest at a rate of 3.0% per annum</w:t>
      </w:r>
      <w:r>
        <w:rPr>
          <w:rFonts w:ascii="Arial" w:cs="Arial" w:eastAsia="Arial" w:hAnsi="Arial"/>
          <w:sz w:val="14"/>
          <w:szCs w:val="14"/>
          <w:color w:val="auto"/>
        </w:rPr>
        <w:t>.</w:t>
      </w:r>
    </w:p>
    <w:p>
      <w:pPr>
        <w:spacing w:after="0" w:line="18" w:lineRule="exact"/>
        <w:rPr>
          <w:rFonts w:ascii="Arial" w:cs="Arial" w:eastAsia="Arial" w:hAnsi="Arial"/>
          <w:sz w:val="16"/>
          <w:szCs w:val="16"/>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March 31, 2018, the investment is paying default interest at a rate of 2.5% per annum</w:t>
      </w:r>
      <w:r>
        <w:rPr>
          <w:rFonts w:ascii="Arial" w:cs="Arial" w:eastAsia="Arial" w:hAnsi="Arial"/>
          <w:sz w:val="14"/>
          <w:szCs w:val="14"/>
          <w:color w:val="auto"/>
        </w:rPr>
        <w:t>.</w:t>
      </w:r>
    </w:p>
    <w:p>
      <w:pPr>
        <w:spacing w:after="0" w:line="18" w:lineRule="exact"/>
        <w:rPr>
          <w:rFonts w:ascii="Arial" w:cs="Arial" w:eastAsia="Arial" w:hAnsi="Arial"/>
          <w:sz w:val="16"/>
          <w:szCs w:val="16"/>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investment has approximately $0.9 million unfunded commitment as of March 31, 2018.</w:t>
      </w:r>
    </w:p>
    <w:p>
      <w:pPr>
        <w:spacing w:after="0" w:line="18" w:lineRule="exact"/>
        <w:rPr>
          <w:rFonts w:ascii="Arial" w:cs="Arial" w:eastAsia="Arial" w:hAnsi="Arial"/>
          <w:sz w:val="16"/>
          <w:szCs w:val="16"/>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investment has approximately $2.0 million unfunded commitment as of March 31, 2018.</w:t>
      </w:r>
    </w:p>
    <w:p>
      <w:pPr>
        <w:spacing w:after="0" w:line="18" w:lineRule="exact"/>
        <w:rPr>
          <w:rFonts w:ascii="Arial" w:cs="Arial" w:eastAsia="Arial" w:hAnsi="Arial"/>
          <w:sz w:val="16"/>
          <w:szCs w:val="16"/>
          <w:color w:val="auto"/>
        </w:rPr>
      </w:pPr>
    </w:p>
    <w:p>
      <w:pPr>
        <w:ind w:left="323" w:hanging="323"/>
        <w:spacing w:after="0"/>
        <w:tabs>
          <w:tab w:leader="none" w:pos="32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investment has approximately $1.5 million unfunded commitment as of March 31, 2018.</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7494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623"/>
          </w:cols>
          <w:pgMar w:left="637" w:top="118" w:right="6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CAPITAL SOUTHWEST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Type of</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r>
              <w:rPr>
                <w:rFonts w:ascii="Arial" w:cs="Arial" w:eastAsia="Arial" w:hAnsi="Arial"/>
                <w:sz w:val="14"/>
                <w:szCs w:val="14"/>
                <w:b w:val="1"/>
                <w:bCs w:val="1"/>
                <w:color w:val="auto"/>
                <w:vertAlign w:val="superscript"/>
              </w:rPr>
              <w:t>1</w:t>
            </w:r>
          </w:p>
        </w:tc>
        <w:tc>
          <w:tcPr>
            <w:tcW w:w="8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Industry</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Interest</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Investment</w:t>
            </w:r>
          </w:p>
        </w:tc>
        <w:tc>
          <w:tcPr>
            <w:tcW w:w="1340" w:type="dxa"/>
            <w:vAlign w:val="bottom"/>
            <w:gridSpan w:val="2"/>
            <w:vMerge w:val="continue"/>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Rate</w:t>
            </w:r>
            <w:r>
              <w:rPr>
                <w:rFonts w:ascii="Arial" w:cs="Arial" w:eastAsia="Arial" w:hAnsi="Arial"/>
                <w:sz w:val="14"/>
                <w:szCs w:val="14"/>
                <w:b w:val="1"/>
                <w:bCs w:val="1"/>
                <w:color w:val="auto"/>
                <w:w w:val="95"/>
                <w:vertAlign w:val="superscript"/>
              </w:rPr>
              <w:t>2</w:t>
            </w:r>
          </w:p>
        </w:tc>
        <w:tc>
          <w:tcPr>
            <w:tcW w:w="8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r>
              <w:rPr>
                <w:rFonts w:ascii="Arial" w:cs="Arial" w:eastAsia="Arial" w:hAnsi="Arial"/>
                <w:sz w:val="14"/>
                <w:szCs w:val="14"/>
                <w:b w:val="1"/>
                <w:bCs w:val="1"/>
                <w:color w:val="auto"/>
                <w:w w:val="89"/>
                <w:vertAlign w:val="superscript"/>
              </w:rPr>
              <w:t>3</w:t>
            </w:r>
          </w:p>
        </w:tc>
        <w:tc>
          <w:tcPr>
            <w:tcW w:w="0" w:type="dxa"/>
            <w:vAlign w:val="bottom"/>
          </w:tcPr>
          <w:p>
            <w:pPr>
              <w:spacing w:after="0"/>
              <w:rPr>
                <w:sz w:val="1"/>
                <w:szCs w:val="1"/>
                <w:color w:val="auto"/>
              </w:rPr>
            </w:pPr>
          </w:p>
        </w:tc>
      </w:tr>
      <w:tr>
        <w:trPr>
          <w:trHeight w:val="119"/>
        </w:trPr>
        <w:tc>
          <w:tcPr>
            <w:tcW w:w="210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Non-control/Non-affiliate</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Investments</w:t>
            </w:r>
            <w:r>
              <w:rPr>
                <w:rFonts w:ascii="Arial" w:cs="Arial" w:eastAsia="Arial" w:hAnsi="Arial"/>
                <w:sz w:val="14"/>
                <w:szCs w:val="14"/>
                <w:b w:val="1"/>
                <w:bCs w:val="1"/>
                <w:color w:val="auto"/>
                <w:vertAlign w:val="superscript"/>
              </w:rPr>
              <w:t>4</w:t>
            </w:r>
          </w:p>
        </w:tc>
        <w:tc>
          <w:tcPr>
            <w:tcW w:w="8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 KINGS HOLDINGS</w:t>
            </w:r>
            <w:r>
              <w:rPr>
                <w:rFonts w:ascii="Arial" w:cs="Arial" w:eastAsia="Arial" w:hAnsi="Arial"/>
                <w:sz w:val="14"/>
                <w:szCs w:val="14"/>
                <w:b w:val="1"/>
                <w:bCs w:val="1"/>
                <w:color w:val="auto"/>
                <w:vertAlign w:val="superscript"/>
              </w:rPr>
              <w:t>8</w:t>
            </w: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Food, agriculture &amp;</w:t>
            </w:r>
          </w:p>
        </w:tc>
        <w:tc>
          <w:tcPr>
            <w:tcW w:w="112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6"/>
              </w:rPr>
              <w:t>L+8.50%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beverage</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8/10/2021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5"/>
              </w:rPr>
              <w:t>$  9,900,000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$ 9,720,743</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$ 9,900,000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AMERICAN</w:t>
            </w:r>
          </w:p>
        </w:tc>
        <w:tc>
          <w:tcPr>
            <w:tcW w:w="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4"/>
                <w:szCs w:val="14"/>
                <w:color w:val="auto"/>
                <w:w w:val="96"/>
              </w:rPr>
              <w:t>L+6.50%</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TELECONFERENCING</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Telecommunications</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12/8/2021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6,733,503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6,559,616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6,720,709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6"/>
              </w:rPr>
              <w:t>L+9.50%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Second Lien</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6/6/2022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2,005,714</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1,929,670</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1,965,600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AMWARE FULFILLMENT</w:t>
            </w:r>
          </w:p>
        </w:tc>
        <w:tc>
          <w:tcPr>
            <w:tcW w:w="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L+9.50%</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Distribution</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5/21/2019</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13,065,000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12,858,885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12,934,350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ARGON MEDICAL DEVICES</w:t>
            </w: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6"/>
              </w:rPr>
              <w:t>L+9.50%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Healthcare products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6/23/2022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4,871,024</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5,000,000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BINSWANGER CORP.</w:t>
            </w:r>
          </w:p>
        </w:tc>
        <w:tc>
          <w:tcPr>
            <w:tcW w:w="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112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6"/>
              </w:rPr>
              <w:t>L+8.00%</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&amp; retail</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3/9/2022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13,251,760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12,988,847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12,988,848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900,000 shares of common stock</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900,000</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13,888,847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13,888,848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CALIFORNIA PIZZA</w:t>
            </w:r>
          </w:p>
        </w:tc>
        <w:tc>
          <w:tcPr>
            <w:tcW w:w="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40"/>
              <w:spacing w:after="0" w:line="126" w:lineRule="exact"/>
              <w:rPr>
                <w:sz w:val="20"/>
                <w:szCs w:val="20"/>
                <w:color w:val="auto"/>
              </w:rPr>
            </w:pPr>
            <w:r>
              <w:rPr>
                <w:rFonts w:ascii="Arial" w:cs="Arial" w:eastAsia="Arial" w:hAnsi="Arial"/>
                <w:sz w:val="14"/>
                <w:szCs w:val="14"/>
                <w:color w:val="auto"/>
                <w:w w:val="96"/>
              </w:rPr>
              <w:t>L+6.00%</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KITCHEN</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Restaurants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8/23/2022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4,975,000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4,929,234</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4,975,995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CAST AND CREW PAYROLL,</w:t>
            </w:r>
          </w:p>
        </w:tc>
        <w:tc>
          <w:tcPr>
            <w:tcW w:w="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color w:val="auto"/>
              </w:rPr>
              <w:t>Media, marketing &amp;</w:t>
            </w:r>
          </w:p>
        </w:tc>
        <w:tc>
          <w:tcPr>
            <w:tcW w:w="1120" w:type="dxa"/>
            <w:vAlign w:val="bottom"/>
            <w:gridSpan w:val="2"/>
            <w:shd w:val="clear" w:color="auto" w:fill="CCEEFF"/>
          </w:tcPr>
          <w:p>
            <w:pPr>
              <w:jc w:val="center"/>
              <w:ind w:right="180"/>
              <w:spacing w:after="0" w:line="126" w:lineRule="exact"/>
              <w:rPr>
                <w:sz w:val="20"/>
                <w:szCs w:val="20"/>
                <w:color w:val="auto"/>
              </w:rPr>
            </w:pPr>
            <w:r>
              <w:rPr>
                <w:rFonts w:ascii="Arial" w:cs="Arial" w:eastAsia="Arial" w:hAnsi="Arial"/>
                <w:sz w:val="14"/>
                <w:szCs w:val="14"/>
                <w:color w:val="auto"/>
                <w:w w:val="96"/>
              </w:rPr>
              <w:t>L+7.75%</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LLC</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entertainment</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8/12/2023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3,705,263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3,685,537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3,671,916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DEEPWATER CORROSION</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127,004 shares of Series A</w:t>
            </w:r>
          </w:p>
        </w:tc>
        <w:tc>
          <w:tcPr>
            <w:tcW w:w="1340" w:type="dxa"/>
            <w:vAlign w:val="bottom"/>
            <w:gridSpan w:val="2"/>
          </w:tcPr>
          <w:p>
            <w:pPr>
              <w:spacing w:after="0"/>
              <w:rPr>
                <w:sz w:val="20"/>
                <w:szCs w:val="20"/>
                <w:color w:val="auto"/>
              </w:rPr>
            </w:pPr>
            <w:r>
              <w:rPr>
                <w:rFonts w:ascii="Arial" w:cs="Arial" w:eastAsia="Arial" w:hAnsi="Arial"/>
                <w:sz w:val="14"/>
                <w:szCs w:val="14"/>
                <w:color w:val="auto"/>
              </w:rPr>
              <w:t>Energy services</w:t>
            </w: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SERVICES, INC.</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convertible preferred stock</w:t>
            </w:r>
          </w:p>
        </w:tc>
        <w:tc>
          <w:tcPr>
            <w:tcW w:w="1340" w:type="dxa"/>
            <w:vAlign w:val="bottom"/>
            <w:gridSpan w:val="2"/>
          </w:tcPr>
          <w:p>
            <w:pPr>
              <w:spacing w:after="0"/>
              <w:rPr>
                <w:sz w:val="20"/>
                <w:szCs w:val="20"/>
                <w:color w:val="auto"/>
              </w:rPr>
            </w:pPr>
            <w:r>
              <w:rPr>
                <w:rFonts w:ascii="Arial" w:cs="Arial" w:eastAsia="Arial" w:hAnsi="Arial"/>
                <w:sz w:val="14"/>
                <w:szCs w:val="14"/>
                <w:color w:val="auto"/>
              </w:rPr>
              <w:t>(upstream)</w:t>
            </w:r>
          </w:p>
        </w:tc>
        <w:tc>
          <w:tcPr>
            <w:tcW w:w="98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9,956,000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DIGITAL RIVER, INC.</w:t>
            </w:r>
          </w:p>
        </w:tc>
        <w:tc>
          <w:tcPr>
            <w:tcW w:w="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Software &amp; IT</w:t>
            </w:r>
          </w:p>
        </w:tc>
        <w:tc>
          <w:tcPr>
            <w:tcW w:w="11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L+6.50%</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2/12/2021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7,032,285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7,001,500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7,067,446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DIGITAL ROOM INC.</w:t>
            </w: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Paper &amp; forest</w:t>
            </w:r>
          </w:p>
        </w:tc>
        <w:tc>
          <w:tcPr>
            <w:tcW w:w="112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7"/>
              </w:rPr>
              <w:t>L+10.00%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products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5/21/2023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7,000,000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6,864,682</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6,864,682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DUNN PAPER, INC.</w:t>
            </w:r>
          </w:p>
        </w:tc>
        <w:tc>
          <w:tcPr>
            <w:tcW w:w="8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Paper &amp; forest</w:t>
            </w:r>
          </w:p>
        </w:tc>
        <w:tc>
          <w:tcPr>
            <w:tcW w:w="112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6"/>
              </w:rPr>
              <w:t>L+8.75%</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products</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8/26/2023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2,942,972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2,970,000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ELITE SEM, INC.</w:t>
            </w:r>
            <w:r>
              <w:rPr>
                <w:rFonts w:ascii="Arial" w:cs="Arial" w:eastAsia="Arial" w:hAnsi="Arial"/>
                <w:sz w:val="14"/>
                <w:szCs w:val="14"/>
                <w:b w:val="1"/>
                <w:bCs w:val="1"/>
                <w:color w:val="auto"/>
                <w:vertAlign w:val="superscript"/>
              </w:rPr>
              <w:t>8</w:t>
            </w: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Media, marketing &amp;</w:t>
            </w:r>
          </w:p>
        </w:tc>
        <w:tc>
          <w:tcPr>
            <w:tcW w:w="112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6"/>
              </w:rPr>
              <w:t>L+8.50%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entertainment</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2/1/2022</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12,150,000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11,864,161</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11,864,161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1,000 Preferred units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12% PIK</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1,019,667</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1,020,000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12,883,828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12,884,161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IMAGINE! PRINT SOLUTIONS,</w:t>
            </w:r>
          </w:p>
        </w:tc>
        <w:tc>
          <w:tcPr>
            <w:tcW w:w="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color w:val="auto"/>
              </w:rPr>
              <w:t>Media, marketing &amp;</w:t>
            </w:r>
          </w:p>
        </w:tc>
        <w:tc>
          <w:tcPr>
            <w:tcW w:w="1120" w:type="dxa"/>
            <w:vAlign w:val="bottom"/>
            <w:gridSpan w:val="2"/>
            <w:shd w:val="clear" w:color="auto" w:fill="CCEEFF"/>
          </w:tcPr>
          <w:p>
            <w:pPr>
              <w:jc w:val="center"/>
              <w:ind w:right="180"/>
              <w:spacing w:after="0" w:line="126" w:lineRule="exact"/>
              <w:rPr>
                <w:sz w:val="20"/>
                <w:szCs w:val="20"/>
                <w:color w:val="auto"/>
              </w:rPr>
            </w:pPr>
            <w:r>
              <w:rPr>
                <w:rFonts w:ascii="Arial" w:cs="Arial" w:eastAsia="Arial" w:hAnsi="Arial"/>
                <w:sz w:val="14"/>
                <w:szCs w:val="14"/>
                <w:color w:val="auto"/>
                <w:w w:val="96"/>
              </w:rPr>
              <w:t>L+6.00%</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entertainment</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3/30/2022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4,853,233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4,800,146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4,913,898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INFOGROUP INC.</w:t>
            </w: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spacing w:after="0" w:line="130" w:lineRule="exact"/>
              <w:rPr>
                <w:sz w:val="20"/>
                <w:szCs w:val="20"/>
                <w:color w:val="auto"/>
              </w:rPr>
            </w:pPr>
            <w:r>
              <w:rPr>
                <w:rFonts w:ascii="Arial" w:cs="Arial" w:eastAsia="Arial" w:hAnsi="Arial"/>
                <w:sz w:val="14"/>
                <w:szCs w:val="14"/>
                <w:color w:val="auto"/>
              </w:rPr>
              <w:t>Software &amp; IT</w:t>
            </w:r>
          </w:p>
        </w:tc>
        <w:tc>
          <w:tcPr>
            <w:tcW w:w="112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6"/>
              </w:rPr>
              <w:t>L+5.50%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services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1.50%)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5/26/2018</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4,895,007</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4,822,951</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4,890,112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LIGHTING RETROFIT</w:t>
            </w:r>
          </w:p>
        </w:tc>
        <w:tc>
          <w:tcPr>
            <w:tcW w:w="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color w:val="auto"/>
              </w:rPr>
              <w:t>Environmental</w:t>
            </w:r>
          </w:p>
        </w:tc>
        <w:tc>
          <w:tcPr>
            <w:tcW w:w="1120" w:type="dxa"/>
            <w:vAlign w:val="bottom"/>
            <w:gridSpan w:val="2"/>
            <w:shd w:val="clear" w:color="auto" w:fill="CCEEFF"/>
          </w:tcPr>
          <w:p>
            <w:pPr>
              <w:jc w:val="center"/>
              <w:ind w:right="140"/>
              <w:spacing w:after="0" w:line="126" w:lineRule="exact"/>
              <w:rPr>
                <w:sz w:val="20"/>
                <w:szCs w:val="20"/>
                <w:color w:val="auto"/>
              </w:rPr>
            </w:pPr>
            <w:r>
              <w:rPr>
                <w:rFonts w:ascii="Arial" w:cs="Arial" w:eastAsia="Arial" w:hAnsi="Arial"/>
                <w:sz w:val="14"/>
                <w:szCs w:val="14"/>
                <w:color w:val="auto"/>
                <w:w w:val="96"/>
              </w:rPr>
              <w:t>L+9.75%</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INTERNATIONAL</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0.5%)</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9/28/2021</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10,222,222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10,126,394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10,126,394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LTI HOLDINGS, INC.</w:t>
            </w: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6"/>
              </w:rPr>
              <w:t>L+9.25%</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vMerge w:val="continue"/>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Industrial products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4/17/2023</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7,000,000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6,853,685</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6,825,000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PREPAID LEGAL SERVICES,</w:t>
            </w:r>
          </w:p>
        </w:tc>
        <w:tc>
          <w:tcPr>
            <w:tcW w:w="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center"/>
              <w:ind w:right="180"/>
              <w:spacing w:after="0" w:line="126" w:lineRule="exact"/>
              <w:rPr>
                <w:sz w:val="20"/>
                <w:szCs w:val="20"/>
                <w:color w:val="auto"/>
              </w:rPr>
            </w:pPr>
            <w:r>
              <w:rPr>
                <w:rFonts w:ascii="Arial" w:cs="Arial" w:eastAsia="Arial" w:hAnsi="Arial"/>
                <w:sz w:val="14"/>
                <w:szCs w:val="14"/>
                <w:color w:val="auto"/>
                <w:w w:val="96"/>
              </w:rPr>
              <w:t>L+9.00%</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services</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1.25%)</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7/1/2020</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4,955,404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5,029,000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REDBOX AUTOMATED</w:t>
            </w:r>
          </w:p>
        </w:tc>
        <w:tc>
          <w:tcPr>
            <w:tcW w:w="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80"/>
              <w:spacing w:after="0" w:line="126" w:lineRule="exact"/>
              <w:rPr>
                <w:sz w:val="20"/>
                <w:szCs w:val="20"/>
                <w:color w:val="auto"/>
              </w:rPr>
            </w:pPr>
            <w:r>
              <w:rPr>
                <w:rFonts w:ascii="Arial" w:cs="Arial" w:eastAsia="Arial" w:hAnsi="Arial"/>
                <w:sz w:val="14"/>
                <w:szCs w:val="14"/>
                <w:color w:val="auto"/>
                <w:w w:val="96"/>
              </w:rPr>
              <w:t>L+7.50%</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RETAIL</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First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Gaming &amp; leisure</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9/27/2021</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8,750,000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8,505,558</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8,761,375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RESEARCH NOW GROUP,</w:t>
            </w:r>
          </w:p>
        </w:tc>
        <w:tc>
          <w:tcPr>
            <w:tcW w:w="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center"/>
              <w:ind w:right="180"/>
              <w:spacing w:after="0" w:line="126" w:lineRule="exact"/>
              <w:rPr>
                <w:sz w:val="20"/>
                <w:szCs w:val="20"/>
                <w:color w:val="auto"/>
              </w:rPr>
            </w:pPr>
            <w:r>
              <w:rPr>
                <w:rFonts w:ascii="Arial" w:cs="Arial" w:eastAsia="Arial" w:hAnsi="Arial"/>
                <w:sz w:val="14"/>
                <w:szCs w:val="14"/>
                <w:color w:val="auto"/>
                <w:w w:val="96"/>
              </w:rPr>
              <w:t>L+8.75%</w:t>
            </w: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w:t>
            </w:r>
          </w:p>
        </w:tc>
        <w:tc>
          <w:tcPr>
            <w:tcW w:w="246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3/18/2022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6,918,134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6,860,000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RESTAURANT</w:t>
            </w:r>
          </w:p>
        </w:tc>
        <w:tc>
          <w:tcPr>
            <w:tcW w:w="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80"/>
              <w:spacing w:after="0" w:line="126" w:lineRule="exact"/>
              <w:rPr>
                <w:sz w:val="20"/>
                <w:szCs w:val="20"/>
                <w:color w:val="auto"/>
              </w:rPr>
            </w:pPr>
            <w:r>
              <w:rPr>
                <w:rFonts w:ascii="Arial" w:cs="Arial" w:eastAsia="Arial" w:hAnsi="Arial"/>
                <w:sz w:val="14"/>
                <w:szCs w:val="14"/>
                <w:color w:val="auto"/>
                <w:w w:val="96"/>
              </w:rPr>
              <w:t>L+8.75%</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TECHNOLOGIES, INC.</w:t>
            </w:r>
          </w:p>
        </w:tc>
        <w:tc>
          <w:tcPr>
            <w:tcW w:w="2460" w:type="dxa"/>
            <w:vAlign w:val="bottom"/>
            <w:gridSpan w:val="3"/>
          </w:tcPr>
          <w:p>
            <w:pPr>
              <w:ind w:left="80"/>
              <w:spacing w:after="0"/>
              <w:rPr>
                <w:sz w:val="20"/>
                <w:szCs w:val="20"/>
                <w:color w:val="auto"/>
              </w:rPr>
            </w:pPr>
            <w:r>
              <w:rPr>
                <w:rFonts w:ascii="Arial" w:cs="Arial" w:eastAsia="Arial" w:hAnsi="Arial"/>
                <w:sz w:val="14"/>
                <w:szCs w:val="14"/>
                <w:color w:val="auto"/>
              </w:rPr>
              <w:t>Second Lien</w:t>
            </w:r>
          </w:p>
        </w:tc>
        <w:tc>
          <w:tcPr>
            <w:tcW w:w="1340" w:type="dxa"/>
            <w:vAlign w:val="bottom"/>
            <w:gridSpan w:val="2"/>
          </w:tcPr>
          <w:p>
            <w:pPr>
              <w:spacing w:after="0"/>
              <w:rPr>
                <w:sz w:val="20"/>
                <w:szCs w:val="20"/>
                <w:color w:val="auto"/>
              </w:rPr>
            </w:pPr>
            <w:r>
              <w:rPr>
                <w:rFonts w:ascii="Arial" w:cs="Arial" w:eastAsia="Arial" w:hAnsi="Arial"/>
                <w:sz w:val="14"/>
                <w:szCs w:val="14"/>
                <w:color w:val="auto"/>
              </w:rPr>
              <w:t>Restaurants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11/23/2023</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3,500,000</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3,449,262</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3,482,500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749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620"/>
          </w:cols>
          <w:pgMar w:left="640" w:top="337" w:right="639" w:bottom="1440" w:gutter="0" w:footer="0" w:header="0"/>
        </w:sectPr>
      </w:pPr>
    </w:p>
    <w:bookmarkStart w:id="73" w:name="page74"/>
    <w:bookmarkEnd w:id="73"/>
    <w:tbl>
      <w:tblPr>
        <w:tblLayout w:type="fixed"/>
        <w:tblInd w:w="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vMerge w:val="restart"/>
          </w:tcPr>
          <w:p>
            <w:pPr>
              <w:jc w:val="center"/>
              <w:ind w:right="448"/>
              <w:spacing w:after="0"/>
              <w:rPr>
                <w:sz w:val="20"/>
                <w:szCs w:val="20"/>
                <w:color w:val="auto"/>
              </w:rPr>
            </w:pPr>
            <w:r>
              <w:rPr>
                <w:rFonts w:ascii="Arial" w:cs="Arial" w:eastAsia="Arial" w:hAnsi="Arial"/>
                <w:sz w:val="14"/>
                <w:szCs w:val="14"/>
                <w:b w:val="1"/>
                <w:bCs w:val="1"/>
                <w:color w:val="auto"/>
                <w:w w:val="92"/>
              </w:rPr>
              <w:t>Type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Portfolio Company </w:t>
            </w:r>
            <w:r>
              <w:rPr>
                <w:rFonts w:ascii="Arial" w:cs="Arial" w:eastAsia="Arial" w:hAnsi="Arial"/>
                <w:sz w:val="14"/>
                <w:szCs w:val="14"/>
                <w:b w:val="1"/>
                <w:bCs w:val="1"/>
                <w:color w:val="auto"/>
                <w:vertAlign w:val="superscript"/>
              </w:rPr>
              <w:t>1</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Industry</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jc w:val="center"/>
              <w:ind w:right="468"/>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xml:space="preserve">Rate </w:t>
            </w:r>
            <w:r>
              <w:rPr>
                <w:rFonts w:ascii="Arial" w:cs="Arial" w:eastAsia="Arial" w:hAnsi="Arial"/>
                <w:sz w:val="14"/>
                <w:szCs w:val="14"/>
                <w:b w:val="1"/>
                <w:bCs w:val="1"/>
                <w:color w:val="auto"/>
                <w:w w:val="91"/>
                <w:vertAlign w:val="superscript"/>
              </w:rPr>
              <w:t>2</w:t>
            </w: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 xml:space="preserve">Value </w:t>
            </w:r>
            <w:r>
              <w:rPr>
                <w:rFonts w:ascii="Arial" w:cs="Arial" w:eastAsia="Arial" w:hAnsi="Arial"/>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b w:val="1"/>
                <w:bCs w:val="1"/>
                <w:color w:val="auto"/>
              </w:rPr>
              <w:t>TAXACT, INC.</w:t>
            </w: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L+6.00%</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First Lien</w:t>
            </w:r>
          </w:p>
        </w:tc>
        <w:tc>
          <w:tcPr>
            <w:tcW w:w="14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Financial services</w:t>
            </w:r>
          </w:p>
        </w:tc>
        <w:tc>
          <w:tcPr>
            <w:tcW w:w="11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12/31/2022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2,722,263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VISTAR MEDIA INC.</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Media, marketing</w:t>
            </w:r>
          </w:p>
        </w:tc>
        <w:tc>
          <w:tcPr>
            <w:tcW w:w="110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7"/>
              </w:rPr>
              <w:t>L+10.00%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gridSpan w:val="2"/>
            <w:vMerge w:val="continue"/>
          </w:tcPr>
          <w:p>
            <w:pPr>
              <w:spacing w:after="0"/>
              <w:rPr>
                <w:sz w:val="14"/>
                <w:szCs w:val="14"/>
                <w:color w:val="auto"/>
              </w:rPr>
            </w:pPr>
          </w:p>
        </w:tc>
        <w:tc>
          <w:tcPr>
            <w:tcW w:w="2460" w:type="dxa"/>
            <w:vAlign w:val="bottom"/>
            <w:gridSpan w:val="3"/>
          </w:tcPr>
          <w:p>
            <w:pPr>
              <w:ind w:left="140"/>
              <w:spacing w:after="0"/>
              <w:rPr>
                <w:sz w:val="20"/>
                <w:szCs w:val="20"/>
                <w:color w:val="auto"/>
              </w:rPr>
            </w:pPr>
            <w:r>
              <w:rPr>
                <w:rFonts w:ascii="Arial" w:cs="Arial" w:eastAsia="Arial" w:hAnsi="Arial"/>
                <w:sz w:val="14"/>
                <w:szCs w:val="14"/>
                <w:color w:val="auto"/>
              </w:rPr>
              <w:t>First Lien</w:t>
            </w:r>
          </w:p>
        </w:tc>
        <w:tc>
          <w:tcPr>
            <w:tcW w:w="1400" w:type="dxa"/>
            <w:vAlign w:val="bottom"/>
            <w:gridSpan w:val="3"/>
          </w:tcPr>
          <w:p>
            <w:pPr>
              <w:ind w:left="160"/>
              <w:spacing w:after="0"/>
              <w:rPr>
                <w:sz w:val="20"/>
                <w:szCs w:val="20"/>
                <w:color w:val="auto"/>
              </w:rPr>
            </w:pPr>
            <w:r>
              <w:rPr>
                <w:rFonts w:ascii="Arial" w:cs="Arial" w:eastAsia="Arial" w:hAnsi="Arial"/>
                <w:sz w:val="14"/>
                <w:szCs w:val="14"/>
                <w:color w:val="auto"/>
              </w:rPr>
              <w:t>&amp; entertainment</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(Floor 1.00%)</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2/16/2022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11,000,000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9,898,494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9,898,494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Warrants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9"/>
              </w:rPr>
              <w:t>10,784,494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10,784,494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WATER PIK, INC.</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4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Consumer</w:t>
            </w:r>
          </w:p>
        </w:tc>
        <w:tc>
          <w:tcPr>
            <w:tcW w:w="110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L+8.75%</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Second Lien</w:t>
            </w:r>
          </w:p>
        </w:tc>
        <w:tc>
          <w:tcPr>
            <w:tcW w:w="14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products &amp; retail</w:t>
            </w:r>
          </w:p>
        </w:tc>
        <w:tc>
          <w:tcPr>
            <w:tcW w:w="11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(Floor 1.00%)</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2/8/2021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4,473,684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4,385,853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4,507,237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WINZER CORPORATION</w:t>
            </w:r>
          </w:p>
        </w:tc>
        <w:tc>
          <w:tcPr>
            <w:tcW w:w="2460" w:type="dxa"/>
            <w:vAlign w:val="bottom"/>
            <w:gridSpan w:val="3"/>
          </w:tcPr>
          <w:p>
            <w:pPr>
              <w:ind w:left="140"/>
              <w:spacing w:after="0"/>
              <w:rPr>
                <w:sz w:val="20"/>
                <w:szCs w:val="20"/>
                <w:color w:val="auto"/>
              </w:rPr>
            </w:pPr>
            <w:r>
              <w:rPr>
                <w:rFonts w:ascii="Arial" w:cs="Arial" w:eastAsia="Arial" w:hAnsi="Arial"/>
                <w:sz w:val="14"/>
                <w:szCs w:val="14"/>
                <w:color w:val="auto"/>
              </w:rPr>
              <w:t>Senior subordinated debt</w:t>
            </w:r>
          </w:p>
        </w:tc>
        <w:tc>
          <w:tcPr>
            <w:tcW w:w="1400" w:type="dxa"/>
            <w:vAlign w:val="bottom"/>
            <w:gridSpan w:val="3"/>
          </w:tcPr>
          <w:p>
            <w:pPr>
              <w:ind w:left="160"/>
              <w:spacing w:after="0"/>
              <w:rPr>
                <w:sz w:val="20"/>
                <w:szCs w:val="20"/>
                <w:color w:val="auto"/>
              </w:rPr>
            </w:pPr>
            <w:r>
              <w:rPr>
                <w:rFonts w:ascii="Arial" w:cs="Arial" w:eastAsia="Arial" w:hAnsi="Arial"/>
                <w:sz w:val="14"/>
                <w:szCs w:val="14"/>
                <w:color w:val="auto"/>
              </w:rPr>
              <w:t>Distribution</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11.00%</w:t>
            </w: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1"/>
              </w:rPr>
              <w:t>6/1/2021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8,100,000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7,976,347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7,976,347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60" w:type="dxa"/>
            <w:vAlign w:val="bottom"/>
          </w:tcPr>
          <w:p>
            <w:pPr>
              <w:spacing w:after="0" w:line="106" w:lineRule="exact"/>
              <w:rPr>
                <w:sz w:val="20"/>
                <w:szCs w:val="20"/>
                <w:color w:val="auto"/>
              </w:rPr>
            </w:pPr>
            <w:r>
              <w:rPr>
                <w:rFonts w:ascii="Arial" w:cs="Arial" w:eastAsia="Arial" w:hAnsi="Arial"/>
                <w:sz w:val="12"/>
                <w:szCs w:val="12"/>
                <w:b w:val="1"/>
                <w:bCs w:val="1"/>
                <w:color w:val="auto"/>
              </w:rPr>
              <w:t>Total Non-control/Non-affiliate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89"/>
              </w:rPr>
              <w:t>172,437,029</w:t>
            </w:r>
          </w:p>
        </w:tc>
        <w:tc>
          <w:tcPr>
            <w:tcW w:w="1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2"/>
              </w:rPr>
              <w:t>175,731,064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Affiliate Investments</w:t>
            </w:r>
            <w:r>
              <w:rPr>
                <w:rFonts w:ascii="Arial" w:cs="Arial" w:eastAsia="Arial" w:hAnsi="Arial"/>
                <w:sz w:val="14"/>
                <w:szCs w:val="14"/>
                <w:b w:val="1"/>
                <w:bCs w:val="1"/>
                <w:color w:val="auto"/>
                <w:vertAlign w:val="superscript"/>
              </w:rPr>
              <w:t>6</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CHANDLER SIGNS, LP</w:t>
            </w:r>
            <w:r>
              <w:rPr>
                <w:rFonts w:ascii="Arial" w:cs="Arial" w:eastAsia="Arial" w:hAnsi="Arial"/>
                <w:sz w:val="14"/>
                <w:szCs w:val="14"/>
                <w:b w:val="1"/>
                <w:bCs w:val="1"/>
                <w:color w:val="auto"/>
                <w:vertAlign w:val="superscript"/>
              </w:rPr>
              <w:t>13</w:t>
            </w:r>
          </w:p>
        </w:tc>
        <w:tc>
          <w:tcPr>
            <w:tcW w:w="24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Senior subordinated debt</w:t>
            </w:r>
          </w:p>
        </w:tc>
        <w:tc>
          <w:tcPr>
            <w:tcW w:w="14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Business services</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12.00%</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1"/>
              </w:rPr>
              <w:t>7/4/2021</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4,500,000</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4,425,310</w:t>
            </w:r>
          </w:p>
        </w:tc>
        <w:tc>
          <w:tcPr>
            <w:tcW w:w="1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4,477,500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246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w w:val="98"/>
              </w:rPr>
              <w:t>1,500,000 units of Class A-1 common</w:t>
            </w: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2,661,000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5,925,310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7,138,500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5,925,310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7,138,500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Control Investments</w:t>
            </w:r>
            <w:r>
              <w:rPr>
                <w:rFonts w:ascii="Arial" w:cs="Arial" w:eastAsia="Arial" w:hAnsi="Arial"/>
                <w:sz w:val="14"/>
                <w:szCs w:val="14"/>
                <w:b w:val="1"/>
                <w:bCs w:val="1"/>
                <w:color w:val="auto"/>
                <w:vertAlign w:val="superscript"/>
              </w:rPr>
              <w:t>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I-45 SLF LLC</w:t>
            </w:r>
            <w:r>
              <w:rPr>
                <w:rFonts w:ascii="Arial" w:cs="Arial" w:eastAsia="Arial" w:hAnsi="Arial"/>
                <w:sz w:val="14"/>
                <w:szCs w:val="14"/>
                <w:b w:val="1"/>
                <w:bCs w:val="1"/>
                <w:color w:val="auto"/>
                <w:vertAlign w:val="superscript"/>
              </w:rPr>
              <w:t>9, 10, 11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780" w:type="dxa"/>
            <w:vAlign w:val="bottom"/>
            <w:shd w:val="clear" w:color="auto" w:fill="CCEEFF"/>
          </w:tcPr>
          <w:p>
            <w:pPr>
              <w:spacing w:after="0"/>
              <w:rPr>
                <w:sz w:val="11"/>
                <w:szCs w:val="11"/>
                <w:color w:val="auto"/>
              </w:rPr>
            </w:pPr>
          </w:p>
        </w:tc>
        <w:tc>
          <w:tcPr>
            <w:tcW w:w="140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Multi-sector</w:t>
            </w: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80% LLC equity interest</w:t>
            </w:r>
          </w:p>
        </w:tc>
        <w:tc>
          <w:tcPr>
            <w:tcW w:w="14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holdings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60,800,000</w:t>
            </w:r>
          </w:p>
        </w:tc>
        <w:tc>
          <w:tcPr>
            <w:tcW w:w="14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63,394,679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MEDIA RECOVERY, INC.</w:t>
            </w:r>
            <w:r>
              <w:rPr>
                <w:rFonts w:ascii="Arial" w:cs="Arial" w:eastAsia="Arial" w:hAnsi="Arial"/>
                <w:sz w:val="14"/>
                <w:szCs w:val="14"/>
                <w:b w:val="1"/>
                <w:bCs w:val="1"/>
                <w:color w:val="auto"/>
                <w:vertAlign w:val="superscript"/>
              </w:rPr>
              <w:t>11</w:t>
            </w:r>
          </w:p>
        </w:tc>
        <w:tc>
          <w:tcPr>
            <w:tcW w:w="2460" w:type="dxa"/>
            <w:vAlign w:val="bottom"/>
            <w:gridSpan w:val="3"/>
          </w:tcPr>
          <w:p>
            <w:pPr>
              <w:ind w:left="140"/>
              <w:spacing w:after="0" w:line="130" w:lineRule="exact"/>
              <w:rPr>
                <w:sz w:val="20"/>
                <w:szCs w:val="20"/>
                <w:color w:val="auto"/>
              </w:rPr>
            </w:pPr>
            <w:r>
              <w:rPr>
                <w:rFonts w:ascii="Arial" w:cs="Arial" w:eastAsia="Arial" w:hAnsi="Arial"/>
                <w:sz w:val="14"/>
                <w:szCs w:val="14"/>
                <w:color w:val="auto"/>
                <w:w w:val="95"/>
              </w:rPr>
              <w:t>800,000 shares of Series A convertible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80" w:type="dxa"/>
            <w:vAlign w:val="bottom"/>
            <w:gridSpan w:val="2"/>
            <w:vMerge w:val="continue"/>
          </w:tcPr>
          <w:p>
            <w:pPr>
              <w:spacing w:after="0"/>
              <w:rPr>
                <w:sz w:val="14"/>
                <w:szCs w:val="14"/>
                <w:color w:val="auto"/>
              </w:rPr>
            </w:pPr>
          </w:p>
        </w:tc>
        <w:tc>
          <w:tcPr>
            <w:tcW w:w="2460" w:type="dxa"/>
            <w:vAlign w:val="bottom"/>
            <w:gridSpan w:val="3"/>
          </w:tcPr>
          <w:p>
            <w:pPr>
              <w:ind w:left="140"/>
              <w:spacing w:after="0"/>
              <w:rPr>
                <w:sz w:val="20"/>
                <w:szCs w:val="20"/>
                <w:color w:val="auto"/>
              </w:rPr>
            </w:pPr>
            <w:r>
              <w:rPr>
                <w:rFonts w:ascii="Arial" w:cs="Arial" w:eastAsia="Arial" w:hAnsi="Arial"/>
                <w:sz w:val="14"/>
                <w:szCs w:val="14"/>
                <w:color w:val="auto"/>
              </w:rPr>
              <w:t>preferred stock</w:t>
            </w:r>
          </w:p>
        </w:tc>
        <w:tc>
          <w:tcPr>
            <w:tcW w:w="1400" w:type="dxa"/>
            <w:vAlign w:val="bottom"/>
            <w:gridSpan w:val="3"/>
          </w:tcPr>
          <w:p>
            <w:pPr>
              <w:ind w:left="160"/>
              <w:spacing w:after="0"/>
              <w:rPr>
                <w:sz w:val="20"/>
                <w:szCs w:val="20"/>
                <w:color w:val="auto"/>
              </w:rPr>
            </w:pPr>
            <w:r>
              <w:rPr>
                <w:rFonts w:ascii="Arial" w:cs="Arial" w:eastAsia="Arial" w:hAnsi="Arial"/>
                <w:sz w:val="14"/>
                <w:szCs w:val="14"/>
                <w:color w:val="auto"/>
              </w:rPr>
              <w:t>Industrial products</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5,590,249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4,000,002 shares of common stock</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4,615,000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32,248,751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5,415,000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37,839,000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TITANLINER, INC.</w:t>
            </w:r>
          </w:p>
        </w:tc>
        <w:tc>
          <w:tcPr>
            <w:tcW w:w="2460" w:type="dxa"/>
            <w:vAlign w:val="bottom"/>
            <w:gridSpan w:val="3"/>
            <w:shd w:val="clear" w:color="auto" w:fill="CCEEFF"/>
          </w:tcPr>
          <w:p>
            <w:pPr>
              <w:ind w:left="140"/>
              <w:spacing w:after="0" w:line="110" w:lineRule="exact"/>
              <w:rPr>
                <w:sz w:val="20"/>
                <w:szCs w:val="20"/>
                <w:color w:val="auto"/>
              </w:rPr>
            </w:pPr>
            <w:r>
              <w:rPr>
                <w:rFonts w:ascii="Arial" w:cs="Arial" w:eastAsia="Arial" w:hAnsi="Arial"/>
                <w:sz w:val="12"/>
                <w:szCs w:val="12"/>
                <w:color w:val="auto"/>
              </w:rPr>
              <w:t>1,189,609 shares of Series B</w:t>
            </w:r>
          </w:p>
        </w:tc>
        <w:tc>
          <w:tcPr>
            <w:tcW w:w="1400" w:type="dxa"/>
            <w:vAlign w:val="bottom"/>
            <w:gridSpan w:val="3"/>
            <w:shd w:val="clear" w:color="auto" w:fill="CCEEFF"/>
          </w:tcPr>
          <w:p>
            <w:pPr>
              <w:ind w:left="160"/>
              <w:spacing w:after="0" w:line="110" w:lineRule="exact"/>
              <w:rPr>
                <w:sz w:val="20"/>
                <w:szCs w:val="20"/>
                <w:color w:val="auto"/>
              </w:rPr>
            </w:pPr>
            <w:r>
              <w:rPr>
                <w:rFonts w:ascii="Arial" w:cs="Arial" w:eastAsia="Arial" w:hAnsi="Arial"/>
                <w:sz w:val="12"/>
                <w:szCs w:val="12"/>
                <w:color w:val="auto"/>
              </w:rPr>
              <w:t>Energy services</w:t>
            </w: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vMerge w:val="continue"/>
            <w:shd w:val="clear" w:color="auto" w:fill="CCEEFF"/>
          </w:tcPr>
          <w:p>
            <w:pPr>
              <w:spacing w:after="0"/>
              <w:rPr>
                <w:sz w:val="14"/>
                <w:szCs w:val="14"/>
                <w:color w:val="auto"/>
              </w:rPr>
            </w:pPr>
          </w:p>
        </w:tc>
        <w:tc>
          <w:tcPr>
            <w:tcW w:w="24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convertible preferred stock</w:t>
            </w:r>
          </w:p>
        </w:tc>
        <w:tc>
          <w:tcPr>
            <w:tcW w:w="14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(upstream)</w:t>
            </w:r>
          </w:p>
        </w:tc>
        <w:tc>
          <w:tcPr>
            <w:tcW w:w="11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6% PIK</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2,758,528</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60" w:type="dxa"/>
            <w:vAlign w:val="bottom"/>
            <w:gridSpan w:val="3"/>
          </w:tcPr>
          <w:p>
            <w:pPr>
              <w:ind w:left="140"/>
              <w:spacing w:after="0" w:line="130" w:lineRule="exact"/>
              <w:rPr>
                <w:sz w:val="20"/>
                <w:szCs w:val="20"/>
                <w:color w:val="auto"/>
              </w:rPr>
            </w:pPr>
            <w:r>
              <w:rPr>
                <w:rFonts w:ascii="Arial" w:cs="Arial" w:eastAsia="Arial" w:hAnsi="Arial"/>
                <w:sz w:val="14"/>
                <w:szCs w:val="14"/>
                <w:color w:val="auto"/>
                <w:w w:val="95"/>
              </w:rPr>
              <w:t>339,277 shares of Series A convertible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preferred stock</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3,204,222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5,962,750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2,777,000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Control Investments</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72,177,750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104,010,679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14"/>
                <w:szCs w:val="14"/>
                <w:b w:val="1"/>
                <w:bCs w:val="1"/>
                <w:color w:val="auto"/>
                <w:vertAlign w:val="superscript"/>
              </w:rPr>
              <w:t>12</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250,540,089</w:t>
            </w:r>
          </w:p>
        </w:tc>
        <w:tc>
          <w:tcPr>
            <w:tcW w:w="140" w:type="dxa"/>
            <w:vAlign w:val="bottom"/>
          </w:tcPr>
          <w:p>
            <w:pPr>
              <w:spacing w:after="0"/>
              <w:rPr>
                <w:sz w:val="13"/>
                <w:szCs w:val="13"/>
                <w:color w:val="auto"/>
              </w:rPr>
            </w:pPr>
          </w:p>
        </w:tc>
        <w:tc>
          <w:tcPr>
            <w:tcW w:w="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2"/>
              </w:rPr>
              <w:t>286,880,243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3" w:hanging="323"/>
        <w:spacing w:after="0"/>
        <w:tabs>
          <w:tab w:leader="none" w:pos="3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debt investments are income-producing, unless otherwise noted. Equity investments are non-income producing, unless otherwise noted.</w:t>
      </w:r>
    </w:p>
    <w:p>
      <w:pPr>
        <w:spacing w:after="0" w:line="32"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2   All of the Company’s investments, unless otherwise noted, are encumbered as security for the Company’s senior secured credit facility.</w:t>
      </w:r>
    </w:p>
    <w:p>
      <w:pPr>
        <w:spacing w:after="0" w:line="32" w:lineRule="exact"/>
        <w:rPr>
          <w:rFonts w:ascii="Arial" w:cs="Arial" w:eastAsia="Arial" w:hAnsi="Arial"/>
          <w:sz w:val="16"/>
          <w:szCs w:val="16"/>
          <w:color w:val="auto"/>
        </w:rPr>
      </w:pPr>
    </w:p>
    <w:p>
      <w:pPr>
        <w:ind w:left="323" w:hanging="324"/>
        <w:spacing w:after="0" w:line="265" w:lineRule="auto"/>
        <w:rPr>
          <w:rFonts w:ascii="Arial" w:cs="Arial" w:eastAsia="Arial" w:hAnsi="Arial"/>
          <w:sz w:val="16"/>
          <w:szCs w:val="16"/>
          <w:color w:val="auto"/>
        </w:rPr>
      </w:pPr>
      <w:r>
        <w:rPr>
          <w:rFonts w:ascii="Arial" w:cs="Arial" w:eastAsia="Arial" w:hAnsi="Arial"/>
          <w:sz w:val="16"/>
          <w:szCs w:val="16"/>
          <w:color w:val="auto"/>
        </w:rPr>
        <w:t>3 The majority of investments bear interest at a rate that may be determined by reference to London Interbank Offered Rate (“LIBOR” or “L”) or Prime (“P”) and reset daily, monthly, quarterly, or semiannually. For each the Company has provided the spread over LIBOR or Prime and the current contractual interest rate in effect at March 31, 2017. Certain investments are subject to a LIBOR or Prime interest rate floor.</w:t>
      </w:r>
    </w:p>
    <w:p>
      <w:pPr>
        <w:spacing w:after="0" w:line="2" w:lineRule="exact"/>
        <w:rPr>
          <w:rFonts w:ascii="Arial" w:cs="Arial" w:eastAsia="Arial" w:hAnsi="Arial"/>
          <w:sz w:val="16"/>
          <w:szCs w:val="16"/>
          <w:color w:val="auto"/>
        </w:rPr>
      </w:pPr>
    </w:p>
    <w:p>
      <w:pPr>
        <w:ind w:left="323" w:hanging="324"/>
        <w:spacing w:after="0" w:line="264" w:lineRule="auto"/>
        <w:rPr>
          <w:rFonts w:ascii="Arial" w:cs="Arial" w:eastAsia="Arial" w:hAnsi="Arial"/>
          <w:sz w:val="16"/>
          <w:szCs w:val="16"/>
          <w:color w:val="auto"/>
        </w:rPr>
      </w:pPr>
      <w:r>
        <w:rPr>
          <w:rFonts w:ascii="Arial" w:cs="Arial" w:eastAsia="Arial" w:hAnsi="Arial"/>
          <w:sz w:val="16"/>
          <w:szCs w:val="16"/>
          <w:color w:val="auto"/>
        </w:rPr>
        <w:t xml:space="preserve">4 Investments are carried at fair value in accordance with the Investment Company Act of 1940 (the “1940 Act”) and Financial Accounting Standards Board (“FASB”) Accounting Standard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We determine in good faith the fair value of our Investment portfolio pursuant to a valuation policy in accordance with ASC 820 and a valuation process approved by our Board of Directors. See Note 4 to the consolidated financial statements.</w:t>
      </w:r>
    </w:p>
    <w:p>
      <w:pPr>
        <w:ind w:left="323" w:hanging="324"/>
        <w:spacing w:after="0" w:line="264" w:lineRule="auto"/>
        <w:rPr>
          <w:rFonts w:ascii="Arial" w:cs="Arial" w:eastAsia="Arial" w:hAnsi="Arial"/>
          <w:sz w:val="16"/>
          <w:szCs w:val="16"/>
          <w:color w:val="auto"/>
        </w:rPr>
      </w:pPr>
      <w:r>
        <w:rPr>
          <w:rFonts w:ascii="Arial" w:cs="Arial" w:eastAsia="Arial" w:hAnsi="Arial"/>
          <w:sz w:val="16"/>
          <w:szCs w:val="16"/>
          <w:color w:val="auto"/>
        </w:rPr>
        <w:t>5 Non-Control/Non-Affiliate investments are generally defined by the 1940 Act as investments that are neither control investments nor affiliate investments. At March 31, 2017, approximately 61.3% of the Company’s investment assets were non-control/non-affiliate investments.</w:t>
      </w:r>
    </w:p>
    <w:p>
      <w:pPr>
        <w:ind w:left="323" w:hanging="324"/>
        <w:spacing w:after="0" w:line="301" w:lineRule="auto"/>
        <w:rPr>
          <w:rFonts w:ascii="Arial" w:cs="Arial" w:eastAsia="Arial" w:hAnsi="Arial"/>
          <w:sz w:val="16"/>
          <w:szCs w:val="16"/>
          <w:color w:val="auto"/>
        </w:rPr>
      </w:pPr>
      <w:r>
        <w:rPr>
          <w:rFonts w:ascii="Arial" w:cs="Arial" w:eastAsia="Arial" w:hAnsi="Arial"/>
          <w:sz w:val="14"/>
          <w:szCs w:val="14"/>
          <w:color w:val="auto"/>
        </w:rPr>
        <w:t>6 Affiliate investments are generally defined by the 1940 Act as investments in which between 5% and 25% of the voting securities are owned and the investments are not classified as control investments. At March 31, 2017, approximately 2.5% of the Company’s investment assets were affiliate investments.</w:t>
      </w:r>
    </w:p>
    <w:p>
      <w:pPr>
        <w:spacing w:after="0" w:line="1" w:lineRule="exact"/>
        <w:rPr>
          <w:rFonts w:ascii="Arial" w:cs="Arial" w:eastAsia="Arial" w:hAnsi="Arial"/>
          <w:sz w:val="16"/>
          <w:szCs w:val="16"/>
          <w:color w:val="auto"/>
        </w:rPr>
      </w:pPr>
    </w:p>
    <w:p>
      <w:pPr>
        <w:ind w:left="323" w:hanging="324"/>
        <w:spacing w:after="0" w:line="281" w:lineRule="auto"/>
        <w:rPr>
          <w:rFonts w:ascii="Arial" w:cs="Arial" w:eastAsia="Arial" w:hAnsi="Arial"/>
          <w:sz w:val="16"/>
          <w:szCs w:val="16"/>
          <w:color w:val="auto"/>
        </w:rPr>
      </w:pPr>
      <w:r>
        <w:rPr>
          <w:rFonts w:ascii="Arial" w:cs="Arial" w:eastAsia="Arial" w:hAnsi="Arial"/>
          <w:sz w:val="15"/>
          <w:szCs w:val="15"/>
          <w:color w:val="auto"/>
        </w:rPr>
        <w:t>7 Control investments are generally defined by the 1940 Act as investments in which more than 25% of the voting securities are owned or maintains greater than 50% of the board representation. At March 31, 2017, approximately 36.2% of the Company’s investment assets were control investments.</w:t>
      </w:r>
    </w:p>
    <w:p>
      <w:pPr>
        <w:spacing w:after="0" w:line="1" w:lineRule="exact"/>
        <w:rPr>
          <w:rFonts w:ascii="Arial" w:cs="Arial" w:eastAsia="Arial" w:hAnsi="Arial"/>
          <w:sz w:val="16"/>
          <w:szCs w:val="16"/>
          <w:color w:val="auto"/>
        </w:rPr>
      </w:pPr>
    </w:p>
    <w:p>
      <w:pPr>
        <w:ind w:left="3"/>
        <w:spacing w:after="0"/>
        <w:rPr>
          <w:rFonts w:ascii="Arial" w:cs="Arial" w:eastAsia="Arial" w:hAnsi="Arial"/>
          <w:sz w:val="16"/>
          <w:szCs w:val="16"/>
          <w:color w:val="auto"/>
        </w:rPr>
      </w:pPr>
      <w:r>
        <w:rPr>
          <w:rFonts w:ascii="Arial" w:cs="Arial" w:eastAsia="Arial" w:hAnsi="Arial"/>
          <w:sz w:val="16"/>
          <w:szCs w:val="16"/>
          <w:color w:val="auto"/>
        </w:rPr>
        <w:t>8   The investment is structured as a first lien last out term loan and earns interest in addition to the stated rate.</w:t>
      </w:r>
    </w:p>
    <w:p>
      <w:pPr>
        <w:spacing w:after="0" w:line="28" w:lineRule="exact"/>
        <w:rPr>
          <w:rFonts w:ascii="Arial" w:cs="Arial" w:eastAsia="Arial" w:hAnsi="Arial"/>
          <w:sz w:val="16"/>
          <w:szCs w:val="16"/>
          <w:color w:val="auto"/>
        </w:rPr>
      </w:pPr>
    </w:p>
    <w:p>
      <w:pPr>
        <w:ind w:left="323" w:hanging="324"/>
        <w:spacing w:after="0" w:line="266" w:lineRule="auto"/>
        <w:rPr>
          <w:rFonts w:ascii="Arial" w:cs="Arial" w:eastAsia="Arial" w:hAnsi="Arial"/>
          <w:sz w:val="16"/>
          <w:szCs w:val="16"/>
          <w:color w:val="auto"/>
        </w:rPr>
      </w:pPr>
      <w:r>
        <w:rPr>
          <w:rFonts w:ascii="Arial" w:cs="Arial" w:eastAsia="Arial" w:hAnsi="Arial"/>
          <w:sz w:val="16"/>
          <w:szCs w:val="16"/>
          <w:color w:val="auto"/>
        </w:rPr>
        <w:t>9 Indicates assets that the Company believes do not represent “qualifying assets” under section 55(a) of the 1940 Act. Qualifying assets must represent at least 70% of total assets at the time of acquisition of any additional non-qualifying assets.</w:t>
      </w:r>
    </w:p>
    <w:p>
      <w:pPr>
        <w:spacing w:after="0" w:line="1" w:lineRule="exact"/>
        <w:rPr>
          <w:rFonts w:ascii="Arial" w:cs="Arial" w:eastAsia="Arial" w:hAnsi="Arial"/>
          <w:sz w:val="16"/>
          <w:szCs w:val="16"/>
          <w:color w:val="auto"/>
        </w:rPr>
      </w:pPr>
    </w:p>
    <w:p>
      <w:pPr>
        <w:ind w:left="3" w:right="4260"/>
        <w:spacing w:after="0" w:line="306" w:lineRule="auto"/>
        <w:rPr>
          <w:rFonts w:ascii="Arial" w:cs="Arial" w:eastAsia="Arial" w:hAnsi="Arial"/>
          <w:sz w:val="16"/>
          <w:szCs w:val="16"/>
          <w:color w:val="auto"/>
        </w:rPr>
      </w:pPr>
      <w:r>
        <w:rPr>
          <w:rFonts w:ascii="Arial" w:cs="Arial" w:eastAsia="Arial" w:hAnsi="Arial"/>
          <w:sz w:val="16"/>
          <w:szCs w:val="16"/>
          <w:color w:val="auto"/>
        </w:rPr>
        <w:t>10 The investment has approximately $7.2 million unfunded commitment as of March 31, 2017. 11 Income producing through dividends on distributions.</w:t>
      </w:r>
    </w:p>
    <w:p>
      <w:pPr>
        <w:spacing w:after="0" w:line="17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749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623"/>
          </w:cols>
          <w:pgMar w:left="637" w:top="334" w:right="639" w:bottom="1440" w:gutter="0" w:footer="0" w:header="0"/>
        </w:sectPr>
      </w:pPr>
    </w:p>
    <w:bookmarkStart w:id="74" w:name="page75"/>
    <w:bookmarkEnd w:id="74"/>
    <w:p>
      <w:pPr>
        <w:jc w:val="both"/>
        <w:ind w:left="323" w:hanging="323"/>
        <w:spacing w:after="0" w:line="265" w:lineRule="auto"/>
        <w:tabs>
          <w:tab w:leader="none" w:pos="3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March 31, 2017, the cumulative gross unrealized appreciation for federal income tax purposes is approximately $40.1 million; cumulative gross unrealized depreciation for federal income tax purposes is $3.4 million. Cumulative net unrealized appreciation is $36.7 million, based on a tax cost of $250.1 million.</w:t>
      </w:r>
    </w:p>
    <w:p>
      <w:pPr>
        <w:spacing w:after="0" w:line="2" w:lineRule="exact"/>
        <w:rPr>
          <w:rFonts w:ascii="Arial" w:cs="Arial" w:eastAsia="Arial" w:hAnsi="Arial"/>
          <w:sz w:val="16"/>
          <w:szCs w:val="16"/>
          <w:color w:val="auto"/>
        </w:rPr>
      </w:pPr>
    </w:p>
    <w:p>
      <w:pPr>
        <w:ind w:left="323" w:hanging="323"/>
        <w:spacing w:after="0"/>
        <w:tabs>
          <w:tab w:leader="none" w:pos="323"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Chandler Signs, LP Class A-1 common stock is held through a wholly-owned taxable subsidiary.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749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9415" cy="26035"/>
                    </a:xfrm>
                    <a:prstGeom prst="rect">
                      <a:avLst/>
                    </a:prstGeom>
                    <a:noFill/>
                  </pic:spPr>
                </pic:pic>
              </a:graphicData>
            </a:graphic>
          </wp:anchor>
        </w:drawing>
      </w:r>
    </w:p>
    <w:p>
      <w:pPr>
        <w:sectPr>
          <w:pgSz w:w="11900" w:h="16838" w:orient="portrait"/>
          <w:cols w:equalWidth="0" w:num="1">
            <w:col w:w="10623"/>
          </w:cols>
          <w:pgMar w:left="637" w:top="346" w:right="6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25" w:lineRule="exact"/>
        <w:rPr>
          <w:sz w:val="20"/>
          <w:szCs w:val="20"/>
          <w:color w:val="auto"/>
        </w:rPr>
      </w:pPr>
    </w:p>
    <w:p>
      <w:pPr>
        <w:ind w:left="360" w:hanging="357"/>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ORGANIZATION AND BASIS OF PRESENTATION</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References in this Annual Report on Form 10-K to “we,” “our,” “us,” “CSWC,” or the “Company” refer to Capital Southwest Corporation,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Capital Southwest Corporation is an internally managed investment company that specializes in providing customized financing to middle market companies in a broad range of industry segments located primarily in the United States. Our common stock currently trades on The Nasdaq Global Select Market under the ticker symbol “CSWC.”</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CSWC was organized as a Texas corporation on April 19, 1961. Until September 1969, we operated as a Small Business Investment Company (“SBIC”) licensed under the Small Business Investment Act of 1958. At that time, CSWC transferred to its then wholly-owned subsidiary, Capital Southwest Venture Corporation (“CSVC”), certain assets including our license as a “SBIC”. CSVC was a closed-end, non-diversified investment company registered under the Investment Company Act of 1940, as amended (the “1940 Act”). Effective June 14, 2016, CSVC was dissolved and its SBIC license was surrendered. All assets held in CSVC were transferred to CSWC upon dissolution. Prior to March 30, 1988, CSWC was registered as a closed-end, non-diversified investment company under the 1940 Act. On that date, we elected to be treated as a business development company (“BDC”) subject to the provisions of the 1940 Act, as amended by the Small Business Incentive Act of 1980. In order to remain a BDC, we must meet certain specified requirements under the 1940 Act, including investing at least 70% of our assets in eligible portfolio companies and limiting the amount of leverage we incur.</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elected to be treated as a regulated investment company (“RIC”) under Subchapter M of the U.S. Internal Revenue Code of 1986 (the “Code”). As such, we are not required to pay corporate-level U.S federal income tax on our investment income. We intend to maintain our RIC status, which requires that we qualify annually as a RIC by meeting certain specified requirements.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 Southwest Management Corporation (“CSMC”), a wholly-owned subsidiary of CSWC, is the management company for CSWC. CSMC generally incurs all normal operating and administrative expenses, including, but not limited to, salaries and related benefits, rent, equipment and other administrative costs required for day-to-day operations.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CSWC also has a direct wholly owned subsidiary that has been elected to be a taxable entity (the “Taxable Subsidiary”). The primary purpose of the Taxable Subsidiary is to permit CSWC to hold certain interests in portfolio companies that are organized as limited liability companies, or LLCs (or other forms of pass-through entities) and still allow us to satisfy the RIC tax requirement that at least 90% of our gross income for federal income tax purposes must consist of qualifying investment income. The Taxable Subsidiary is taxed at normal corporate tax rates based on its taxable income.</w:t>
      </w:r>
    </w:p>
    <w:p>
      <w:pPr>
        <w:spacing w:after="0" w:line="158"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color w:val="auto"/>
        </w:rPr>
        <w:t>We focus on investing in companies with histories of generating revenues and positive cash flow, established market positions and proven management teams with strong operating discipline. We target senior and subordinated investments in the lower middle market, as well as first and second lien syndicated loans in upper middle market companies. Our target lower middle market (“LMM”) companies typically have annual earnings before interest, taxes, depreciation and amortization (“EBITDA”) between $3.0 million and $15.0 million, and our LMM investments generally range in size from $5.0 million to $25.0 million. Our upper middle market (“UMM”) investments generally include syndicated first and second lien loans in companies with EBITDA generally greater than $50.0 million and typically range in size from $5.0 million to $15.0 million. We make available significant managerial assistance to the companies in which we invest as we believe that providing managerial assistance to an investee company is critical to its business development activities.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30, 2015, we completed the spin-off (the “Share Distribution”) of CSW Industrials, Inc. (“CSWI”). CSWI is now an independent publicly traded company. CSWI’s common stock trades on the Nasdaq Global Select Market under the ticker symbol “CSWI.” The Share Distribution was effected through a tax-free, pro-rata distribution of 100% of CSWI’s common stock to shareholders of the Company. Each Company shareholder received one share of CSWI common stock for every one share of Company common stock on the record date, September 18, 2015. Cash was paid in lieu of any fractional shares of CSWI common stock.</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Share Distribution, we have maintained operations as an internally managed BDC and pursue a credit-focused investing strategy akin to similarly structured organizations. We intend to continue to provide capital to middle-market companies. In the future, we intend to invest primarily in debt securities, including senior debt, second lien and subordinated debt, and may also invest in preferred stock and common stock alongside our debt investments or through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 xml:space="preserve">The consolidated financial statements have been prepared in accordance with Generally Accepted Accounting Principles in the United States of America (“U.S. GAAP”). We meet the definition of an investment company and follow the accounting and reporting guidance in the Financial Accounting Standards Board (“FASB”) Accounting Standards Codification (“ASC”) Topic 946 –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Topic 946”)</w:t>
      </w:r>
      <w:r>
        <w:rPr>
          <w:rFonts w:ascii="Arial" w:cs="Arial" w:eastAsia="Arial" w:hAnsi="Arial"/>
          <w:sz w:val="16"/>
          <w:szCs w:val="16"/>
          <w:i w:val="1"/>
          <w:iCs w:val="1"/>
          <w:color w:val="auto"/>
        </w:rPr>
        <w:t>.</w:t>
      </w:r>
      <w:r>
        <w:rPr>
          <w:rFonts w:ascii="Arial" w:cs="Arial" w:eastAsia="Arial" w:hAnsi="Arial"/>
          <w:sz w:val="16"/>
          <w:szCs w:val="16"/>
          <w:color w:val="auto"/>
        </w:rPr>
        <w:t xml:space="preserve"> Under rules and regulations applicable to investment companies, we are generally precluded from consolidating any entity other than another investment company, subject to certain exceptions. One of the exceptions to this general principle occurs if the investment company has an investment in an operating company that provides services to the investment company. Accordingly, the consolidated financial statements include CSMC, our management company, and the Taxable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Investment Classification</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We classify our investments in accordance with the requirements of the 1940 Act. Under the 1940 Act, “Control Investments” are generally defined as investments in which we own more than 25% of the voting securities or have rights to maintain greater than 50% of the board representation; “Affiliate investments” are generally defined as investments in which we own between 5% and 25% of the voting securities; and “Non-Control/Non-Affiliate investments” are generally defined as investments that are neither “Control Investments” nor “Affiliate Investments.”</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Under the 1940 Act, a BDC must meet certain requirements, including investing at least 70% of our assets in qualifying assets. As of March 31, 2018, the Company has 82.0% of our assets in qualifying assets. The principal categories of qualifying assets relevant to our business are:</w:t>
      </w:r>
    </w:p>
    <w:p>
      <w:pPr>
        <w:spacing w:after="0" w:line="181" w:lineRule="exact"/>
        <w:rPr>
          <w:sz w:val="20"/>
          <w:szCs w:val="20"/>
          <w:color w:val="auto"/>
        </w:rPr>
      </w:pPr>
    </w:p>
    <w:p>
      <w:pPr>
        <w:jc w:val="both"/>
        <w:ind w:firstLine="651"/>
        <w:spacing w:after="0" w:line="259" w:lineRule="auto"/>
        <w:tabs>
          <w:tab w:leader="none" w:pos="10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w:t>
      </w:r>
    </w:p>
    <w:p>
      <w:pPr>
        <w:spacing w:after="0" w:line="186" w:lineRule="exact"/>
        <w:rPr>
          <w:rFonts w:ascii="Arial" w:cs="Arial" w:eastAsia="Arial" w:hAnsi="Arial"/>
          <w:sz w:val="18"/>
          <w:szCs w:val="18"/>
          <w:color w:val="auto"/>
        </w:rPr>
      </w:pPr>
    </w:p>
    <w:p>
      <w:pPr>
        <w:ind w:left="960" w:hanging="309"/>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225" w:lineRule="exact"/>
        <w:rPr>
          <w:rFonts w:ascii="Arial" w:cs="Arial" w:eastAsia="Arial" w:hAnsi="Arial"/>
          <w:sz w:val="18"/>
          <w:szCs w:val="18"/>
          <w:color w:val="auto"/>
        </w:rPr>
      </w:pPr>
    </w:p>
    <w:p>
      <w:pPr>
        <w:jc w:val="both"/>
        <w:ind w:firstLine="651"/>
        <w:spacing w:after="0" w:line="279" w:lineRule="auto"/>
        <w:tabs>
          <w:tab w:leader="none" w:pos="97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71" w:lineRule="exact"/>
        <w:rPr>
          <w:rFonts w:ascii="Arial" w:cs="Arial" w:eastAsia="Arial" w:hAnsi="Arial"/>
          <w:sz w:val="17"/>
          <w:szCs w:val="17"/>
          <w:color w:val="auto"/>
        </w:rPr>
      </w:pPr>
    </w:p>
    <w:p>
      <w:pPr>
        <w:jc w:val="both"/>
        <w:ind w:firstLine="651"/>
        <w:spacing w:after="0" w:line="264" w:lineRule="auto"/>
        <w:tabs>
          <w:tab w:leader="none" w:pos="9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181" w:lineRule="exact"/>
        <w:rPr>
          <w:rFonts w:ascii="Arial" w:cs="Arial" w:eastAsia="Arial" w:hAnsi="Arial"/>
          <w:sz w:val="18"/>
          <w:szCs w:val="18"/>
          <w:color w:val="auto"/>
        </w:rPr>
      </w:pPr>
    </w:p>
    <w:p>
      <w:pPr>
        <w:ind w:left="960" w:hanging="309"/>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Securities received in exchange for or distributed on or with respect to securities described in (1) through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60" w:hanging="257"/>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above, or pursuant to the exercise of warrants or rights relating to such securities.</w:t>
      </w:r>
    </w:p>
    <w:p>
      <w:pPr>
        <w:spacing w:after="0" w:line="225" w:lineRule="exact"/>
        <w:rPr>
          <w:rFonts w:ascii="Arial" w:cs="Arial" w:eastAsia="Arial" w:hAnsi="Arial"/>
          <w:sz w:val="18"/>
          <w:szCs w:val="18"/>
          <w:color w:val="auto"/>
        </w:rPr>
      </w:pPr>
    </w:p>
    <w:p>
      <w:pPr>
        <w:ind w:firstLine="651"/>
        <w:spacing w:after="0" w:line="277" w:lineRule="auto"/>
        <w:tabs>
          <w:tab w:leader="none" w:pos="957" w:val="left"/>
        </w:tabs>
        <w:numPr>
          <w:ilvl w:val="1"/>
          <w:numId w:val="51"/>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Additionally, in order to qualify as a RIC for U.S. federal income tax purposes, we must, among other things meet the following tests:</w:t>
      </w:r>
    </w:p>
    <w:p>
      <w:pPr>
        <w:spacing w:after="0" w:line="157" w:lineRule="exact"/>
        <w:rPr>
          <w:sz w:val="20"/>
          <w:szCs w:val="20"/>
          <w:color w:val="auto"/>
        </w:rPr>
      </w:pPr>
    </w:p>
    <w:p>
      <w:pPr>
        <w:ind w:left="1000" w:hanging="349"/>
        <w:spacing w:after="0"/>
        <w:tabs>
          <w:tab w:leader="none" w:pos="10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Continue to qualify as a BDC under the 1940 Act at all times during each taxable year.</w:t>
      </w:r>
    </w:p>
    <w:p>
      <w:pPr>
        <w:spacing w:after="0" w:line="184" w:lineRule="exact"/>
        <w:rPr>
          <w:rFonts w:ascii="Arial" w:cs="Arial" w:eastAsia="Arial" w:hAnsi="Arial"/>
          <w:sz w:val="18"/>
          <w:szCs w:val="18"/>
          <w:color w:val="auto"/>
        </w:rPr>
      </w:pPr>
    </w:p>
    <w:p>
      <w:pPr>
        <w:jc w:val="both"/>
        <w:ind w:firstLine="651"/>
        <w:spacing w:after="0" w:line="219" w:lineRule="auto"/>
        <w:tabs>
          <w:tab w:leader="none" w:pos="957"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w:t>
      </w:r>
    </w:p>
    <w:p>
      <w:pPr>
        <w:spacing w:after="0" w:line="162" w:lineRule="exact"/>
        <w:rPr>
          <w:rFonts w:ascii="Arial" w:cs="Arial" w:eastAsia="Arial" w:hAnsi="Arial"/>
          <w:sz w:val="18"/>
          <w:szCs w:val="18"/>
          <w:color w:val="auto"/>
        </w:rPr>
      </w:pPr>
    </w:p>
    <w:p>
      <w:pPr>
        <w:jc w:val="both"/>
        <w:ind w:firstLine="651"/>
        <w:spacing w:after="0" w:line="232" w:lineRule="auto"/>
        <w:tabs>
          <w:tab w:leader="none" w:pos="957"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Diversify our holdings in accordance with two Diversification Tests: (a) Diversify our holdings such that at the end of each quarter of the taxable year at least 50% of the value of our assets consists of cash, cash equivalents, U.S. Government securities, securities of other RICs, and such other securities if such other securities of any one issuer do not represent more than 5% of the value of our assets or more than 10% of the outstanding voting securities of the issuer; and (b) Diversify our holdings such that no more than 25% of the value of our assets is invested in the securities, other than U.S. government securities or securities of other RICs, (i) of one issuer, (ii) of two or more issuers that are controlled, as determined under applicable Code rules, by us and that are engaged in the same or similar or related trades or businesses or</w:t>
      </w:r>
    </w:p>
    <w:p>
      <w:pPr>
        <w:ind w:left="320" w:hanging="317"/>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 certain “qualified publicly traded partnerships” (collectively, the “Diversification Tests”).</w:t>
      </w:r>
    </w:p>
    <w:p>
      <w:pPr>
        <w:spacing w:after="0" w:line="18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two Diversification Tests must be satisfied quarterly. If a RIC satisfies the tests for one quarter, and then, due solely to fluctuations in market value, fails to meet one of the tests in the next quarter, it retains RIC status. A RIC that fails to meet the Diversification Tests as a result of a nonqualified acquisition may be subject to excess taxes unless the nonqualified acquisition is disposed of and the tests are satisfied within 30 days of the close of the quarter in which the tests are failed.</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quarter we satisfied all RIC tests and have 17.0% in nonqualified assets according to measurement criteria established in Section 851(d) of the Internal Revenue Code (as amended, the “IRC”).</w:t>
      </w:r>
    </w:p>
    <w:p>
      <w:pPr>
        <w:spacing w:after="0" w:line="170" w:lineRule="exact"/>
        <w:rPr>
          <w:sz w:val="20"/>
          <w:szCs w:val="20"/>
          <w:color w:val="auto"/>
        </w:rPr>
      </w:pPr>
    </w:p>
    <w:p>
      <w:pPr>
        <w:ind w:left="360" w:hanging="357"/>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summary of significant accounting policies followed in the preparation of the consolidated financial statements of CSWC.</w:t>
      </w:r>
    </w:p>
    <w:p>
      <w:pPr>
        <w:spacing w:after="0" w:line="170"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u w:val="single" w:color="auto"/>
          <w:color w:val="auto"/>
        </w:rPr>
        <w:t>Fair Value Measurements</w:t>
      </w:r>
      <w:r>
        <w:rPr>
          <w:rFonts w:ascii="Arial" w:cs="Arial" w:eastAsia="Arial" w:hAnsi="Arial"/>
          <w:sz w:val="17"/>
          <w:szCs w:val="17"/>
          <w:color w:val="auto"/>
        </w:rPr>
        <w:t xml:space="preserve"> We account for substantially all of our financial instruments at fair value in accordance with ASC Topic 820 –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ASC Topic 820 requires disclosure of the fair value of financial instruments for which it is practical to estimate such value. We believe that the carrying amounts of our financial instruments such as cash, receivables and payables approximate the fair value of these items due to the short maturity of these instruments. This is considered a Level 1 valuation technique. The carrying value of our credit facility approximates fair value (Level 3 input). See Note 4 below for further discussion regarding the fair value measurements and hierarchy.</w:t>
      </w:r>
    </w:p>
    <w:p>
      <w:pPr>
        <w:spacing w:after="0" w:line="18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Investments are stated at fair value and are reviewed and approved by our Board of Directors as described in the footnotes to the Consolidated Schedule of Investments and Notes 3 and 4 below. Investments are recorded on a trade date basis.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u w:val="single" w:color="auto"/>
          <w:color w:val="auto"/>
        </w:rPr>
        <w:t>Net Realized Gains or Losses and Net Change in Unrealized Appreciation or Depreciation</w:t>
      </w:r>
      <w:r>
        <w:rPr>
          <w:rFonts w:ascii="Arial" w:cs="Arial" w:eastAsia="Arial" w:hAnsi="Arial"/>
          <w:sz w:val="16"/>
          <w:szCs w:val="16"/>
          <w:color w:val="auto"/>
        </w:rPr>
        <w:t xml:space="preserve"> Realized gains or losses are measured by the difference between the net proceeds from the sale or redemption of an investment or a financial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instrument and the cost basis of the investment or financial investment, without regard to unrealized appreciation or depreciation previously recognized, and includes investments written off during the period net of recoveries and realized gains or losses from in-kind redemptions. Net change in unrealized appreciation or depreciation reflects the net change in the fair value of the investment portfolio and financial instruments and the reclassification of any prior period unrealized appreciation or depreciation on exited investments and financial instruments to realized gains or losses.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u w:val="single" w:color="auto"/>
          <w:color w:val="auto"/>
        </w:rPr>
        <w:t>Cash and Cash Equivalents</w:t>
      </w:r>
      <w:r>
        <w:rPr>
          <w:rFonts w:ascii="Arial" w:cs="Arial" w:eastAsia="Arial" w:hAnsi="Arial"/>
          <w:sz w:val="16"/>
          <w:szCs w:val="16"/>
          <w:color w:val="auto"/>
        </w:rPr>
        <w:t xml:space="preserve"> Cash and cash equivalents, which consist of cash and highly liquid investments with an original maturity of three months or less at the date of purchase, are carried at cost, which approximates fair value. Cash may be held in a money market fund from time to time, which is a Level 1 security. Cash and cash equivalents includes deposits at financial institutions. We deposit our cash balances in financial institutions and, at times, such balances may be in excess of the Federal Deposit Insurance Corporation (“FDIC”) insurance limits. At March 31, 2018 and 2017, cash balances totaling $6.8 million and $19.6 million, respectively, exceeded FDIC insurance limits, subjecting us to risk related to the uninsured balance. All of our cash deposits are held at large established high credit quality financial institutions and management believes that the risk of loss associated with any uninsured balances is remote.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Segment Information</w:t>
      </w:r>
      <w:r>
        <w:rPr>
          <w:rFonts w:ascii="Arial" w:cs="Arial" w:eastAsia="Arial" w:hAnsi="Arial"/>
          <w:sz w:val="18"/>
          <w:szCs w:val="18"/>
          <w:color w:val="auto"/>
        </w:rPr>
        <w:t xml:space="preserve"> We operate and manage our business in a singular segment. As an investment company, we invest in portfolio companies in various industries and geographic areas as discussed in Note 3.</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u w:val="single" w:color="auto"/>
          <w:color w:val="auto"/>
        </w:rPr>
        <w:t>Consolidation</w:t>
      </w:r>
      <w:r>
        <w:rPr>
          <w:rFonts w:ascii="Arial" w:cs="Arial" w:eastAsia="Arial" w:hAnsi="Arial"/>
          <w:sz w:val="16"/>
          <w:szCs w:val="16"/>
          <w:color w:val="auto"/>
        </w:rPr>
        <w:t xml:space="preserve"> As permitted under Regulation S-X and ASC Topic 946, we generally do not consolidate our investment in a portfolio company other than an investment company subsidiary or a controlled operating company whose business consists of providing services to CSWC. Accordingly, we consolidated the results of CSWC’s wholly-owned Taxable Subsidiary and CSWC’s wholly-owned management company, CSMC. Prior to its dissolution, we consolidated the results of CSWC’s wholly-owned subsidiary, CSVC. All intercompany balances have been eliminated upon consolidation.</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 xml:space="preserve"> The preparation of consolidated financial statements in conformity with U.S. GAAP requires management to make estimates and assumptions that affect amounts reported in the consolidated financial statements and accompanying notes. Actual results could differ from those estimates. We have identified investment valuation and revenue recognition as our most critical accounting estimates.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Interest and Dividend Income</w:t>
      </w:r>
      <w:r>
        <w:rPr>
          <w:rFonts w:ascii="Arial" w:cs="Arial" w:eastAsia="Arial" w:hAnsi="Arial"/>
          <w:sz w:val="17"/>
          <w:szCs w:val="17"/>
          <w:color w:val="auto"/>
        </w:rPr>
        <w:t xml:space="preserve"> Interest and dividend income is recorded on an accrual basis to the extent amounts are expected to be collected. Dividend income is recorded as dividends are declared by the portfolio company or at the point an obligation exists for the portfolio company to make a distribution. Discounts/premiums received to par on loans purchased are capitalized and accreted or amortized into income over the life of the loan using the effective interest method. In accordance with our valuation policy, accrued interest and dividend income are evaluated quarterly for collectability. When we do not expect the debtor to be able to service all of its debt or other obligations, we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 If a loan or debt security’s status significantly improves regarding its ability to service debt or other obligations, it will be restored to accrual basis. As of March 31, 2018 and 2017, we did not have any investments on non-accrual status or past due its contractual payment obligation.</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maintain RIC tax treatment, non-cash sources of income such as accretion of interest income may need to be paid out to shareholders in the form of distributions, even though CSWC may not have collected the interest income. For the year ended March 31, 2018, approximately 2.4% of CSWC’s total investment income was attributable to non-cash interest income for the accretion of discounts associated with debt investments, net of any premium reduction. For the year ended March 31, 2017, approximately 1.8% of CSWC’s total investment income was attributable to non-cash interest income for the accretion of discounts associated with debt investments, net of any premium reduction.</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u w:val="single" w:color="auto"/>
          <w:color w:val="auto"/>
        </w:rPr>
        <w:t>Payment-in-Kind Interest</w:t>
      </w:r>
      <w:r>
        <w:rPr>
          <w:rFonts w:ascii="Arial" w:cs="Arial" w:eastAsia="Arial" w:hAnsi="Arial"/>
          <w:sz w:val="16"/>
          <w:szCs w:val="16"/>
          <w:color w:val="auto"/>
        </w:rPr>
        <w:t xml:space="preserve"> The Company currently holds, and expects to hold in the future, some investments in its portfolio that contain payment-in-kind (“PIK”) interest and dividend provisions. The PIK interest and dividends, computed at the contractual rate specified in each loan agreement, are added to the principal balance of the loan, rather than being paid to the Company in cash, and are recorded as interest and dividend income. Thus, the actual collection of PIK interest and dividends may be deferred until the time of debt principal repayment or disposition of equity investment.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PIK interest and dividends, which are non-cash sources of income, are included in the Company’s taxable income and therefore affect the amount the Company is required to distribute to stockholders to maintain its qualification as a RIC for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due to a restructuring such that the interest and dividend income is deemed to be collectible. The Company writes off any accrued and uncollected PIK interest and dividends when it is determined that the PIK interest and dividends are no longer collectible. As of March 31, 2018 and 2017, we did not have any investments on non-accrual status and have not written off any accrued and uncollected PIK interest and dividends. For the years ended March 31, 2018 and 2017, approximately 0.9% and 0.3%, respectively, of CSWC’s total investment income was attributable to non-cash PIK interest and dividend income.</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Debt Issuance Costs</w:t>
      </w:r>
      <w:r>
        <w:rPr>
          <w:rFonts w:ascii="Arial" w:cs="Arial" w:eastAsia="Arial" w:hAnsi="Arial"/>
          <w:sz w:val="16"/>
          <w:szCs w:val="16"/>
          <w:color w:val="auto"/>
        </w:rPr>
        <w:t xml:space="preserve"> Debt issuance costs include commitment fees and other costs related to CSWC’s senior secured credit facility and its notes (as discussed further in Note 5). The costs in connection with the credit facility have been capitalized and are amortized into interest expense over the term of the credit facility. The costs in connection with the notes are a direct deduction from the related debt liability and amortized into interest expense over the term of the notes.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u w:val="single" w:color="auto"/>
          <w:color w:val="auto"/>
        </w:rPr>
        <w:t>Federal Income Taxes</w:t>
      </w:r>
      <w:r>
        <w:rPr>
          <w:rFonts w:ascii="Arial" w:cs="Arial" w:eastAsia="Arial" w:hAnsi="Arial"/>
          <w:sz w:val="17"/>
          <w:szCs w:val="17"/>
          <w:color w:val="auto"/>
        </w:rPr>
        <w:t xml:space="preserve"> CSWC has elected and intends to comply with the requirements of the IRC necessary to qualify as a RIC. By meeting these requirements, we will not be subject to corporate federal income taxes on ordinary income distributed to shareholders. In order to qualify as a RIC, the company is required to timely distribute to its shareholders at least 90% of investment company taxable income, as defined by the IRC, each year. Depending on the level of taxable income earned in a tax year, we may choose to carry forward taxable income in excess of current year distributions into the next year and pay a 4% excise tax on such income. Any such carryover taxable income must be distributed through a dividend declared prior to filing the final tax return related to the year that generated such taxable income. Investment company taxable income generally differs from net income for financial reporting purposes due to temporary and permanent differences in the recognition of income and expenses. Investment company taxable income generally excludes net unrealized appreciation or depreciation, as investment gains and losses are not included in investment company taxable income until they are realized.</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to the requirement that we must annually distribute at least 90% of our investment company taxable income, we may either distribute or retain our realized net capital gains from investments, but any net capital gains not distributed may be subject to corporate level tax. We may decide to retain some or all of our long-term capital gains in excess of the amount required to be distributed. If we retain the capital gains, they are subject to a corporate tax rate of 35% and are classified as a “deemed distribution” to our shareholders. With the tax reform legislation enacted on December 22, 2017 (the “Tax Reform”), deemed distributions will be subject to a corporate tax rate of 21% as of January 1, 2018. As an investment company that qualifies as a RIC, federal income taxes payable on security gains that we elect to retain are accrued only on the last day of our tax year, December 31. Any capital gains actually distributed to shareholders are generally taxable to the shareholders as long-term capital gains. See Note 6 for further discussion.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CSMC, a wholly-owned subsidiary of CSWC, and the Taxable Subsidiary are not RICs and are required to pay taxes at the corporate rate of 34% as of December 31, 2017. Due to the Tax Reform, CSMC and the Taxable Subsidiary are now required to pay taxes at the corporate rate of 21% as of January 1, 2018. For tax purposes, CSMC and the Taxable Subsidiary have elected to be treated as taxable entities, and therefore are not consolidated for tax purposes and are taxed at normal corporate tax rates based on taxable income and, as a result of their activities, may generate income tax expense or benefit. The taxable income, or loss, of each of CSMC and the Taxable Subsidiary may differ from its book income, or loss, due to temporary book and tax timing differences and permanent differences. This income tax expense, or benefit, if any, and the related tax assets and liabilities, are reflected in our consolidated financial statements.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Management evaluates tax positions taken or expected to be taken in the course of preparing the Company’s consolidated financial statements to determine whether the tax positions are “more-likely-than-not” to be sustained by the applicable tax authority. Tax positions with respect to tax at the CSWC level not deemed to meet the “more-likely-than-not” threshold would be recorded as an expense in the current year. Management’s conclusions regarding tax positions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 xml:space="preserve">will be subject to review and may be adjusted at a later date based on factors including, but not limited to, on-going analyses of tax laws, regulations and interpretations thereof. The Company has concluded that it does not have any uncertain tax positions that meet the recognition of measurement criteria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for the current period. Also, we account for interest and, if applicable, penalties for any uncertain tax positions as a component of income tax expense. No interest or penalties expense was recorded during the years ended March 31, 2018, 2017 and 2016.</w:t>
      </w:r>
    </w:p>
    <w:p>
      <w:pPr>
        <w:spacing w:after="0" w:line="158"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u w:val="single" w:color="auto"/>
          <w:color w:val="auto"/>
        </w:rPr>
        <w:t>Deferred Taxes</w:t>
      </w:r>
      <w:r>
        <w:rPr>
          <w:rFonts w:ascii="Arial" w:cs="Arial" w:eastAsia="Arial" w:hAnsi="Arial"/>
          <w:sz w:val="16"/>
          <w:szCs w:val="16"/>
          <w:color w:val="auto"/>
        </w:rPr>
        <w:t xml:space="preserve"> Deferred tax assets and liabilities are recorded for losses or income at our taxable subsidiaries using statutory tax rates. A valuation allowance is provided against deferred tax assets when it is more likely than not that some portion or all of the deferred tax asset will not be realized. ASC 740 requires the effects of changes in tax rates and laws on deferred tax balances to be recognized in the period in which the legislation was enacted. As such, we have accounted for the tax effects as a result of the enactment of the Tax Reform as of March 31, 2018. See Note 6 for further discussion.</w:t>
      </w:r>
    </w:p>
    <w:p>
      <w:pPr>
        <w:spacing w:after="0" w:line="1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Stock-Based Compensation</w:t>
      </w:r>
      <w:r>
        <w:rPr>
          <w:rFonts w:ascii="Arial" w:cs="Arial" w:eastAsia="Arial" w:hAnsi="Arial"/>
          <w:sz w:val="17"/>
          <w:szCs w:val="17"/>
          <w:color w:val="auto"/>
        </w:rPr>
        <w:t xml:space="preserve"> We account for our stock-based compensation using the fair value method, as prescribed by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Accordingly, we recognize stock-based compensation cost on a straight-line basis for all share-based payments awards granted to employees. The fair value of stock options are determined on the date of grant using the Black-Scholes pricing model and are expensed over the requisite service period of the related stock options. For restricted stock awards, we measured the grant date fair value based upon the market price of our common stock on the date of the grant. For restricted stock awards, we will amortize this fair value to share-based compensation expense over the vesting term. We recognized forfeitures as they occur. We issue new shares upon the exercise of stock options. The unvested shares of restricted stock awarded pursuant to CSWC’s equity compensation plans are participating securities and are included in the basic and diluted earnings per share calculation. On October 26, 2010, we received an exemptive order from the SEC permitting us to issue restricted stock to our executive officers and certain key employees (the “Original Order”) .On August 22, 2017, we received an exemptive order that supersedes the Original Order (the “Exemptive Order”) and, in addition to the relief granted under the Original Order, allows us to withhold shares to satisfy tax withholding obligations related to the vesting of restricted stock granted pursuant to the 2010 Restricted Stock Award Plan (the “2010 Plan”) and to pay the exercise price of options to purchase shares of our common stock granted pursuant to the 2009 Stock Incentive Plan (the “2009 Plan”).</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years ended March 31, 2018, 2017 and 2016, weighted-average basic shares were adjusted for the diluted effect of stock-based awards of 64,899, 52,452 and 88,020, respectively. For individual cash incentive awards, the option value of the individual cash incentive awards is calculated based on the changes in net asset value of our Company. In connection with the Share Distribution, we entered into an Employee Matters Agreement (the “Employee Matters Agreement”) with CSWI. Under the Employee Matters Agreement, the value of individual cash incentive awards was determined based upon the net asset value of CSWC as of June 30, 2015. See Note 9 for further discussion.</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u w:val="single" w:color="auto"/>
          <w:color w:val="auto"/>
        </w:rPr>
        <w:t>Shareholder Distributions</w:t>
      </w:r>
      <w:r>
        <w:rPr>
          <w:rFonts w:ascii="Arial" w:cs="Arial" w:eastAsia="Arial" w:hAnsi="Arial"/>
          <w:sz w:val="18"/>
          <w:szCs w:val="18"/>
          <w:color w:val="auto"/>
        </w:rPr>
        <w:t xml:space="preserve"> Distributions to common shareholders are recorded on the ex-dividend date. The amount of distributions, if any, is determined by the Board of Directors each quarter and is generally based upon the earnings estimated by management. Net realized capital gains, if any, are generally distributed, although the Company may decide to retain such capital gains for investment.</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u w:val="single" w:color="auto"/>
          <w:color w:val="auto"/>
        </w:rPr>
        <w:t>Presentation</w:t>
      </w:r>
      <w:r>
        <w:rPr>
          <w:rFonts w:ascii="Arial" w:cs="Arial" w:eastAsia="Arial" w:hAnsi="Arial"/>
          <w:sz w:val="18"/>
          <w:szCs w:val="18"/>
          <w:color w:val="auto"/>
        </w:rPr>
        <w:t xml:space="preserve"> Presentation of certain amounts on the Consolidated Financial Statements for the prior year comparative financial statements is updated to conform to the current period presentation. This mainly includes disclosure of amounts at a more disaggregated level.</w:t>
      </w:r>
    </w:p>
    <w:p>
      <w:pPr>
        <w:spacing w:after="0" w:line="181"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u w:val="single" w:color="auto"/>
          <w:color w:val="auto"/>
        </w:rPr>
        <w:t>Recently Issued or Adopted Accounting Standards</w:t>
      </w:r>
      <w:r>
        <w:rPr>
          <w:rFonts w:ascii="Arial" w:cs="Arial" w:eastAsia="Arial" w:hAnsi="Arial"/>
          <w:sz w:val="16"/>
          <w:szCs w:val="16"/>
          <w:color w:val="auto"/>
        </w:rPr>
        <w:t xml:space="preserve"> 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recognize on the balance sheet a right-of-use asset, representing its right to use the underlying asset for the lease term, and a lease liability for all leases with terms greater than 12 months. The guidance also requires qualitative and quantitative disclosures designed to assess the amount, timing, and uncertainty of cash flows arising from leases. The standard requires the use of a modified retrospective transition approach, which includes a number of optional practical expedients that entities may elect to apply. The new guidance is effective for annual periods beginning after December 15, 2018, and interim periods therein. Early application is permitted. While we continue to assess the effect of adoption, we currently believe the single change relates to the recognition of a new right-of-use asset and lease liability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our consolidated balance sheet for our office space operating lease. We currently have one operating lease for office space and do not expect a significant change in our leasing activity between now and adoption. See further discussion of our operating lease obligation in "Note 12 — Commitments and Contingences" in the notes to the consolidated financial statements.</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supersedes the revenue recognition requirements under SAC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throughout the Industry Topics of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Under the new guidance, an entity is required to perform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new guidance will significantly enhance comparability of revenue recognition practices across entities, industries, jurisdictions and capital markets. Additionally, the guidance requires improved disclosures as to the nature, amount, timing and uncertainty of revenue that is recognized. In May 2016, the FASB issued ASU No. 2016-12,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606)—Narrow-Scope Improvements and Practical Expedients</w:t>
      </w:r>
      <w:r>
        <w:rPr>
          <w:rFonts w:ascii="Arial" w:cs="Arial" w:eastAsia="Arial" w:hAnsi="Arial"/>
          <w:sz w:val="16"/>
          <w:szCs w:val="16"/>
          <w:color w:val="auto"/>
        </w:rPr>
        <w:t>. This ASU clarified guidance on assessing</w:t>
      </w:r>
      <w:r>
        <w:rPr>
          <w:rFonts w:ascii="Arial" w:cs="Arial" w:eastAsia="Arial" w:hAnsi="Arial"/>
          <w:sz w:val="16"/>
          <w:szCs w:val="16"/>
          <w:i w:val="1"/>
          <w:iCs w:val="1"/>
          <w:color w:val="auto"/>
        </w:rPr>
        <w:t xml:space="preserve"> </w:t>
      </w:r>
      <w:r>
        <w:rPr>
          <w:rFonts w:ascii="Arial" w:cs="Arial" w:eastAsia="Arial" w:hAnsi="Arial"/>
          <w:sz w:val="16"/>
          <w:szCs w:val="16"/>
          <w:color w:val="auto"/>
        </w:rPr>
        <w:t>collectability, presenting sales tax, measuring noncash consideration, and certain transition matters. The new guidance will be effective for the annual reporting period beginning after December 15, 2017, including interim periods within that reporting period. CSWC is still completing its assessment; however, in evaluating the potential impact on its consolidated financial statements, the Company determined that its material financial contracts are excluded from the scope of ASU 2014-</w:t>
      </w:r>
    </w:p>
    <w:p>
      <w:pPr>
        <w:jc w:val="both"/>
        <w:ind w:firstLine="3"/>
        <w:spacing w:after="0" w:line="254" w:lineRule="auto"/>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a result of the scope exception for financial contracts, the Company's management has determined that there will be no material changes to the recognition timing and classification of revenues and expenses; additionally, the adoption of ASU 2014-09 will not have a significant impact to pretax income upon adoption or on the consolidated financial statement disclosures.</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which is intended to reduce the existing diversity in practice in how certain cash receipts and cash payments are presented and classified in the statement of cash flows. The guidance is effective for annual periods beginning after December 15, 2017, and interim periods therein. The adoption of this new accounting standard will not have a material impact on the Company’s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hanging="357"/>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the composition of the investment portfolio, at cost and fair value (with corresponding percentage of total portfolio investments), as of March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13"/>
              <w:spacing w:after="0"/>
              <w:rPr>
                <w:sz w:val="20"/>
                <w:szCs w:val="20"/>
                <w:color w:val="auto"/>
              </w:rPr>
            </w:pPr>
            <w:r>
              <w:rPr>
                <w:rFonts w:ascii="Arial" w:cs="Arial" w:eastAsia="Arial" w:hAnsi="Arial"/>
                <w:sz w:val="18"/>
                <w:szCs w:val="18"/>
                <w:b w:val="1"/>
                <w:bCs w:val="1"/>
                <w:color w:val="auto"/>
                <w:w w:val="87"/>
              </w:rPr>
              <w:t>Percentage of</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6"/>
              </w:rPr>
              <w:t>Fair</w:t>
            </w:r>
          </w:p>
        </w:tc>
        <w:tc>
          <w:tcPr>
            <w:tcW w:w="1520" w:type="dxa"/>
            <w:vAlign w:val="bottom"/>
            <w:gridSpan w:val="2"/>
          </w:tcPr>
          <w:p>
            <w:pPr>
              <w:jc w:val="center"/>
              <w:ind w:right="313"/>
              <w:spacing w:after="0"/>
              <w:rPr>
                <w:sz w:val="20"/>
                <w:szCs w:val="20"/>
                <w:color w:val="auto"/>
              </w:rPr>
            </w:pPr>
            <w:r>
              <w:rPr>
                <w:rFonts w:ascii="Arial" w:cs="Arial" w:eastAsia="Arial" w:hAnsi="Arial"/>
                <w:sz w:val="18"/>
                <w:szCs w:val="18"/>
                <w:b w:val="1"/>
                <w:bCs w:val="1"/>
                <w:color w:val="auto"/>
                <w:w w:val="91"/>
              </w:rPr>
              <w:t>Total Portfolio</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87"/>
              </w:rPr>
              <w:t>Percentage of</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Total Portfolio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520" w:type="dxa"/>
            <w:vAlign w:val="bottom"/>
            <w:gridSpan w:val="2"/>
          </w:tcPr>
          <w:p>
            <w:pPr>
              <w:jc w:val="center"/>
              <w:ind w:right="313"/>
              <w:spacing w:after="0"/>
              <w:rPr>
                <w:sz w:val="20"/>
                <w:szCs w:val="20"/>
                <w:color w:val="auto"/>
              </w:rPr>
            </w:pPr>
            <w:r>
              <w:rPr>
                <w:rFonts w:ascii="Arial" w:cs="Arial" w:eastAsia="Arial" w:hAnsi="Arial"/>
                <w:sz w:val="18"/>
                <w:szCs w:val="18"/>
                <w:b w:val="1"/>
                <w:bCs w:val="1"/>
                <w:color w:val="auto"/>
                <w:w w:val="93"/>
              </w:rPr>
              <w:t>at Fair Value</w:t>
            </w:r>
          </w:p>
        </w:tc>
        <w:tc>
          <w:tcPr>
            <w:tcW w:w="13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8"/>
              </w:rPr>
              <w:t>Net Assets</w:t>
            </w:r>
          </w:p>
        </w:tc>
        <w:tc>
          <w:tcPr>
            <w:tcW w:w="92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2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at Cost</w:t>
            </w:r>
          </w:p>
        </w:tc>
        <w:tc>
          <w:tcPr>
            <w:tcW w:w="0" w:type="dxa"/>
            <w:vAlign w:val="bottom"/>
          </w:tcPr>
          <w:p>
            <w:pPr>
              <w:spacing w:after="0"/>
              <w:rPr>
                <w:sz w:val="1"/>
                <w:szCs w:val="1"/>
                <w:color w:val="auto"/>
              </w:rPr>
            </w:pPr>
          </w:p>
        </w:tc>
      </w:tr>
      <w:tr>
        <w:trPr>
          <w:trHeight w:val="204"/>
        </w:trPr>
        <w:tc>
          <w:tcPr>
            <w:tcW w:w="2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2018:</w:t>
            </w:r>
          </w:p>
        </w:tc>
        <w:tc>
          <w:tcPr>
            <w:tcW w:w="8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w w:val="94"/>
              </w:rPr>
              <w:t>(dollars in thousands)</w:t>
            </w: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First lien loans</w:t>
            </w:r>
            <w:r>
              <w:rPr>
                <w:rFonts w:ascii="Arial" w:cs="Arial" w:eastAsia="Arial" w:hAnsi="Arial"/>
                <w:sz w:val="8"/>
                <w:szCs w:val="8"/>
                <w:color w:val="auto"/>
              </w:rPr>
              <w:t>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$ 197,110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50.1 %</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63.9 % $194,820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Second lien loans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23,229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23,092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Subordinated debt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Preferred equity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36,545</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16,666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Common equity &amp; warrants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67,113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64,800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393,095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CCEEFF"/>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335,397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2017</w:t>
            </w:r>
            <w:r>
              <w:rPr>
                <w:rFonts w:ascii="Arial" w:cs="Arial" w:eastAsia="Arial" w:hAnsi="Arial"/>
                <w:sz w:val="8"/>
                <w:szCs w:val="8"/>
                <w:b w:val="1"/>
                <w:bCs w:val="1"/>
                <w:color w:val="auto"/>
              </w:rPr>
              <w:t>3</w:t>
            </w:r>
            <w:r>
              <w:rPr>
                <w:rFonts w:ascii="Arial" w:cs="Arial" w:eastAsia="Arial" w:hAnsi="Arial"/>
                <w:sz w:val="18"/>
                <w:szCs w:val="18"/>
                <w:b w:val="1"/>
                <w:bCs w:val="1"/>
                <w:color w:val="auto"/>
              </w:rPr>
              <w:t>:</w:t>
            </w: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First lien loans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$107,817</w:t>
            </w:r>
          </w:p>
        </w:tc>
        <w:tc>
          <w:tcPr>
            <w:tcW w:w="180" w:type="dxa"/>
            <w:vAlign w:val="bottom"/>
          </w:tcPr>
          <w:p>
            <w:pPr>
              <w:spacing w:after="0"/>
              <w:rPr>
                <w:sz w:val="18"/>
                <w:szCs w:val="18"/>
                <w:color w:val="auto"/>
              </w:rPr>
            </w:pPr>
          </w:p>
        </w:tc>
        <w:tc>
          <w:tcPr>
            <w:tcW w:w="1520" w:type="dxa"/>
            <w:vAlign w:val="bottom"/>
            <w:gridSpan w:val="2"/>
          </w:tcPr>
          <w:p>
            <w:pPr>
              <w:jc w:val="right"/>
              <w:ind w:right="153"/>
              <w:spacing w:after="0"/>
              <w:rPr>
                <w:sz w:val="20"/>
                <w:szCs w:val="20"/>
                <w:color w:val="auto"/>
              </w:rPr>
            </w:pPr>
            <w:r>
              <w:rPr>
                <w:rFonts w:ascii="Arial" w:cs="Arial" w:eastAsia="Arial" w:hAnsi="Arial"/>
                <w:sz w:val="18"/>
                <w:szCs w:val="18"/>
                <w:color w:val="auto"/>
              </w:rPr>
              <w:t>37.6 %</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37.8 % $106,799</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Second lien loans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47,176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rPr>
              <w:t>Subordinated debt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12,453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12,402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equity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00"/>
              <w:spacing w:after="0"/>
              <w:rPr>
                <w:sz w:val="20"/>
                <w:szCs w:val="20"/>
                <w:color w:val="auto"/>
              </w:rPr>
            </w:pPr>
            <w:r>
              <w:rPr>
                <w:rFonts w:ascii="Arial" w:cs="Arial" w:eastAsia="Arial" w:hAnsi="Arial"/>
                <w:sz w:val="18"/>
                <w:szCs w:val="18"/>
                <w:color w:val="auto"/>
                <w:w w:val="97"/>
              </w:rPr>
              <w:t>Common equity &amp; warrants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36,696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7,901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63,395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286,880</w:t>
            </w: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153"/>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250,540</w:t>
            </w: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20" w:hanging="317"/>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4"/>
          <w:szCs w:val="14"/>
          <w:color w:val="auto"/>
        </w:rPr>
        <w:t>Included in first lien loans are loans structured as first lien last out loans. These loans may in certain cases be subordinated in payment</w:t>
      </w:r>
    </w:p>
    <w:p>
      <w:pPr>
        <w:ind w:left="320"/>
        <w:spacing w:after="0" w:line="209" w:lineRule="auto"/>
        <w:rPr>
          <w:sz w:val="20"/>
          <w:szCs w:val="20"/>
          <w:color w:val="auto"/>
        </w:rPr>
      </w:pPr>
      <w:r>
        <w:rPr>
          <w:rFonts w:ascii="Arial" w:cs="Arial" w:eastAsia="Arial" w:hAnsi="Arial"/>
          <w:sz w:val="16"/>
          <w:szCs w:val="16"/>
          <w:color w:val="auto"/>
        </w:rPr>
        <w:t>priority to other senior secured lenders. As of March 31, 2018 and 2017, the fair value of the first lien last out loans are $26.9 million and $21.8 million, respectively.</w:t>
      </w:r>
    </w:p>
    <w:p>
      <w:pPr>
        <w:spacing w:after="0" w:line="1" w:lineRule="exact"/>
        <w:rPr>
          <w:sz w:val="20"/>
          <w:szCs w:val="20"/>
          <w:color w:val="auto"/>
        </w:rPr>
      </w:pPr>
    </w:p>
    <w:p>
      <w:pPr>
        <w:jc w:val="both"/>
        <w:ind w:left="320" w:hanging="317"/>
        <w:spacing w:after="0" w:line="213" w:lineRule="auto"/>
        <w:tabs>
          <w:tab w:leader="none" w:pos="320" w:val="left"/>
        </w:tabs>
        <w:numPr>
          <w:ilvl w:val="0"/>
          <w:numId w:val="58"/>
        </w:numPr>
        <w:rPr>
          <w:rFonts w:ascii="Arial" w:cs="Arial" w:eastAsia="Arial" w:hAnsi="Arial"/>
          <w:sz w:val="17"/>
          <w:szCs w:val="17"/>
          <w:color w:val="auto"/>
        </w:rPr>
      </w:pPr>
      <w:r>
        <w:rPr>
          <w:rFonts w:ascii="Arial" w:cs="Arial" w:eastAsia="Arial" w:hAnsi="Arial"/>
          <w:sz w:val="15"/>
          <w:szCs w:val="15"/>
          <w:color w:val="auto"/>
        </w:rPr>
        <w:t>I-45 SLF LLC is a joint venture between CSWC and Main Street Capital. This entity primarily invests in syndicated senior secured loans in the upper middle market. The portfolio companies held by I-45 SLF LLC represent a diverse set of industry classifications,</w:t>
      </w:r>
    </w:p>
    <w:p>
      <w:pPr>
        <w:ind w:left="320"/>
        <w:spacing w:after="0" w:line="208" w:lineRule="auto"/>
        <w:rPr>
          <w:sz w:val="20"/>
          <w:szCs w:val="20"/>
          <w:color w:val="auto"/>
        </w:rPr>
      </w:pPr>
      <w:r>
        <w:rPr>
          <w:rFonts w:ascii="Arial" w:cs="Arial" w:eastAsia="Arial" w:hAnsi="Arial"/>
          <w:sz w:val="16"/>
          <w:szCs w:val="16"/>
          <w:color w:val="auto"/>
        </w:rPr>
        <w:t>which are similar to those in which CSWC invests directly. See Note 17 for further discussion.</w:t>
      </w:r>
    </w:p>
    <w:p>
      <w:pPr>
        <w:ind w:left="320" w:hanging="317"/>
        <w:spacing w:after="0" w:line="226"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6"/>
          <w:szCs w:val="16"/>
          <w:color w:val="auto"/>
        </w:rPr>
        <w:t>Presentation of March 31, 2017 disclosure is updated to conform to the current period presentation.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The following tables show the composition of the investment portfolio by industry, at cost and fair value (with corresponding percentage of total portfolio investments), as of March 31, 2018 and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96"/>
              <w:spacing w:after="0"/>
              <w:rPr>
                <w:sz w:val="20"/>
                <w:szCs w:val="20"/>
                <w:color w:val="auto"/>
              </w:rPr>
            </w:pPr>
            <w:r>
              <w:rPr>
                <w:rFonts w:ascii="Arial" w:cs="Arial" w:eastAsia="Arial" w:hAnsi="Arial"/>
                <w:sz w:val="16"/>
                <w:szCs w:val="16"/>
                <w:b w:val="1"/>
                <w:bCs w:val="1"/>
                <w:color w:val="auto"/>
                <w:w w:val="88"/>
              </w:rPr>
              <w:t>Percentage of</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16"/>
              <w:spacing w:after="0"/>
              <w:rPr>
                <w:sz w:val="20"/>
                <w:szCs w:val="20"/>
                <w:color w:val="auto"/>
              </w:rPr>
            </w:pPr>
            <w:r>
              <w:rPr>
                <w:rFonts w:ascii="Arial" w:cs="Arial" w:eastAsia="Arial" w:hAnsi="Arial"/>
                <w:sz w:val="16"/>
                <w:szCs w:val="16"/>
                <w:b w:val="1"/>
                <w:bCs w:val="1"/>
                <w:color w:val="auto"/>
                <w:w w:val="92"/>
              </w:rPr>
              <w:t>Total Portfolio</w:t>
            </w:r>
          </w:p>
        </w:tc>
        <w:tc>
          <w:tcPr>
            <w:tcW w:w="1260" w:type="dxa"/>
            <w:vAlign w:val="bottom"/>
            <w:gridSpan w:val="3"/>
          </w:tcPr>
          <w:p>
            <w:pPr>
              <w:jc w:val="right"/>
              <w:ind w:right="230"/>
              <w:spacing w:after="0"/>
              <w:rPr>
                <w:sz w:val="20"/>
                <w:szCs w:val="20"/>
                <w:color w:val="auto"/>
              </w:rPr>
            </w:pPr>
            <w:r>
              <w:rPr>
                <w:rFonts w:ascii="Arial" w:cs="Arial" w:eastAsia="Arial" w:hAnsi="Arial"/>
                <w:sz w:val="16"/>
                <w:szCs w:val="16"/>
                <w:b w:val="1"/>
                <w:bCs w:val="1"/>
                <w:color w:val="auto"/>
                <w:w w:val="86"/>
              </w:rPr>
              <w:t>Percentage of</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2"/>
              </w:rPr>
              <w:t>Total Portfolio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Fair Value</w:t>
            </w:r>
          </w:p>
        </w:tc>
        <w:tc>
          <w:tcPr>
            <w:tcW w:w="1400" w:type="dxa"/>
            <w:vAlign w:val="bottom"/>
            <w:gridSpan w:val="2"/>
          </w:tcPr>
          <w:p>
            <w:pPr>
              <w:jc w:val="center"/>
              <w:ind w:right="296"/>
              <w:spacing w:after="0"/>
              <w:rPr>
                <w:sz w:val="20"/>
                <w:szCs w:val="20"/>
                <w:color w:val="auto"/>
              </w:rPr>
            </w:pPr>
            <w:r>
              <w:rPr>
                <w:rFonts w:ascii="Arial" w:cs="Arial" w:eastAsia="Arial" w:hAnsi="Arial"/>
                <w:sz w:val="16"/>
                <w:szCs w:val="16"/>
                <w:b w:val="1"/>
                <w:bCs w:val="1"/>
                <w:color w:val="auto"/>
                <w:w w:val="94"/>
              </w:rPr>
              <w:t>at Fair Value</w:t>
            </w:r>
          </w:p>
        </w:tc>
        <w:tc>
          <w:tcPr>
            <w:tcW w:w="126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w w:val="99"/>
              </w:rPr>
              <w:t>Net Assets</w:t>
            </w: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88"/>
              </w:rPr>
              <w:t>at Cost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110"/>
              <w:spacing w:after="0" w:line="145" w:lineRule="exact"/>
              <w:rPr>
                <w:sz w:val="20"/>
                <w:szCs w:val="20"/>
                <w:color w:val="auto"/>
              </w:rPr>
            </w:pPr>
            <w:r>
              <w:rPr>
                <w:rFonts w:ascii="Arial" w:cs="Arial" w:eastAsia="Arial" w:hAnsi="Arial"/>
                <w:sz w:val="14"/>
                <w:szCs w:val="14"/>
                <w:b w:val="1"/>
                <w:bCs w:val="1"/>
                <w:color w:val="auto"/>
                <w:w w:val="97"/>
              </w:rPr>
              <w:t>(dollars in thousands)</w:t>
            </w: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67,113</w:t>
            </w:r>
          </w:p>
        </w:tc>
        <w:tc>
          <w:tcPr>
            <w:tcW w:w="160" w:type="dxa"/>
            <w:vAlign w:val="bottom"/>
          </w:tcPr>
          <w:p>
            <w:pPr>
              <w:spacing w:after="0"/>
              <w:rPr>
                <w:sz w:val="18"/>
                <w:szCs w:val="18"/>
                <w:color w:val="auto"/>
              </w:rPr>
            </w:pPr>
          </w:p>
        </w:tc>
        <w:tc>
          <w:tcPr>
            <w:tcW w:w="1400" w:type="dxa"/>
            <w:vAlign w:val="bottom"/>
            <w:gridSpan w:val="2"/>
          </w:tcPr>
          <w:p>
            <w:pPr>
              <w:jc w:val="right"/>
              <w:ind w:right="156"/>
              <w:spacing w:after="0"/>
              <w:rPr>
                <w:sz w:val="20"/>
                <w:szCs w:val="20"/>
                <w:color w:val="auto"/>
              </w:rPr>
            </w:pPr>
            <w:r>
              <w:rPr>
                <w:rFonts w:ascii="Arial" w:cs="Arial" w:eastAsia="Arial" w:hAnsi="Arial"/>
                <w:sz w:val="18"/>
                <w:szCs w:val="18"/>
                <w:color w:val="auto"/>
              </w:rPr>
              <w:t>17.1 %</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6"/>
                <w:szCs w:val="16"/>
                <w:color w:val="auto"/>
              </w:rPr>
              <w:t>%</w:t>
            </w:r>
            <w:r>
              <w:rPr>
                <w:rFonts w:ascii="Arial" w:cs="Arial" w:eastAsia="Arial" w:hAnsi="Arial"/>
                <w:sz w:val="18"/>
                <w:szCs w:val="18"/>
                <w:color w:val="auto"/>
              </w:rPr>
              <w:t xml:space="preserve"> $</w:t>
            </w:r>
          </w:p>
        </w:tc>
        <w:tc>
          <w:tcPr>
            <w:tcW w:w="640" w:type="dxa"/>
            <w:vAlign w:val="bottom"/>
          </w:tcPr>
          <w:p>
            <w:pPr>
              <w:jc w:val="right"/>
              <w:spacing w:after="0"/>
              <w:rPr>
                <w:sz w:val="20"/>
                <w:szCs w:val="20"/>
                <w:color w:val="auto"/>
              </w:rPr>
            </w:pPr>
            <w:r>
              <w:rPr>
                <w:rFonts w:ascii="Arial" w:cs="Arial" w:eastAsia="Arial" w:hAnsi="Arial"/>
                <w:sz w:val="18"/>
                <w:szCs w:val="18"/>
                <w:color w:val="auto"/>
              </w:rPr>
              <w:t>64,800</w:t>
            </w: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Marketing, &amp; Entertainment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Industrial Products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43,122</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Energy Services (Upstream)</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27,919</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14,130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26,713</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Consumer Products and Retail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24,570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25,086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16,751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16,448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Healthcare Products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12,353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12,162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&amp; Logistics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Industrial Services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10,012</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9,721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Agriculture &amp; Beverage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8,295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&amp; IT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Paper &amp; Forest Products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393,095</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335,397</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31, 2017: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63,395</w:t>
            </w:r>
          </w:p>
        </w:tc>
        <w:tc>
          <w:tcPr>
            <w:tcW w:w="160" w:type="dxa"/>
            <w:vAlign w:val="bottom"/>
          </w:tcPr>
          <w:p>
            <w:pPr>
              <w:spacing w:after="0"/>
              <w:rPr>
                <w:sz w:val="19"/>
                <w:szCs w:val="19"/>
                <w:color w:val="auto"/>
              </w:rPr>
            </w:pPr>
          </w:p>
        </w:tc>
        <w:tc>
          <w:tcPr>
            <w:tcW w:w="1400" w:type="dxa"/>
            <w:vAlign w:val="bottom"/>
            <w:gridSpan w:val="2"/>
          </w:tcPr>
          <w:p>
            <w:pPr>
              <w:jc w:val="right"/>
              <w:ind w:right="156"/>
              <w:spacing w:after="0"/>
              <w:rPr>
                <w:sz w:val="20"/>
                <w:szCs w:val="20"/>
                <w:color w:val="auto"/>
              </w:rPr>
            </w:pPr>
            <w:r>
              <w:rPr>
                <w:rFonts w:ascii="Arial" w:cs="Arial" w:eastAsia="Arial" w:hAnsi="Arial"/>
                <w:sz w:val="18"/>
                <w:szCs w:val="18"/>
                <w:color w:val="auto"/>
              </w:rPr>
              <w:t>22.1 %</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6"/>
                <w:szCs w:val="16"/>
                <w:color w:val="auto"/>
              </w:rPr>
              <w:t>%</w:t>
            </w:r>
            <w:r>
              <w:rPr>
                <w:rFonts w:ascii="Arial" w:cs="Arial" w:eastAsia="Arial" w:hAnsi="Arial"/>
                <w:sz w:val="18"/>
                <w:szCs w:val="18"/>
                <w:color w:val="auto"/>
              </w:rPr>
              <w:t xml:space="preserve"> $</w:t>
            </w:r>
          </w:p>
        </w:tc>
        <w:tc>
          <w:tcPr>
            <w:tcW w:w="640" w:type="dxa"/>
            <w:vAlign w:val="bottom"/>
          </w:tcPr>
          <w:p>
            <w:pPr>
              <w:jc w:val="right"/>
              <w:spacing w:after="0"/>
              <w:rPr>
                <w:sz w:val="20"/>
                <w:szCs w:val="20"/>
                <w:color w:val="auto"/>
              </w:rPr>
            </w:pPr>
            <w:r>
              <w:rPr>
                <w:rFonts w:ascii="Arial" w:cs="Arial" w:eastAsia="Arial" w:hAnsi="Arial"/>
                <w:sz w:val="18"/>
                <w:szCs w:val="18"/>
                <w:color w:val="auto"/>
              </w:rPr>
              <w:t>60,800</w:t>
            </w: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Products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Media, Marketing, &amp; Entertainment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32,254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32,154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Consumer Products &amp; Retail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18,396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18,275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Energy Services (Upstream)</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12,733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13,963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&amp; IT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10,126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10,126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Agriculture &amp; Beverage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Paper &amp; Forest Products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Gaming &amp; Leisure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8,686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8,489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5,029</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Products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Financial Services</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286,880</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250,540</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0" w:hanging="317"/>
        <w:spacing w:after="0" w:line="230" w:lineRule="auto"/>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I-45 SLF LLC is a joint venture between CSWC and Main Street Capital. This entity primarily invests in syndicated senior secured loans to the UMM. The portfolio companies in I-45 SLF LLC include multi-sector holdings, which are similar to those in which CSWC invests directly. See Note 17 for further discussion.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following tables summarize the composition of the investment portfolio by geographic region of the United States, at cost and fair value (with corresponding percentage of total portfolio investments), as of March 31, 2018 and 2017:</w:t>
      </w: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36"/>
              <w:spacing w:after="0"/>
              <w:rPr>
                <w:sz w:val="20"/>
                <w:szCs w:val="20"/>
                <w:color w:val="auto"/>
              </w:rPr>
            </w:pPr>
            <w:r>
              <w:rPr>
                <w:rFonts w:ascii="Arial" w:cs="Arial" w:eastAsia="Arial" w:hAnsi="Arial"/>
                <w:sz w:val="16"/>
                <w:szCs w:val="16"/>
                <w:b w:val="1"/>
                <w:bCs w:val="1"/>
                <w:color w:val="auto"/>
                <w:w w:val="88"/>
              </w:rPr>
              <w:t>Percentage of</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90"/>
              <w:spacing w:after="0"/>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36"/>
              <w:spacing w:after="0"/>
              <w:rPr>
                <w:sz w:val="20"/>
                <w:szCs w:val="20"/>
                <w:color w:val="auto"/>
              </w:rPr>
            </w:pPr>
            <w:r>
              <w:rPr>
                <w:rFonts w:ascii="Arial" w:cs="Arial" w:eastAsia="Arial" w:hAnsi="Arial"/>
                <w:sz w:val="16"/>
                <w:szCs w:val="16"/>
                <w:b w:val="1"/>
                <w:bCs w:val="1"/>
                <w:color w:val="auto"/>
                <w:w w:val="94"/>
              </w:rPr>
              <w:t>Total Portfolio</w:t>
            </w:r>
          </w:p>
        </w:tc>
        <w:tc>
          <w:tcPr>
            <w:tcW w:w="1260" w:type="dxa"/>
            <w:vAlign w:val="bottom"/>
            <w:gridSpan w:val="3"/>
          </w:tcPr>
          <w:p>
            <w:pPr>
              <w:jc w:val="right"/>
              <w:ind w:right="245"/>
              <w:spacing w:after="0"/>
              <w:rPr>
                <w:sz w:val="20"/>
                <w:szCs w:val="20"/>
                <w:color w:val="auto"/>
              </w:rPr>
            </w:pPr>
            <w:r>
              <w:rPr>
                <w:rFonts w:ascii="Arial" w:cs="Arial" w:eastAsia="Arial" w:hAnsi="Arial"/>
                <w:sz w:val="16"/>
                <w:szCs w:val="16"/>
                <w:b w:val="1"/>
                <w:bCs w:val="1"/>
                <w:color w:val="auto"/>
                <w:w w:val="86"/>
              </w:rPr>
              <w:t>Percentage of</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92"/>
              </w:rPr>
              <w:t>Total Portfolio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Fair Value</w:t>
            </w:r>
          </w:p>
        </w:tc>
        <w:tc>
          <w:tcPr>
            <w:tcW w:w="1340" w:type="dxa"/>
            <w:vAlign w:val="bottom"/>
            <w:gridSpan w:val="2"/>
          </w:tcPr>
          <w:p>
            <w:pPr>
              <w:jc w:val="center"/>
              <w:ind w:right="236"/>
              <w:spacing w:after="0"/>
              <w:rPr>
                <w:sz w:val="20"/>
                <w:szCs w:val="20"/>
                <w:color w:val="auto"/>
              </w:rPr>
            </w:pPr>
            <w:r>
              <w:rPr>
                <w:rFonts w:ascii="Arial" w:cs="Arial" w:eastAsia="Arial" w:hAnsi="Arial"/>
                <w:sz w:val="16"/>
                <w:szCs w:val="16"/>
                <w:b w:val="1"/>
                <w:bCs w:val="1"/>
                <w:color w:val="auto"/>
                <w:w w:val="94"/>
              </w:rPr>
              <w:t>at Fair Value</w:t>
            </w:r>
          </w:p>
        </w:tc>
        <w:tc>
          <w:tcPr>
            <w:tcW w:w="1260" w:type="dxa"/>
            <w:vAlign w:val="bottom"/>
            <w:gridSpan w:val="3"/>
          </w:tcPr>
          <w:p>
            <w:pPr>
              <w:jc w:val="right"/>
              <w:ind w:right="345"/>
              <w:spacing w:after="0"/>
              <w:rPr>
                <w:sz w:val="20"/>
                <w:szCs w:val="20"/>
                <w:color w:val="auto"/>
              </w:rPr>
            </w:pPr>
            <w:r>
              <w:rPr>
                <w:rFonts w:ascii="Arial" w:cs="Arial" w:eastAsia="Arial" w:hAnsi="Arial"/>
                <w:sz w:val="16"/>
                <w:szCs w:val="16"/>
                <w:b w:val="1"/>
                <w:bCs w:val="1"/>
                <w:color w:val="auto"/>
                <w:w w:val="99"/>
              </w:rPr>
              <w:t>Net Assets</w:t>
            </w: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160" w:type="dxa"/>
            <w:vAlign w:val="bottom"/>
            <w:gridSpan w:val="2"/>
          </w:tcPr>
          <w:p>
            <w:pPr>
              <w:jc w:val="center"/>
              <w:ind w:right="70"/>
              <w:spacing w:after="0"/>
              <w:rPr>
                <w:sz w:val="20"/>
                <w:szCs w:val="20"/>
                <w:color w:val="auto"/>
              </w:rPr>
            </w:pPr>
            <w:r>
              <w:rPr>
                <w:rFonts w:ascii="Arial" w:cs="Arial" w:eastAsia="Arial" w:hAnsi="Arial"/>
                <w:sz w:val="16"/>
                <w:szCs w:val="16"/>
                <w:b w:val="1"/>
                <w:bCs w:val="1"/>
                <w:color w:val="auto"/>
                <w:w w:val="88"/>
              </w:rPr>
              <w:t>at Cost</w:t>
            </w:r>
          </w:p>
        </w:tc>
        <w:tc>
          <w:tcPr>
            <w:tcW w:w="0" w:type="dxa"/>
            <w:vAlign w:val="bottom"/>
          </w:tcPr>
          <w:p>
            <w:pPr>
              <w:spacing w:after="0"/>
              <w:rPr>
                <w:sz w:val="1"/>
                <w:szCs w:val="1"/>
                <w:color w:val="auto"/>
              </w:rPr>
            </w:pPr>
          </w:p>
        </w:tc>
      </w:tr>
      <w:tr>
        <w:trPr>
          <w:trHeight w:val="183"/>
        </w:trPr>
        <w:tc>
          <w:tcPr>
            <w:tcW w:w="2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2018:</w:t>
            </w:r>
          </w:p>
        </w:tc>
        <w:tc>
          <w:tcPr>
            <w:tcW w:w="1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w w:val="94"/>
              </w:rPr>
              <w:t>(dollars in thousands)</w:t>
            </w: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2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Southwest</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131,753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33.5 %</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42.7 </w:t>
            </w:r>
            <w:r>
              <w:rPr>
                <w:rFonts w:ascii="Arial" w:cs="Arial" w:eastAsia="Arial" w:hAnsi="Arial"/>
                <w:sz w:val="16"/>
                <w:szCs w:val="16"/>
                <w:color w:val="auto"/>
              </w:rPr>
              <w:t>%</w:t>
            </w:r>
            <w:r>
              <w:rPr>
                <w:rFonts w:ascii="Arial" w:cs="Arial" w:eastAsia="Arial" w:hAnsi="Arial"/>
                <w:sz w:val="18"/>
                <w:szCs w:val="18"/>
                <w:color w:val="auto"/>
              </w:rPr>
              <w:t xml:space="preserve">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Southeast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84,969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84,290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1</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67,113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64,800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Midwest</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13,501</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393,095</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335,397</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2017</w:t>
            </w:r>
            <w:r>
              <w:rPr>
                <w:rFonts w:ascii="Arial" w:cs="Arial" w:eastAsia="Arial" w:hAnsi="Arial"/>
                <w:sz w:val="8"/>
                <w:szCs w:val="8"/>
                <w:b w:val="1"/>
                <w:bCs w:val="1"/>
                <w:color w:val="auto"/>
              </w:rPr>
              <w:t>2</w:t>
            </w:r>
            <w:r>
              <w:rPr>
                <w:rFonts w:ascii="Arial" w:cs="Arial" w:eastAsia="Arial" w:hAnsi="Arial"/>
                <w:sz w:val="18"/>
                <w:szCs w:val="18"/>
                <w:b w:val="1"/>
                <w:bCs w:val="1"/>
                <w:color w:val="auto"/>
              </w:rPr>
              <w: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Southwest</w:t>
            </w:r>
          </w:p>
        </w:tc>
        <w:tc>
          <w:tcPr>
            <w:tcW w:w="1340" w:type="dxa"/>
            <w:vAlign w:val="bottom"/>
            <w:gridSpan w:val="2"/>
          </w:tcPr>
          <w:p>
            <w:pPr>
              <w:ind w:left="1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82,576</w:t>
            </w:r>
          </w:p>
        </w:tc>
        <w:tc>
          <w:tcPr>
            <w:tcW w:w="180" w:type="dxa"/>
            <w:vAlign w:val="bottom"/>
          </w:tcPr>
          <w:p>
            <w:pPr>
              <w:spacing w:after="0"/>
              <w:rPr>
                <w:sz w:val="18"/>
                <w:szCs w:val="18"/>
                <w:color w:val="auto"/>
              </w:rPr>
            </w:pPr>
          </w:p>
        </w:tc>
        <w:tc>
          <w:tcPr>
            <w:tcW w:w="1340" w:type="dxa"/>
            <w:vAlign w:val="bottom"/>
            <w:gridSpan w:val="2"/>
          </w:tcPr>
          <w:p>
            <w:pPr>
              <w:jc w:val="right"/>
              <w:ind w:right="96"/>
              <w:spacing w:after="0"/>
              <w:rPr>
                <w:sz w:val="20"/>
                <w:szCs w:val="20"/>
                <w:color w:val="auto"/>
              </w:rPr>
            </w:pPr>
            <w:r>
              <w:rPr>
                <w:rFonts w:ascii="Arial" w:cs="Arial" w:eastAsia="Arial" w:hAnsi="Arial"/>
                <w:sz w:val="18"/>
                <w:szCs w:val="18"/>
                <w:color w:val="auto"/>
              </w:rPr>
              <w:t>28.8 %</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xml:space="preserve">29.0 </w:t>
            </w:r>
            <w:r>
              <w:rPr>
                <w:rFonts w:ascii="Arial" w:cs="Arial" w:eastAsia="Arial" w:hAnsi="Arial"/>
                <w:sz w:val="16"/>
                <w:szCs w:val="16"/>
                <w:color w:val="auto"/>
              </w:rPr>
              <w:t>%</w:t>
            </w:r>
            <w:r>
              <w:rPr>
                <w:rFonts w:ascii="Arial" w:cs="Arial" w:eastAsia="Arial" w:hAnsi="Arial"/>
                <w:sz w:val="18"/>
                <w:szCs w:val="18"/>
                <w:color w:val="auto"/>
              </w:rPr>
              <w:t xml:space="preserve"> $</w:t>
            </w:r>
          </w:p>
        </w:tc>
        <w:tc>
          <w:tcPr>
            <w:tcW w:w="660" w:type="dxa"/>
            <w:vAlign w:val="bottom"/>
          </w:tcPr>
          <w:p>
            <w:pPr>
              <w:jc w:val="right"/>
              <w:spacing w:after="0"/>
              <w:rPr>
                <w:sz w:val="20"/>
                <w:szCs w:val="20"/>
                <w:color w:val="auto"/>
              </w:rPr>
            </w:pPr>
            <w:r>
              <w:rPr>
                <w:rFonts w:ascii="Arial" w:cs="Arial" w:eastAsia="Arial" w:hAnsi="Arial"/>
                <w:sz w:val="18"/>
                <w:szCs w:val="18"/>
                <w:color w:val="auto"/>
              </w:rPr>
              <w:t>50,024</w:t>
            </w: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I-45 SLF LLC</w:t>
            </w:r>
            <w:r>
              <w:rPr>
                <w:rFonts w:ascii="Arial" w:cs="Arial" w:eastAsia="Arial" w:hAnsi="Arial"/>
                <w:sz w:val="8"/>
                <w:szCs w:val="8"/>
                <w:color w:val="auto"/>
              </w:rPr>
              <w:t>1</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Northeast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43,695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43,516</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Southeast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West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30,327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30,168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28,408</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286,880</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96"/>
              <w:spacing w:after="0"/>
              <w:rPr>
                <w:sz w:val="20"/>
                <w:szCs w:val="20"/>
                <w:color w:val="auto"/>
              </w:rPr>
            </w:pPr>
            <w:r>
              <w:rPr>
                <w:rFonts w:ascii="Arial" w:cs="Arial" w:eastAsia="Arial" w:hAnsi="Arial"/>
                <w:sz w:val="18"/>
                <w:szCs w:val="18"/>
                <w:color w:val="auto"/>
                <w:w w:val="7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250,540</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0" w:hanging="317"/>
        <w:spacing w:after="0" w:line="235" w:lineRule="auto"/>
        <w:tabs>
          <w:tab w:leader="none" w:pos="3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I-45 SLF LLC is a joint venture between CSWC and Main Street Capital. This entity primarily invests in syndicated senior secured loans to the UMM. The portfolio companies in I-45 SLF LLC represent a diverse set of industry classifications, which are similar to</w:t>
      </w:r>
    </w:p>
    <w:p>
      <w:pPr>
        <w:ind w:left="320"/>
        <w:spacing w:after="0" w:line="211" w:lineRule="auto"/>
        <w:rPr>
          <w:sz w:val="20"/>
          <w:szCs w:val="20"/>
          <w:color w:val="auto"/>
        </w:rPr>
      </w:pPr>
      <w:r>
        <w:rPr>
          <w:rFonts w:ascii="Arial" w:cs="Arial" w:eastAsia="Arial" w:hAnsi="Arial"/>
          <w:sz w:val="16"/>
          <w:szCs w:val="16"/>
          <w:color w:val="auto"/>
        </w:rPr>
        <w:t>those in which CSWC invests directly. See Note 17 for further discussion.</w:t>
      </w:r>
    </w:p>
    <w:p>
      <w:pPr>
        <w:spacing w:after="0" w:line="1" w:lineRule="exact"/>
        <w:rPr>
          <w:sz w:val="20"/>
          <w:szCs w:val="20"/>
          <w:color w:val="auto"/>
        </w:rPr>
      </w:pPr>
    </w:p>
    <w:p>
      <w:pPr>
        <w:ind w:left="320" w:hanging="317"/>
        <w:spacing w:after="0"/>
        <w:tabs>
          <w:tab w:leader="none" w:pos="3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Presentation of March 31, 2017 disclosure is updated to conform to the current period presentation.</w:t>
      </w:r>
    </w:p>
    <w:p>
      <w:pPr>
        <w:spacing w:after="0" w:line="230" w:lineRule="exact"/>
        <w:rPr>
          <w:sz w:val="20"/>
          <w:szCs w:val="20"/>
          <w:color w:val="auto"/>
        </w:rPr>
      </w:pPr>
    </w:p>
    <w:p>
      <w:pPr>
        <w:ind w:left="360" w:hanging="357"/>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Process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valuation process is led by the finance department in conjunction with the investment team. The process includes a monthly review of each investment by our executive officers and investment teams. Valuations of each portfolio security are prepared quarterly by the finance department using updated financial and other operational information collected by the investment teams. Each investment valuation is then subject to review by the executive officers and investment teams. In conjunction with the internal valuation process, we have also engaged multiple independent consulting firms specializing in financial due diligence, valuation, and business advisory services to provide third-party valuation reviews of certain investments. The third-party valuation firms provide a range of values for selected investments, which is presented to CSWC’s executive officers and Board of Directors.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CSWC also uses a standard internal investment rating system in connection with its investment oversight, portfolio management, and investment valuation procedures for its debt portfolio. This system takes into account both quantitative and qualitative factors of the portfolio company and the investments held therein.</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is no single standard for determining fair value in good faith, as fair value depends upon the specific circumstances of each individual investment. While management believes our valuation methodologies are appropriate and consistent with market participants, the recorded fair values of our investments may differ significantly from fair values that would have been used had an active market for the securities existed. In addition, changes in the market environment and other events that may occur over the life of the investments may cause the gains or losses ultimately realized on these investments to be different than the valuations currently assigned. The Board of Directors has the ultimate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responsibility for reviewing and approving, in good faith, the fair value of CSWC’s investments in accordance with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CSWC has established and documented processes for determining the fair values of portfolio company investments on a recurring basis in accordance with the 1940 Act and ASC Topic 820. </w:t>
      </w:r>
      <w:r>
        <w:rPr>
          <w:rFonts w:ascii="Arial" w:cs="Arial" w:eastAsia="Arial" w:hAnsi="Arial"/>
          <w:sz w:val="14"/>
          <w:szCs w:val="14"/>
          <w:color w:val="auto"/>
        </w:rPr>
        <w:t>As</w:t>
      </w:r>
      <w:r>
        <w:rPr>
          <w:rFonts w:ascii="Arial" w:cs="Arial" w:eastAsia="Arial" w:hAnsi="Arial"/>
          <w:sz w:val="16"/>
          <w:szCs w:val="16"/>
          <w:color w:val="auto"/>
        </w:rPr>
        <w:t xml:space="preserve"> required by ASC Topic 820, 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unrealized appreciation and depreciation related to such investments categorized within the Level 3 tables below may include changes in fair value that are attributable to both observable inputs (Levels 1 and 2) and unobservable inputs (Level 3). CSWC conducts reviews of fair value hierarchy classifications on a quarterly basis. We also use judgment and consider factors specific to the investment in determining the significance of an input to a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valuation inputs established by ASC Topic 820 are as follows:</w:t>
      </w:r>
    </w:p>
    <w:p>
      <w:pPr>
        <w:spacing w:after="0" w:line="225" w:lineRule="exact"/>
        <w:rPr>
          <w:sz w:val="20"/>
          <w:szCs w:val="20"/>
          <w:color w:val="auto"/>
        </w:rPr>
      </w:pPr>
    </w:p>
    <w:p>
      <w:pPr>
        <w:ind w:left="660" w:hanging="333"/>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Investments whose values are based on unadjusted quoted prices in active markets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7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Investments whose values are based on quoted prices for similar assets and liabilities in active markets,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inputs that are observable for the asset or liability, either directly or indirectly, for substantially the full term of the financial instrument.</w:t>
      </w:r>
    </w:p>
    <w:p>
      <w:pPr>
        <w:spacing w:after="0" w:line="14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Investments whose values are based on unobservable inputs that are significant to the overall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w:t>
      </w:r>
    </w:p>
    <w:p>
      <w:pPr>
        <w:spacing w:after="0" w:line="170"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As of March 31, 2018 and 2017, 100% of the CSWC investment portfolio consisted of debt and equity instruments of privately held companies for which inputs falling within the categories of Level 1 and Level 2 are generally not available. Therefore, CSWC determines the fair value of its investments (excluding investments for which fair value is measured at NAV) in good faith using Level 3 inputs, pursuant to a valuation policy and process that is established by the management of CSWC with assistance from multiple third-party valuation advisors, which is subsequently approved by our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ASC Topic 820 defines fair value in terms of the price that would be received upon the sale of an asset or paid to transfer a liability in an orderly transaction between market participants at the measurement date excluding transaction costs. Under ASC Topic 820, the fair value measurement also assumes that the transaction to sell an asset occurs in the principal market for the asset or, in the absence of a principal market, the most advantageous market for the asset. The principal market is the market in which the reporting entity would sell or transfer the asset with the greatest volume and level of activity for the asset. In determining the principal market for an asset or liability under ASC Topic 820, it is assumed that the reporting entity has access to the market as of the measurement date.</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Level 3 inputs to CSWC’s valuation process reflect our best estimate of the assumptions that would be used by market participants in pricing the investment in a transaction in the principal or most advantageous market for the asset.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determination of each portfolio investment categorized as Level 3 required one or more of the following unobservable inputs:</w:t>
      </w:r>
    </w:p>
    <w:p>
      <w:pPr>
        <w:spacing w:after="0" w:line="170" w:lineRule="exact"/>
        <w:rPr>
          <w:sz w:val="20"/>
          <w:szCs w:val="20"/>
          <w:color w:val="auto"/>
        </w:rPr>
      </w:pPr>
    </w:p>
    <w:p>
      <w:pPr>
        <w:ind w:left="980" w:right="100" w:hanging="329"/>
        <w:spacing w:after="0" w:line="274"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Financial information obtained from each portfolio company, including unaudited statements of operations and balance sheets for the most recent period available as compared to budgeted numbers;</w:t>
      </w:r>
    </w:p>
    <w:p>
      <w:pPr>
        <w:ind w:left="980" w:hanging="329"/>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Current and projected financial condition of the portfolio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Current and projected ability of the portfolio company to service its debt obligations;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Type and amount of collateral, if any, underlying the investment;</w:t>
      </w:r>
    </w:p>
    <w:p>
      <w:pPr>
        <w:spacing w:after="0" w:line="9" w:lineRule="exact"/>
        <w:rPr>
          <w:rFonts w:ascii="Arial" w:cs="Arial" w:eastAsia="Arial" w:hAnsi="Arial"/>
          <w:sz w:val="18"/>
          <w:szCs w:val="18"/>
          <w:color w:val="auto"/>
        </w:rPr>
      </w:pPr>
    </w:p>
    <w:p>
      <w:pPr>
        <w:ind w:left="980" w:right="240" w:hanging="329"/>
        <w:spacing w:after="0" w:line="250"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Current financial ratios (e.g., fixed charge coverage ratio, interest coverage ratio and net debt/EBITDA ratio) applicable to the investment;</w:t>
      </w: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Current liquidity of the investment and related financial ratios (e.g., current ratio and quick ratio);</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Indicative dealer quotations from brokers, banks, and other market participants;</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yields on other securities of similar risk;</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Pending debt or capital restructuring of the portfolio company;</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Projected operating results of the portfolio company;</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Current information regarding any offers to purchase the investment;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Current ability of the portfolio company to raise any additional financing as needed;</w:t>
      </w:r>
    </w:p>
    <w:p>
      <w:pPr>
        <w:spacing w:after="0" w:line="9" w:lineRule="exact"/>
        <w:rPr>
          <w:rFonts w:ascii="Arial" w:cs="Arial" w:eastAsia="Arial" w:hAnsi="Arial"/>
          <w:sz w:val="18"/>
          <w:szCs w:val="18"/>
          <w:color w:val="auto"/>
        </w:rPr>
      </w:pPr>
    </w:p>
    <w:p>
      <w:pPr>
        <w:ind w:left="980" w:right="600" w:hanging="329"/>
        <w:spacing w:after="0" w:line="250"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the economic environment which may have a material impact on the operating results of the portfolio company;</w:t>
      </w:r>
    </w:p>
    <w:p>
      <w:pPr>
        <w:ind w:left="980" w:right="120" w:hanging="329"/>
        <w:spacing w:after="0" w:line="250"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Internal occurrences that may have an impact (both positive and negative) on the operating performance of the portfolio company;</w:t>
      </w: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Qualitative assessment of key management;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Contractual rights, obligations or restrictions associated with the investment;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factors deemed relevant.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CSWC uses several different valuation approaches depending on the security type including the Market Approach, the Income Approach, the Enterprise Value Waterfall Approach, and the NAV Valuation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Approach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 Approach is a qualitative and quantitative analysis of the aforementioned unobservable inputs. It is a combination of the Enterprise Value Waterfall Approach and Income Approach as described in detail below. For investments recently originated (within a quarterly reporting period) or where the value has not departed significantly from its cost, we generally rely on our cost basis or recent transaction price to determine the fair value, unless a material event has occurred since origination.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valuing debt securities, CSWC typically uses an Income Approach model, which considers some or all of the factors listed above. Under the Income Approach, CSWC develops an expectation of the yield that a hypothetical market participant would require when purchasing each debt investment (the “Required Market Yield”). The Required Market Yield is calculated in a two-step process. First, using quarterly market data we estimate the current market yield of similar debt securities. Next, based on the factors described above, we modify the current market yield for each security to produce a unique Required Market Yield for each of our investments. The resulting Required Market Yield is the significant Level 3 input to the Income Approach model. If, with respect to an investment, the unobservable inputs have not fluctuated significantly from the date the investment was made or have not fluctuated significantly from CSWC’s expectations on the date the investment was made, and there have been no significant fluctuations in the market pricing for such investments, we may conclude that the Required Market Yield for that investment is equal to the stated rate on the investment. In instances where CSWC determines that the Required Market Yield is different from the stated rate on the investment, we discount the contractual cash flows on the debt instrument using the Required Market Yield in order to estimate the fair value of the debt security.</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under the Income Approach, CSWC also determines the appropriateness of the use of third-party broker quotes, if any, as a significant Level 3 input in determining fair value. In determining the appropriateness of the use of third-party broker quotes, CSWC evaluates the level of actual transactions used by the broker to develop the quote, whether the quote was an indicative price or binding offer, the depth and consistency of broker quotes, the source of the broker quotes, and the correlation of changes in broker quotes with underlying performance of the portfolio company and other market indices. To the extent sufficient observable inputs are available to determine fair value, CSWC may use third-party broker quotes or other independent pricing to determine the fair value of certain debt investments.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measurements using the Income Approach model can be sensitive to significant changes in one or more of the inputs. A significant increase (decrease) in the Required Market Yield for a particular debt security may result in a lower (higher) fair value for that security. A significant increase (decrease) in a third-party broker quote for a particular debt security may result in a higher (lower) value for that 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valuing equity securities (including warrants), CSWC estimates fair value using an Enterprise Value Waterfall valuation model. CSWC estimates the enterprise value of a portfolio company and then allocates the enterprise value to the portfolio company’s securities in order of their relative liquidation preference. In addition, CSWC assumes that any outstanding debt or other securities that are senior to CSWC’s equity securities are required to be repaid at par. Additionally, we may estimate the fair value of non-performing debt securities using the Enterprise Value Waterfall approach as needed.</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estimate the enterprise value of the portfolio company, CSWC uses a weighted valuation model based on public comparable companies, observable transactions and discounted cash flow analyses. A main input into the valuation model is a measure of the portfolio company’s financial performance, which generally is either earnings before interest, taxes, depreciation and amortization, as adjusted (“Adjusted EBITDA”) or revenues. In addition, we consider other factors, including but not limited to (1) offers from third parties to purchase the portfolio company, and (2) the implied value of recent investments in the equity securities of the portfolio company. For certain non-performing assets, we may utilize the liquidation or collateral value of the portfolio company’s assets in our estimation of its enterprise value.</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significant Level 3 inputs to the Enterprise Value Waterfall model are (1) an appropriate multiple derived from the comparable public companies and transactions, (2) discount rate assumptions used in the discounted cash flow model and</w:t>
      </w:r>
    </w:p>
    <w:p>
      <w:pPr>
        <w:jc w:val="both"/>
        <w:ind w:firstLine="3"/>
        <w:spacing w:after="0" w:line="251" w:lineRule="auto"/>
        <w:tabs>
          <w:tab w:leader="none" w:pos="27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measure of the portfolio company’s financial performance, which generally is either Adjusted EBITDA or revenues. Inputs can be based on historical operating results, projections of future operating results or a combination thereof. The operating results of a portfolio company may be unaudited, projected or pro forma financial information and may require adjustments for certain non-recurring items. CSWC also may consult with the portfolio company’s senior management to obtain updates on the portfolio company’s performance, including information such as industry trends, new product development, loss of customers and other operational issues. Fair value measurements using the Enterprise Value Waterfall model can be sensitive to significant changes in one or more of the inputs. A significant increase (decrease) in either the multiple, Adjusted EBITDA or revenues for a particular equity security would result in a higher (lower) fair value for that security.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NAV Valuation Method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NAV valuation method, for an investment in an investment fund that does not have a readily determinable fair value, CSWC measures the fair value of the investment predominately based on the NAV of the investment fund as of the measurement date. However, in determining the fair value of the investment, we may consider whether adjustments to the NAV are necessary in certain circumstances, based on the analysis of any restrictions on redemption of our investment as of the measurement date, recent actual sales or redemptions of interests in the investment fund, expected future cash flows available to equity holders, or other uncertainties surrounding CSWC’s ability to realize the full NAV of its interests in the investment fund.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fair value hierarchy tables set forth our investment portfolio by level as of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ind w:left="600"/>
              <w:spacing w:after="0"/>
              <w:rPr>
                <w:sz w:val="20"/>
                <w:szCs w:val="20"/>
                <w:color w:val="auto"/>
              </w:rPr>
            </w:pPr>
            <w:r>
              <w:rPr>
                <w:rFonts w:ascii="Arial" w:cs="Arial" w:eastAsia="Arial" w:hAnsi="Arial"/>
                <w:sz w:val="14"/>
                <w:szCs w:val="14"/>
                <w:b w:val="1"/>
                <w:bCs w:val="1"/>
                <w:color w:val="auto"/>
                <w:w w:val="92"/>
              </w:rPr>
              <w:t>Fair Value Measurements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at March 31, 2018 Using</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Quoted Prices in</w:t>
            </w:r>
          </w:p>
        </w:tc>
        <w:tc>
          <w:tcPr>
            <w:tcW w:w="100" w:type="dxa"/>
            <w:vAlign w:val="bottom"/>
          </w:tcPr>
          <w:p>
            <w:pPr>
              <w:spacing w:after="0"/>
              <w:rPr>
                <w:sz w:val="10"/>
                <w:szCs w:val="10"/>
                <w:color w:val="auto"/>
              </w:rPr>
            </w:pPr>
          </w:p>
        </w:tc>
        <w:tc>
          <w:tcPr>
            <w:tcW w:w="76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40" w:type="dxa"/>
            <w:vAlign w:val="bottom"/>
          </w:tcPr>
          <w:p>
            <w:pPr>
              <w:spacing w:after="0"/>
              <w:rPr>
                <w:sz w:val="12"/>
                <w:szCs w:val="12"/>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First lien loans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$ 197,110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197,110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Second lien loans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23,229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36,545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&amp; warrants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8"/>
                <w:szCs w:val="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$ 393,095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325,982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4"/>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6"/>
          </w:tcPr>
          <w:p>
            <w:pPr>
              <w:ind w:left="600"/>
              <w:spacing w:after="0"/>
              <w:rPr>
                <w:sz w:val="20"/>
                <w:szCs w:val="20"/>
                <w:color w:val="auto"/>
              </w:rPr>
            </w:pPr>
            <w:r>
              <w:rPr>
                <w:rFonts w:ascii="Arial" w:cs="Arial" w:eastAsia="Arial" w:hAnsi="Arial"/>
                <w:sz w:val="14"/>
                <w:szCs w:val="14"/>
                <w:b w:val="1"/>
                <w:bCs w:val="1"/>
                <w:color w:val="auto"/>
                <w:w w:val="92"/>
              </w:rPr>
              <w:t>Fair Value Measurements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at March 31, 2017 Using</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00" w:type="dxa"/>
            <w:vAlign w:val="bottom"/>
          </w:tcPr>
          <w:p>
            <w:pPr>
              <w:spacing w:after="0"/>
              <w:rPr>
                <w:sz w:val="10"/>
                <w:szCs w:val="10"/>
                <w:color w:val="auto"/>
              </w:rPr>
            </w:pPr>
          </w:p>
        </w:tc>
        <w:tc>
          <w:tcPr>
            <w:tcW w:w="76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9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r>
              <w:rPr>
                <w:rFonts w:ascii="Arial" w:cs="Arial" w:eastAsia="Arial" w:hAnsi="Arial"/>
                <w:sz w:val="14"/>
                <w:szCs w:val="14"/>
                <w:b w:val="1"/>
                <w:bCs w:val="1"/>
                <w:color w:val="auto"/>
                <w:vertAlign w:val="superscript"/>
              </w:rPr>
              <w:t>2</w:t>
            </w:r>
          </w:p>
        </w:tc>
        <w:tc>
          <w:tcPr>
            <w:tcW w:w="140" w:type="dxa"/>
            <w:vAlign w:val="bottom"/>
          </w:tcPr>
          <w:p>
            <w:pPr>
              <w:spacing w:after="0"/>
              <w:rPr>
                <w:sz w:val="12"/>
                <w:szCs w:val="12"/>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First lien loans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$ 107,817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107,817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Second lien loans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19,343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&amp; warrants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8"/>
                <w:szCs w:val="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63,395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$ 286,880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223,485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6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0" w:hanging="317"/>
        <w:spacing w:after="0" w:line="238" w:lineRule="auto"/>
        <w:tabs>
          <w:tab w:leader="none" w:pos="320" w:val="left"/>
        </w:tabs>
        <w:numPr>
          <w:ilvl w:val="0"/>
          <w:numId w:val="68"/>
        </w:numPr>
        <w:rPr>
          <w:rFonts w:ascii="Arial" w:cs="Arial" w:eastAsia="Arial" w:hAnsi="Arial"/>
          <w:sz w:val="16"/>
          <w:szCs w:val="16"/>
          <w:color w:val="auto"/>
        </w:rPr>
      </w:pPr>
      <w:r>
        <w:rPr>
          <w:rFonts w:ascii="Arial" w:cs="Arial" w:eastAsia="Arial" w:hAnsi="Arial"/>
          <w:sz w:val="14"/>
          <w:szCs w:val="14"/>
          <w:color w:val="auto"/>
        </w:rPr>
        <w:t>Certain investments that are measured at fair value using the NAV per share (or its equivalent) practical expedient have not been categorized in the fair value hierarchy. The fair value amounts presented in this table are intended to permit reconciliation of the fair value hierarchy to the amounts presented in Consolidated Statements of Assets and Liabilities. For the investment valued at net asset value per share at March 31, 2018 and 2017, the redemption restrictions dictate that we cannot withdraw our membership interest without unanimous approval. We are permitted to sell or transfer our membership interest and must deliver written notice of such</w:t>
      </w:r>
    </w:p>
    <w:p>
      <w:pPr>
        <w:ind w:left="320"/>
        <w:spacing w:after="0" w:line="212" w:lineRule="auto"/>
        <w:rPr>
          <w:sz w:val="20"/>
          <w:szCs w:val="20"/>
          <w:color w:val="auto"/>
        </w:rPr>
      </w:pPr>
      <w:r>
        <w:rPr>
          <w:rFonts w:ascii="Arial" w:cs="Arial" w:eastAsia="Arial" w:hAnsi="Arial"/>
          <w:sz w:val="16"/>
          <w:szCs w:val="16"/>
          <w:color w:val="auto"/>
        </w:rPr>
        <w:t>transfer to the other member no later than 60 business days prior to the sale or transfer.</w:t>
      </w:r>
    </w:p>
    <w:p>
      <w:pPr>
        <w:ind w:left="320" w:hanging="317"/>
        <w:spacing w:after="0" w:line="226" w:lineRule="auto"/>
        <w:tabs>
          <w:tab w:leader="none" w:pos="320" w:val="left"/>
        </w:tabs>
        <w:numPr>
          <w:ilvl w:val="0"/>
          <w:numId w:val="69"/>
        </w:numPr>
        <w:rPr>
          <w:rFonts w:ascii="Arial" w:cs="Arial" w:eastAsia="Arial" w:hAnsi="Arial"/>
          <w:sz w:val="18"/>
          <w:szCs w:val="18"/>
          <w:color w:val="auto"/>
        </w:rPr>
      </w:pPr>
      <w:r>
        <w:rPr>
          <w:rFonts w:ascii="Arial" w:cs="Arial" w:eastAsia="Arial" w:hAnsi="Arial"/>
          <w:sz w:val="16"/>
          <w:szCs w:val="16"/>
          <w:color w:val="auto"/>
        </w:rPr>
        <w:t>Presentation of March 31, 2017 disclosure updated to conform to current period presentation.</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table below presents the Valuation Techniques and Significant Level 3 Inputs (ranges and weighted averages) used in the valuation of CSWC’s debt and equity securities at March 31, 2018 and March 31, 2017. The table is not intended to be all inclusive, but instead captures the significant unobservable inputs relevant to our determination of fair value.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14"/>
                <w:szCs w:val="14"/>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3/31/2018</w:t>
            </w:r>
          </w:p>
        </w:tc>
        <w:tc>
          <w:tcPr>
            <w:tcW w:w="220" w:type="dxa"/>
            <w:vAlign w:val="bottom"/>
          </w:tcPr>
          <w:p>
            <w:pPr>
              <w:spacing w:after="0"/>
              <w:rPr>
                <w:sz w:val="12"/>
                <w:szCs w:val="12"/>
                <w:color w:val="auto"/>
              </w:rPr>
            </w:pPr>
          </w:p>
        </w:tc>
        <w:tc>
          <w:tcPr>
            <w:tcW w:w="2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Range</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2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First lien loans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Income Approach</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181,595</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9.5% - 17.0%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Third Party Broker</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Quote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98.2 - 101.8</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Market Approach</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15,515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Cost</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98.0 - 98.1</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11.6% -</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Second lien loans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Income Approach</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11.6%</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6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Third Party Broker</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Quote</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93.5 - 100.0</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Market Approach</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Exit Value</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12.4% -</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Income Approach</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18,783</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13.8%</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Enterprise Value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Waterfall</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Preferred equity</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Approach</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36,545</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EBITDA Multiple</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5.1x - 9.3x</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6.9x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15.0%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32.1%</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Enterprise Value</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&amp;</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Waterfall</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Approach</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47,123</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EBITDA Multiple</w:t>
            </w: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6.0x - 8.4x</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8.1x</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0"/>
              </w:rPr>
              <w:t>15.7% -</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21.6%</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Market Approach</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Cost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spacing w:after="0"/>
              <w:rPr>
                <w:sz w:val="20"/>
                <w:szCs w:val="20"/>
                <w:color w:val="auto"/>
              </w:rPr>
            </w:pPr>
            <w:r>
              <w:rPr>
                <w:rFonts w:ascii="Arial" w:cs="Arial" w:eastAsia="Arial" w:hAnsi="Arial"/>
                <w:sz w:val="18"/>
                <w:szCs w:val="18"/>
                <w:color w:val="auto"/>
                <w:w w:val="95"/>
              </w:rPr>
              <w:t>Total Level 3 Investments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325,982</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220" w:type="dxa"/>
            <w:vAlign w:val="bottom"/>
          </w:tcPr>
          <w:p>
            <w:pPr>
              <w:spacing w:after="0"/>
              <w:rPr>
                <w:sz w:val="24"/>
                <w:szCs w:val="24"/>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3/31/2017</w:t>
            </w:r>
          </w:p>
        </w:tc>
        <w:tc>
          <w:tcPr>
            <w:tcW w:w="220" w:type="dxa"/>
            <w:vAlign w:val="bottom"/>
          </w:tcPr>
          <w:p>
            <w:pPr>
              <w:spacing w:after="0"/>
              <w:rPr>
                <w:sz w:val="12"/>
                <w:szCs w:val="12"/>
                <w:color w:val="auto"/>
              </w:rPr>
            </w:pPr>
          </w:p>
        </w:tc>
        <w:tc>
          <w:tcPr>
            <w:tcW w:w="2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Range</w:t>
            </w: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4"/>
                <w:szCs w:val="14"/>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2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First lien loans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Income Approach</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73,065</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7.7% - 12.6%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Third Party Broker</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Quote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99.8 - 101.3</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Market Approach</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34,752</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Cost</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90.0 - 98.0</w:t>
            </w: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Second lien loans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Income Approach</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47,176</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9.5% - 12.6%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Third Party Broker</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Quote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97.5 - 100.8</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0"/>
              </w:rPr>
              <w:t>11.5% -</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2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Income Approach</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12,453</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12.3%</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Enterprise Value</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Waterfall</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Approach</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19,343</w:t>
            </w: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EBITDA Multiple</w:t>
            </w:r>
          </w:p>
        </w:tc>
        <w:tc>
          <w:tcPr>
            <w:tcW w:w="12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3.5x - 9.2x</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5.8x</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14.1% -</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27.8%</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0"/>
              </w:rPr>
              <w:t>Enterprise Value</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Common equity &amp;</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Waterfall</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20"/>
                <w:szCs w:val="20"/>
                <w:color w:val="auto"/>
                <w:w w:val="89"/>
              </w:rPr>
              <w:t>5.8x - 8.3x</w:t>
            </w:r>
          </w:p>
        </w:tc>
        <w:tc>
          <w:tcPr>
            <w:tcW w:w="680" w:type="dxa"/>
            <w:vAlign w:val="bottom"/>
            <w:vMerge w:val="restart"/>
          </w:tcPr>
          <w:p>
            <w:pPr>
              <w:jc w:val="center"/>
              <w:spacing w:after="0"/>
              <w:rPr>
                <w:sz w:val="20"/>
                <w:szCs w:val="20"/>
                <w:color w:val="auto"/>
              </w:rPr>
            </w:pPr>
            <w:r>
              <w:rPr>
                <w:rFonts w:ascii="Arial" w:cs="Arial" w:eastAsia="Arial" w:hAnsi="Arial"/>
                <w:sz w:val="20"/>
                <w:szCs w:val="20"/>
                <w:color w:val="auto"/>
                <w:w w:val="95"/>
              </w:rPr>
              <w:t>8.0x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Approach</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36,696</w:t>
            </w: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EBITDA Multiple</w:t>
            </w:r>
          </w:p>
        </w:tc>
        <w:tc>
          <w:tcPr>
            <w:tcW w:w="12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16.0% -</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60" w:type="dxa"/>
            <w:vAlign w:val="bottom"/>
            <w:gridSpan w:val="3"/>
          </w:tcPr>
          <w:p>
            <w:pPr>
              <w:ind w:left="220"/>
              <w:spacing w:after="0"/>
              <w:rPr>
                <w:sz w:val="20"/>
                <w:szCs w:val="20"/>
                <w:color w:val="auto"/>
              </w:rPr>
            </w:pPr>
            <w:r>
              <w:rPr>
                <w:rFonts w:ascii="Arial" w:cs="Arial" w:eastAsia="Arial" w:hAnsi="Arial"/>
                <w:sz w:val="18"/>
                <w:szCs w:val="18"/>
                <w:color w:val="auto"/>
              </w:rPr>
              <w:t>Discount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17.0%</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980" w:type="dxa"/>
            <w:vAlign w:val="bottom"/>
            <w:gridSpan w:val="2"/>
          </w:tcPr>
          <w:p>
            <w:pPr>
              <w:spacing w:after="0"/>
              <w:rPr>
                <w:sz w:val="20"/>
                <w:szCs w:val="20"/>
                <w:color w:val="auto"/>
              </w:rPr>
            </w:pPr>
            <w:r>
              <w:rPr>
                <w:rFonts w:ascii="Arial" w:cs="Arial" w:eastAsia="Arial" w:hAnsi="Arial"/>
                <w:sz w:val="18"/>
                <w:szCs w:val="18"/>
                <w:color w:val="auto"/>
                <w:w w:val="95"/>
              </w:rPr>
              <w:t>Total Level 3 Investments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223,485</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Fair Value Levels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monitor the availability of observable market data to assess the appropriate classification of financial instruments within the fair value hierarchy. Changes in economic conditions or model based valuation techniques may require the transfer of financial instruments from one fair value to another. We recognize transfer of financial instruments between levels at the end of each quarterly reporting period. During the years ended March 31, 2018 and 2017, we had no transfers between levels.</w:t>
      </w: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a summary of changes in the fair value of investments measured using Level 3 inputs during the years ended March 31, 2018 and 2017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8"/>
              </w:rPr>
              <w:t>Realized &amp;</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6"/>
        </w:trPr>
        <w:tc>
          <w:tcPr>
            <w:tcW w:w="2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43"/>
              <w:spacing w:after="0" w:line="126" w:lineRule="exact"/>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26"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0"/>
                <w:szCs w:val="10"/>
                <w:color w:val="auto"/>
              </w:rPr>
            </w:pPr>
          </w:p>
        </w:tc>
        <w:tc>
          <w:tcPr>
            <w:tcW w:w="7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85"/>
              </w:rPr>
              <w:t>Purchases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PIK Interest</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23"/>
              <w:spacing w:after="0" w:line="126" w:lineRule="exact"/>
              <w:rPr>
                <w:sz w:val="20"/>
                <w:szCs w:val="20"/>
                <w:color w:val="auto"/>
              </w:rPr>
            </w:pPr>
            <w:r>
              <w:rPr>
                <w:rFonts w:ascii="Arial" w:cs="Arial" w:eastAsia="Arial" w:hAnsi="Arial"/>
                <w:sz w:val="13"/>
                <w:szCs w:val="13"/>
                <w:b w:val="1"/>
                <w:bCs w:val="1"/>
                <w:color w:val="auto"/>
                <w:w w:val="87"/>
              </w:rPr>
              <w:t>Fair Value at</w:t>
            </w:r>
          </w:p>
        </w:tc>
      </w:tr>
      <w:tr>
        <w:trPr>
          <w:trHeight w:val="162"/>
        </w:trPr>
        <w:tc>
          <w:tcPr>
            <w:tcW w:w="2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3/31/2017</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0"/>
              </w:rPr>
              <w:t>Gains (Losses)</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Investments</w:t>
            </w:r>
            <w:r>
              <w:rPr>
                <w:rFonts w:ascii="Arial" w:cs="Arial" w:eastAsia="Arial" w:hAnsi="Arial"/>
                <w:sz w:val="14"/>
                <w:szCs w:val="14"/>
                <w:b w:val="1"/>
                <w:bCs w:val="1"/>
                <w:color w:val="auto"/>
                <w:w w:val="86"/>
                <w:vertAlign w:val="superscript"/>
              </w:rPr>
              <w:t>1</w:t>
            </w:r>
          </w:p>
        </w:tc>
        <w:tc>
          <w:tcPr>
            <w:tcW w:w="14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7"/>
              </w:rPr>
              <w:t>Repayments</w:t>
            </w: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0"/>
              </w:rPr>
              <w:t>Earned</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Divestitures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23"/>
              <w:spacing w:after="0"/>
              <w:rPr>
                <w:sz w:val="20"/>
                <w:szCs w:val="20"/>
                <w:color w:val="auto"/>
              </w:rPr>
            </w:pPr>
            <w:r>
              <w:rPr>
                <w:rFonts w:ascii="Arial" w:cs="Arial" w:eastAsia="Arial" w:hAnsi="Arial"/>
                <w:sz w:val="13"/>
                <w:szCs w:val="13"/>
                <w:b w:val="1"/>
                <w:bCs w:val="1"/>
                <w:color w:val="auto"/>
                <w:w w:val="89"/>
              </w:rPr>
              <w:t>3/31/2018</w:t>
            </w:r>
          </w:p>
        </w:tc>
      </w:tr>
      <w:tr>
        <w:trPr>
          <w:trHeight w:val="196"/>
        </w:trPr>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First lien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107,817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128,894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(41,687)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197,110</w:t>
            </w:r>
          </w:p>
        </w:tc>
      </w:tr>
      <w:tr>
        <w:trPr>
          <w:trHeight w:val="203"/>
        </w:trPr>
        <w:tc>
          <w:tcPr>
            <w:tcW w:w="2780" w:type="dxa"/>
            <w:vAlign w:val="bottom"/>
            <w:gridSpan w:val="2"/>
          </w:tcPr>
          <w:p>
            <w:pPr>
              <w:spacing w:after="0"/>
              <w:rPr>
                <w:sz w:val="20"/>
                <w:szCs w:val="20"/>
                <w:color w:val="auto"/>
              </w:rPr>
            </w:pPr>
            <w:r>
              <w:rPr>
                <w:rFonts w:ascii="Arial" w:cs="Arial" w:eastAsia="Arial" w:hAnsi="Arial"/>
                <w:sz w:val="16"/>
                <w:szCs w:val="16"/>
                <w:color w:val="auto"/>
              </w:rPr>
              <w:t>Second lien loans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47,176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(34,179)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23,229</w:t>
            </w:r>
          </w:p>
        </w:tc>
      </w:tr>
      <w:tr>
        <w:trPr>
          <w:trHeight w:val="20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(8,100)</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18,783</w:t>
            </w:r>
          </w:p>
        </w:tc>
      </w:tr>
      <w:tr>
        <w:trPr>
          <w:trHeight w:val="203"/>
        </w:trPr>
        <w:tc>
          <w:tcPr>
            <w:tcW w:w="2780" w:type="dxa"/>
            <w:vAlign w:val="bottom"/>
            <w:gridSpan w:val="2"/>
          </w:tcPr>
          <w:p>
            <w:pPr>
              <w:spacing w:after="0"/>
              <w:rPr>
                <w:sz w:val="20"/>
                <w:szCs w:val="20"/>
                <w:color w:val="auto"/>
              </w:rPr>
            </w:pPr>
            <w:r>
              <w:rPr>
                <w:rFonts w:ascii="Arial" w:cs="Arial" w:eastAsia="Arial" w:hAnsi="Arial"/>
                <w:sz w:val="16"/>
                <w:szCs w:val="16"/>
                <w:color w:val="auto"/>
              </w:rPr>
              <w:t>Preferred equity</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36,545</w:t>
            </w:r>
          </w:p>
        </w:tc>
      </w:tr>
      <w:tr>
        <w:trPr>
          <w:trHeight w:val="20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equity &amp; warrants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50,315</w:t>
            </w:r>
          </w:p>
        </w:tc>
      </w:tr>
      <w:tr>
        <w:trPr>
          <w:trHeight w:val="203"/>
        </w:trPr>
        <w:tc>
          <w:tcPr>
            <w:tcW w:w="2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223,485</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23,134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163,038</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(83,966)</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325,982</w:t>
            </w:r>
          </w:p>
        </w:tc>
      </w:tr>
      <w:tr>
        <w:trPr>
          <w:trHeight w:val="230"/>
        </w:trPr>
        <w:tc>
          <w:tcPr>
            <w:tcW w:w="2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17"/>
        </w:trPr>
        <w:tc>
          <w:tcPr>
            <w:tcW w:w="2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17" w:lineRule="exact"/>
              <w:rPr>
                <w:sz w:val="20"/>
                <w:szCs w:val="20"/>
                <w:color w:val="auto"/>
              </w:rPr>
            </w:pPr>
            <w:r>
              <w:rPr>
                <w:rFonts w:ascii="Arial" w:cs="Arial" w:eastAsia="Arial" w:hAnsi="Arial"/>
                <w:sz w:val="13"/>
                <w:szCs w:val="13"/>
                <w:b w:val="1"/>
                <w:bCs w:val="1"/>
                <w:color w:val="auto"/>
                <w:w w:val="88"/>
              </w:rPr>
              <w:t>Realized &amp;</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line="117" w:lineRule="exact"/>
              <w:rPr>
                <w:sz w:val="20"/>
                <w:szCs w:val="20"/>
                <w:color w:val="auto"/>
              </w:rPr>
            </w:pPr>
            <w:r>
              <w:rPr>
                <w:rFonts w:ascii="Arial" w:cs="Arial" w:eastAsia="Arial" w:hAnsi="Arial"/>
                <w:sz w:val="13"/>
                <w:szCs w:val="13"/>
                <w:b w:val="1"/>
                <w:bCs w:val="1"/>
                <w:color w:val="auto"/>
                <w:w w:val="93"/>
              </w:rPr>
              <w:t>Conversion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6"/>
        </w:trPr>
        <w:tc>
          <w:tcPr>
            <w:tcW w:w="2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43"/>
              <w:spacing w:after="0" w:line="126" w:lineRule="exact"/>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80"/>
              <w:spacing w:after="0" w:line="126"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0"/>
                <w:szCs w:val="10"/>
                <w:color w:val="auto"/>
              </w:rPr>
            </w:pPr>
          </w:p>
        </w:tc>
        <w:tc>
          <w:tcPr>
            <w:tcW w:w="7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85"/>
              </w:rPr>
              <w:t>Purchases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w w:val="97"/>
              </w:rPr>
              <w:t>Security from</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23"/>
              <w:spacing w:after="0" w:line="126" w:lineRule="exact"/>
              <w:rPr>
                <w:sz w:val="20"/>
                <w:szCs w:val="20"/>
                <w:color w:val="auto"/>
              </w:rPr>
            </w:pPr>
            <w:r>
              <w:rPr>
                <w:rFonts w:ascii="Arial" w:cs="Arial" w:eastAsia="Arial" w:hAnsi="Arial"/>
                <w:sz w:val="13"/>
                <w:szCs w:val="13"/>
                <w:b w:val="1"/>
                <w:bCs w:val="1"/>
                <w:color w:val="auto"/>
                <w:w w:val="87"/>
              </w:rPr>
              <w:t>Fair Value at</w:t>
            </w:r>
          </w:p>
        </w:tc>
      </w:tr>
      <w:tr>
        <w:trPr>
          <w:trHeight w:val="162"/>
        </w:trPr>
        <w:tc>
          <w:tcPr>
            <w:tcW w:w="2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3/31/2016</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0"/>
              </w:rPr>
              <w:t>Gains (Losses)</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Investments</w:t>
            </w:r>
            <w:r>
              <w:rPr>
                <w:rFonts w:ascii="Arial" w:cs="Arial" w:eastAsia="Arial" w:hAnsi="Arial"/>
                <w:sz w:val="14"/>
                <w:szCs w:val="14"/>
                <w:b w:val="1"/>
                <w:bCs w:val="1"/>
                <w:color w:val="auto"/>
                <w:w w:val="86"/>
                <w:vertAlign w:val="superscript"/>
              </w:rPr>
              <w:t>1</w:t>
            </w:r>
          </w:p>
        </w:tc>
        <w:tc>
          <w:tcPr>
            <w:tcW w:w="14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7"/>
              </w:rPr>
              <w:t>Repayments</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Divestitures</w:t>
            </w: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5"/>
              </w:rPr>
              <w:t>Debt to Equity</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23"/>
              <w:spacing w:after="0"/>
              <w:rPr>
                <w:sz w:val="20"/>
                <w:szCs w:val="20"/>
                <w:color w:val="auto"/>
              </w:rPr>
            </w:pPr>
            <w:r>
              <w:rPr>
                <w:rFonts w:ascii="Arial" w:cs="Arial" w:eastAsia="Arial" w:hAnsi="Arial"/>
                <w:sz w:val="13"/>
                <w:szCs w:val="13"/>
                <w:b w:val="1"/>
                <w:bCs w:val="1"/>
                <w:color w:val="auto"/>
                <w:w w:val="89"/>
              </w:rPr>
              <w:t>3/31/2017</w:t>
            </w:r>
          </w:p>
        </w:tc>
      </w:tr>
      <w:tr>
        <w:trPr>
          <w:trHeight w:val="196"/>
        </w:trPr>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First lien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39,491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102,159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(36,165)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107,817</w:t>
            </w:r>
          </w:p>
        </w:tc>
      </w:tr>
      <w:tr>
        <w:trPr>
          <w:trHeight w:val="203"/>
        </w:trPr>
        <w:tc>
          <w:tcPr>
            <w:tcW w:w="2780" w:type="dxa"/>
            <w:vAlign w:val="bottom"/>
            <w:gridSpan w:val="2"/>
          </w:tcPr>
          <w:p>
            <w:pPr>
              <w:spacing w:after="0"/>
              <w:rPr>
                <w:sz w:val="20"/>
                <w:szCs w:val="20"/>
                <w:color w:val="auto"/>
              </w:rPr>
            </w:pPr>
            <w:r>
              <w:rPr>
                <w:rFonts w:ascii="Arial" w:cs="Arial" w:eastAsia="Arial" w:hAnsi="Arial"/>
                <w:sz w:val="16"/>
                <w:szCs w:val="16"/>
                <w:color w:val="auto"/>
              </w:rPr>
              <w:t>Second lien loans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38,227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17,229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(7,050)</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(2,507)</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47,176</w:t>
            </w:r>
          </w:p>
        </w:tc>
      </w:tr>
      <w:tr>
        <w:trPr>
          <w:trHeight w:val="20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12,453</w:t>
            </w:r>
          </w:p>
        </w:tc>
      </w:tr>
      <w:tr>
        <w:trPr>
          <w:trHeight w:val="203"/>
        </w:trPr>
        <w:tc>
          <w:tcPr>
            <w:tcW w:w="2780" w:type="dxa"/>
            <w:vAlign w:val="bottom"/>
            <w:gridSpan w:val="2"/>
          </w:tcPr>
          <w:p>
            <w:pPr>
              <w:spacing w:after="0"/>
              <w:rPr>
                <w:sz w:val="20"/>
                <w:szCs w:val="20"/>
                <w:color w:val="auto"/>
              </w:rPr>
            </w:pPr>
            <w:r>
              <w:rPr>
                <w:rFonts w:ascii="Arial" w:cs="Arial" w:eastAsia="Arial" w:hAnsi="Arial"/>
                <w:sz w:val="16"/>
                <w:szCs w:val="16"/>
                <w:color w:val="auto"/>
              </w:rPr>
              <w:t>Preferred equity</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19,343</w:t>
            </w:r>
          </w:p>
        </w:tc>
      </w:tr>
      <w:tr>
        <w:trPr>
          <w:trHeight w:val="20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equity &amp; warrants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(7,955)</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36,696</w:t>
            </w:r>
          </w:p>
        </w:tc>
      </w:tr>
      <w:tr>
        <w:trPr>
          <w:trHeight w:val="203"/>
        </w:trPr>
        <w:tc>
          <w:tcPr>
            <w:tcW w:w="2780" w:type="dxa"/>
            <w:vAlign w:val="bottom"/>
            <w:gridSpan w:val="2"/>
          </w:tcPr>
          <w:p>
            <w:pPr>
              <w:spacing w:after="0"/>
              <w:rPr>
                <w:sz w:val="20"/>
                <w:szCs w:val="20"/>
                <w:color w:val="auto"/>
              </w:rPr>
            </w:pPr>
            <w:r>
              <w:rPr>
                <w:rFonts w:ascii="Arial" w:cs="Arial" w:eastAsia="Arial" w:hAnsi="Arial"/>
                <w:sz w:val="16"/>
                <w:szCs w:val="16"/>
                <w:color w:val="auto"/>
              </w:rPr>
              <w:t>Total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142,099</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12,589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122,534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(43,275)</w:t>
            </w:r>
          </w:p>
        </w:tc>
        <w:tc>
          <w:tcPr>
            <w:tcW w:w="140" w:type="dxa"/>
            <w:vAlign w:val="bottom"/>
          </w:tcPr>
          <w:p>
            <w:pPr>
              <w:spacing w:after="0"/>
              <w:rPr>
                <w:sz w:val="17"/>
                <w:szCs w:val="17"/>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0"/>
              </w:rPr>
              <w:t>$ (10,462)</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223,485</w:t>
            </w:r>
          </w:p>
        </w:tc>
      </w:tr>
      <w:tr>
        <w:trPr>
          <w:trHeight w:val="108"/>
        </w:trPr>
        <w:tc>
          <w:tcPr>
            <w:tcW w:w="22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85" w:lineRule="exact"/>
        <w:rPr>
          <w:sz w:val="20"/>
          <w:szCs w:val="20"/>
          <w:color w:val="auto"/>
        </w:rPr>
      </w:pPr>
    </w:p>
    <w:p>
      <w:pPr>
        <w:ind w:left="320" w:hanging="317"/>
        <w:spacing w:after="0"/>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Includes purchases of new investments, as well as discount accretion on existing investments.</w:t>
      </w:r>
    </w:p>
    <w:p>
      <w:pPr>
        <w:spacing w:after="0" w:line="19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total net unrealized gains (excluding reversals) included in earnings that related to assets still held at the report date for the years ended March 31, 2018 and 2017 were $22.0 million and $12.5 million, respectively.</w:t>
      </w:r>
    </w:p>
    <w:p>
      <w:pPr>
        <w:spacing w:after="0" w:line="170" w:lineRule="exact"/>
        <w:rPr>
          <w:sz w:val="20"/>
          <w:szCs w:val="20"/>
          <w:color w:val="auto"/>
        </w:rPr>
      </w:pPr>
    </w:p>
    <w:p>
      <w:pPr>
        <w:ind w:left="360" w:hanging="357"/>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BORROWINGS</w:t>
      </w:r>
    </w:p>
    <w:p>
      <w:pPr>
        <w:spacing w:after="0" w:line="22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In accordance with the 1940 Act, with certain limitations, the Company is only allowed to borrow amounts such that its asset coverage, calculated pursuant to the 1940 Act, is at least 200% (or, pursuant to recent legislation, 150% if certain requirements are met as described in the Business Section under “Regulation as a Business Development Company-Senior Securities”) after such borrowing. As of March 31, 2018, the Company’s asset coverage was 416%.</w:t>
      </w:r>
    </w:p>
    <w:p>
      <w:pPr>
        <w:spacing w:after="0" w:line="17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Company had the following borrowings outstanding as of March 31, 2018 and March 31, 2017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March 31, 2018</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December 2022 Notes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and debt discount</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Notes</w:t>
            </w: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55,305</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In August 2016, CSWC entered into a senior secured credit facility (as amended, restated, supplemented or otherwise modified from time to time, the “Credit Facility”) to provide additional liquidity to support its investment and operational activities, which included total commitments of $100.0 million. The Credit Facility contained an accordion feature that allowed CSWC to increase the total commitments under the facility up to $150.0 million from new and existing</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lenders on the same terms and conditions as the existing commitments. In August 2017, we increased our total commitments by $15 million through adding an additional lender using the accordion feature.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November 16, 2017, CSWC entered into Amendment No. 1 (the “Amendment”) to its Credit Facility. Prior to the Amendment, borrowings under the Credit Facility accrued interest on a per annum basis at a rate equal to the applicable LIBOR rate plus 3.25% with no LIBOR floor. CSWC paid unused commitment fees of 0.50% to 1.50% per annum, based on utilization, on the unused lender commitments under the Credit Facility. The Amendment (1) increased the total borrowing capacity under the Credit Facility to $180 million, with commitments from a diversified group of eight lenders, (2) increased the Credit Facility’s accordion feature that allows for an increase in total commitments of up to $250 million under the Credit Facility from new and existing lenders on the same terms and conditions as the existing commitments, (3) reduced the interest rate on borrowings to LIBOR plus 3.00%, with a step-down to LIBOR plus 2.75% at the time the Company’s net worth exceeds $325 million, (4) reduced unused commitment fees to a range from 0.50% to 1.0% per annum based on utilization, and (5) extended the Credit Facility’s revolving period that ended on August 30, 2019 through November 16, 2020. Additionally, the final maturity of the Credit Facility was extended from August 30, 2020 to November 16, 2021. Subsequent to March 31, 2018, on April 16, 2018 and May 11, 2018, CSWC entered into Incremental Assumption Agreements, which increased the total commitments under the Credit Facility by $20 million and $10 million, respectively. The increases were executed under the accordion feature of the Credit Facility and increased total commitments from $180 million to $210 million.</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Credit Facility contains certain affirmative and negative covenants, including but not limited to: (1) certain reporting requirements, (2) maintaining RIC and BDC status, (3) maintaining a minimum shareholders’ equity, (4) maintaining a minimum consolidated net worth, (5) maintaining an asset coverage of not less than 200%, (6) maintaining a consolidated interest coverage ratio of at least 2.5 to 1.0, and (7) at any time the outstanding advances exceed 90% of the borrowing base, maintaining a minimum liquidity of not less than 10% of the covered debt amount.</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Credit Facility also contains customary events of default, including, without limitation, nonpayment, misrepresentation of representations and warranties in a material respect, breach of covenant, bankruptcy, and change of control, with customary cure and notice provisions. If the Company defaults on its obligations under the Credit Facility, the lenders may have the right to foreclose upon and sell, or otherwise transfer, the collateral subject to their security interests. There are no changes to the covenants or the events of default in the Credit Facility as a result of the Amendment.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Facility is secured by (1) substantially all of the present and future property and assets of the Company and the guarantors and (2) 100% of the equity interests in the Company’s wholly-owned subsidiaries. As of March 31, 2018, substantially all of the Company’s assets were pledged as collateral for the Credit Facility.</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March 31, 2018, CSWC had $40.0 million in borrowings outstanding under the Credit Facility. CSWC recognized interest expense related to the Credit Facility, including unused commitment fees and amortization of deferred loan costs of $3.7 million and $1.0 million, respectively, for the years ended March 31, 2018 and 2017. The weighted average interest rate on the Credit Facility was 4.66% and 4.28%, respectively, for the years ended March 31, 2018 and 2017. Average borrowings for the years ended March 31, 2018 and 2017 were $42.2 million and $17.8 million, respectively. As of March 31, 2018, CSWC was in compliance with all financial covenants under the Credit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2022 Notes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2017, the Company issued $57.5 million in aggregate principal amount, including the underwriters’ full exercise of their option to purchase additional principal amounts to cover over-allotments, of 5.95% Notes due 2022 (the “December 2022 Notes”). The December 2022 Notes mature on December 15, 2022 and may be redeemed in whole or in part at any time, or from time to time, at the Company’s option on or after December 15, 2019. The December 2022 Notes bear interest at a rate of 5.95% per year, payable quarterly on March 15, June 15, September 15 and December 15 of each year, beginning on March 15, 2018. The December 2022 Notes are an unsecured obligation, rank pari passu with our other outstanding and future unsecured unsubordinated indebtedness and are effectively subordinated to all of our existing and future secured indebtedness, including borrowings under our Credit Facility.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2018, the carrying amount of the December 2022 Notes was $55.3 million. As of March 31,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2018, the fair value of the December 2022 Notes was $58.4 million. The fair value is based on the closing price of the security of The Nasdaq Global Select Market, which is a Level 1 input under ASC 820. The Company recognized interest expense related to the December 2022 Notes, including amortization of deferred issuance costs, of $1.2 million for the year ended March 31, 2018.</w:t>
      </w:r>
    </w:p>
    <w:p>
      <w:pPr>
        <w:spacing w:after="0" w:line="18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7"/>
          <w:szCs w:val="17"/>
          <w:color w:val="auto"/>
        </w:rPr>
        <w:t>The indenture governing the December 2022 Notes contains certain covenants including but not limited to (i) a requirement that the Company comply with the asset coverage requirement of Section 61 of the 1940 Act or any successor provisions thereto, after giving effect to any exemptive relief granted to the Company by the Securities and Exchange Commission (“SEC”), (ii) a requirement, subject to limited exception, that the Company will not declare any cash dividend, or declare any other cash distribution, upon a class of its capital stock, or purchase any such capital stock, unless, in every such case, at the time of the declaration of any such dividend or distribution, or at the time of any such purchase, the Company has the minimum asset coverage required pursuant to Section 61 of the 1940 Act or any successor provisions thereto after deducting the amount of such dividend, distribution or purchase price, as the case may be, giving effect to any exemptive relief granted to the Company by the SEC and (iii) a requirement to provide financial information to the holders of the December 2022 Notes and the trustee under the indenture if the Company should no longer be subject to the reporting requirements under the Securities Exchange Act of 1934, as amended. The indenture and supplement relating to the December 2022 Notes also provides for customary events of default. As of March 31, 2018, the Company was in compliance with all covenants of the December 2022 Notes.</w:t>
      </w:r>
    </w:p>
    <w:p>
      <w:pPr>
        <w:spacing w:after="0" w:line="188" w:lineRule="exact"/>
        <w:rPr>
          <w:sz w:val="20"/>
          <w:szCs w:val="20"/>
          <w:color w:val="auto"/>
        </w:rPr>
      </w:pPr>
    </w:p>
    <w:p>
      <w:pPr>
        <w:ind w:left="360" w:hanging="357"/>
        <w:spacing w:after="0"/>
        <w:tabs>
          <w:tab w:leader="none" w:pos="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We have elected to be treated as a RIC under Subchapter M of the IRC and have a tax year end of December 31. In order to qualify as a RIC, we must annually distribute at least 90% of our investment company taxable income, as defined by the IRC, to our shareholders in a timely manner. Investment company income generally includes net short-term capital gains but excludes net long-term capital gains. A RIC is not subject to federal income tax on the portion of its ordinary income and long-term capital gains that is distributed to its shareholders, including “deemed distributions” as discussed below. As part of maintaining RIC status, undistributed taxable income, which is subject to a 4% non-deductible U.S. federal excise tax, pertaining to a given fiscal year may be distributed up to 12 months subsequent to the end of that fiscal year, provided such dividends are declared on or prior to the later of (1) the filing of the U.S federal income tax return for the applicable fiscal year or (2) the fifteenth day of the ninth month following the close of the year in which such taxable income was generated.</w:t>
      </w:r>
    </w:p>
    <w:p>
      <w:pPr>
        <w:spacing w:after="0" w:line="17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the tax years ended December 31, 2017, 2016 and 2015, CSWC qualified to be taxed as a RIC. We intend to meet the applicable qualifications to be taxed as a RIC in future periods. However, the company’s ability to meet certain portfolio diversification requirements of RICs in future years may not be controllable by the company.</w:t>
      </w:r>
    </w:p>
    <w:p>
      <w:pPr>
        <w:spacing w:after="0" w:line="166"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We have distributed or intend to distribute sufficient dividends to eliminate taxable income for our completed tax years. If we fail to satisfy the 90% distribution requirement or otherwise fail to qualify as a RIC in any tax year, we would be subject to tax in that year on all of our taxable income, regardless of whether we made any distributions to our shareholders. During the quarter ended March 31, 2018, CSWC declared regular dividends in the amount of $4.5 million, or $0.28 per share. During the tax year ended December 31, 2017, we declared total dividends of $18.3 million or $1.16 per share. We declared quarterly dividends of $0.45 ($0.19 in regular dividends and $0.26 in supplemental dividends) in March 2017, $0.21 in June 2017, $0.24 in September 2017, and $0.26 in December 2017. For the tax year ended December 31, 2016, we declared total dividends of $6.0 million or $0.38 per share. We declared quarterly dividends of $0.04 per share in March 2016, $0.06 per share in June 2016, $0.11 per share in September 2016, and $0.17 per share in December 2016. For the tax year ended December 31, 2015, we declared total dividends of $1.5 million, or $0.10 per share, in May 2015.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Book and tax basis differences relating to stockholder dividends and distributions and other permanent book and tax differences are typically reclassified among the CSWC’s capital accounts. In addition, the character of income and gains to be distributed is determined in accordance with income tax regulations that may differ from GAAP; accordingly for the fiscal years ended March 31, 2018 and 2017, CSWC reclassified for book purposes amounts arising from permanent book/tax differences related to the tax treatment of return of capital and/or deemed distributions, tax treatment of investments upon disposition, and non-deductible expenses,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Year ended</w:t>
            </w:r>
          </w:p>
        </w:tc>
      </w:tr>
      <w:tr>
        <w:trPr>
          <w:trHeight w:val="171"/>
        </w:trPr>
        <w:tc>
          <w:tcPr>
            <w:tcW w:w="4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March 31, 2018</w:t>
            </w:r>
          </w:p>
        </w:tc>
        <w:tc>
          <w:tcPr>
            <w:tcW w:w="1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2017</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capital</w:t>
            </w:r>
          </w:p>
        </w:tc>
        <w:tc>
          <w:tcPr>
            <w:tcW w:w="1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Accumulated net investment (income) loss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determination of the tax attributes of CSWC’s distributions is made after tax year end, based upon its taxable income for the full tax year and distributions paid for the full tax year. Therefore, the determination of tax attributes made on an interim basis for fiscal year end may not be representative of the actual tax attributes determined at tax year end.</w:t>
      </w:r>
    </w:p>
    <w:p>
      <w:pPr>
        <w:spacing w:after="0" w:line="14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For tax purposes, the 2017 dividends totaled $1.16 per share and were comprised of (1) ordinary income totaling approximately $0.643 per share, (2) long term capital gains totaling approximately $0.324 per share, and (3) qualified dividend income totaling approximately $0.193 per share. In addition, 88.35% of each of the ordinary distributions represent interest-related dividends and 10.76% of each of the distributions represents short-term capital gains dividends. 94.54% of total distributions represent the portion of CSWC’s dividends received by non-U.S. residents and foreign corporation shareholders that are generally exempt from U.S. withholding tax. Of the qualified dividends of $3.5 million, 23.13% are eligible for the dividends received deduction. For tax purposes, the 2016 dividends totaled $0.38 per share and were comprised of (1) ordinary income totaling approximately $0.065 per share, (2) long term capital gains totaling approximately $0.28 per share, and (3) qualified dividend income totaling approximately $0.035 per share. In addition, 19.75% of total distributions are considered an interest-related dividend and 97.78% of total distributions represent the portion of CSWC’s dividends received by non-U.S. residents and foreign corporation shareholders that are generally exempt from U.S. withholding tax. Of the qualified dividends of $0.5 million, 34.65% are eligible for the dividends received deduction.</w:t>
      </w:r>
    </w:p>
    <w:p>
      <w:pPr>
        <w:spacing w:after="0" w:line="16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Ordinary dividend distributions from a RIC do not qualify for the 20% maximum tax rate (plus a 3.8% Medicare surtax, if applicable) on dividend income from domestic corporations and qualified foreign corporations, except to the extent that the RIC received the income in the form of qualifying dividends from domestic corporations and qualified foreign corporations. The tax attributes for distributions will generally include both ordinary income and capital gains, but may also include qualified dividends or return of capital.</w:t>
      </w:r>
    </w:p>
    <w:p>
      <w:pPr>
        <w:spacing w:after="0" w:line="18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tax character of distributions paid for the tax years ended December 31, 2017 and 2016 was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Twelve Months Ended December 31,</w:t>
            </w:r>
          </w:p>
        </w:tc>
      </w:tr>
      <w:tr>
        <w:trPr>
          <w:trHeight w:val="171"/>
        </w:trPr>
        <w:tc>
          <w:tcPr>
            <w:tcW w:w="228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1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income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16"/>
        </w:trPr>
        <w:tc>
          <w:tcPr>
            <w:tcW w:w="4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Distributions of long term capital gains</w:t>
            </w: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r>
      <w:tr>
        <w:trPr>
          <w:trHeight w:val="217"/>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Distributions on tax basis</w:t>
            </w:r>
            <w:r>
              <w:rPr>
                <w:rFonts w:ascii="Arial" w:cs="Arial" w:eastAsia="Arial" w:hAnsi="Arial"/>
                <w:sz w:val="8"/>
                <w:szCs w:val="8"/>
                <w:color w:val="auto"/>
              </w:rPr>
              <w:t>1</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r>
      <w:tr>
        <w:trPr>
          <w:trHeight w:val="115"/>
        </w:trPr>
        <w:tc>
          <w:tcPr>
            <w:tcW w:w="2280" w:type="dxa"/>
            <w:vAlign w:val="bottom"/>
            <w:tcBorders>
              <w:bottom w:val="single" w:sz="8" w:color="auto"/>
            </w:tcBorders>
          </w:tcPr>
          <w:p>
            <w:pPr>
              <w:spacing w:after="0"/>
              <w:rPr>
                <w:sz w:val="10"/>
                <w:szCs w:val="10"/>
                <w:color w:val="auto"/>
              </w:rPr>
            </w:pPr>
          </w:p>
        </w:tc>
        <w:tc>
          <w:tcPr>
            <w:tcW w:w="2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85" w:lineRule="exact"/>
        <w:rPr>
          <w:sz w:val="20"/>
          <w:szCs w:val="20"/>
          <w:color w:val="auto"/>
        </w:rPr>
      </w:pPr>
    </w:p>
    <w:p>
      <w:pPr>
        <w:ind w:left="320" w:hanging="317"/>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only those distributions which reduce estimated taxable income.</w:t>
      </w:r>
    </w:p>
    <w:p>
      <w:pPr>
        <w:spacing w:after="0" w:line="24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of March 31, 2018, CSWC estimates that it has undistributed taxable income of approximately $10.9 million, or $0.67 per share, which includes $4.7 million of distributions related to prior year, that will be carried forward toward distributions to be paid in future periods. We intend to meet the applicable qualifications to be taxed as a RIC in future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reconciles net increase in assets resulting from operations to estimated RIC taxable income for the years ended March 31, 2018,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rPr>
              <w:t>Years ended March 31,</w:t>
            </w: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RIC Taxable Income</w:t>
            </w:r>
            <w:r>
              <w:rPr>
                <w:rFonts w:ascii="Arial" w:cs="Arial" w:eastAsia="Arial" w:hAnsi="Arial"/>
                <w:sz w:val="8"/>
                <w:szCs w:val="8"/>
                <w:b w:val="1"/>
                <w:bCs w:val="1"/>
                <w:color w:val="auto"/>
              </w:rPr>
              <w:t>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(16,089)</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Disallowed net operating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w w:val="97"/>
              </w:rPr>
              <w:t>(Expense/loss) income/gain recognized for tax on pass-through entities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recognized for tax on dispositions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Net operating loss - management company and taxable subsidiary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tax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book tax differences</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Estimated taxable income (loss) before deductions for distributions</w:t>
            </w: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20,152</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3" w:lineRule="exact"/>
              <w:rPr>
                <w:sz w:val="20"/>
                <w:szCs w:val="20"/>
                <w:color w:val="auto"/>
              </w:rPr>
            </w:pPr>
            <w:r>
              <w:rPr>
                <w:rFonts w:ascii="Arial" w:cs="Arial" w:eastAsia="Arial" w:hAnsi="Arial"/>
                <w:sz w:val="18"/>
                <w:szCs w:val="18"/>
                <w:color w:val="auto"/>
              </w:rPr>
              <w:t>Distributions</w:t>
            </w:r>
            <w:r>
              <w:rPr>
                <w:rFonts w:ascii="Arial" w:cs="Arial" w:eastAsia="Arial" w:hAnsi="Arial"/>
                <w:sz w:val="8"/>
                <w:szCs w:val="8"/>
                <w:color w:val="auto"/>
              </w:rPr>
              <w:t>2</w:t>
            </w: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Capital gains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distributions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Distributions payable</w:t>
            </w:r>
            <w:r>
              <w:rPr>
                <w:rFonts w:ascii="Arial" w:cs="Arial" w:eastAsia="Arial" w:hAnsi="Arial"/>
                <w:sz w:val="8"/>
                <w:szCs w:val="8"/>
                <w:color w:val="auto"/>
              </w:rPr>
              <w:t>2</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7"/>
        </w:trPr>
        <w:tc>
          <w:tcPr>
            <w:tcW w:w="5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Estimated RIC undistributed taxable income (loss)</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(21,525)</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7"/>
        <w:spacing w:after="0" w:line="220" w:lineRule="auto"/>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calculation of taxable income for each period is an estimate and will not be finally determined until the Company files its tax return each year. Final taxable income may be different than this estimate.</w:t>
      </w:r>
    </w:p>
    <w:p>
      <w:pPr>
        <w:spacing w:after="0" w:line="1" w:lineRule="exact"/>
        <w:rPr>
          <w:sz w:val="20"/>
          <w:szCs w:val="20"/>
          <w:color w:val="auto"/>
        </w:rPr>
      </w:pPr>
    </w:p>
    <w:p>
      <w:pPr>
        <w:ind w:left="320" w:hanging="317"/>
        <w:spacing w:after="0"/>
        <w:tabs>
          <w:tab w:leader="none" w:pos="3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only those distributions which reduce estimated taxable income.</w:t>
      </w:r>
    </w:p>
    <w:p>
      <w:pPr>
        <w:spacing w:after="0" w:line="23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March 31, 2018, 2017 and 2016, the components of estimated RIC accumulated earnings on a tax basis were as follows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Components of Accumulated Earnings on a Tax Basis</w:t>
            </w:r>
            <w:r>
              <w:rPr>
                <w:rFonts w:ascii="Arial" w:cs="Arial" w:eastAsia="Arial" w:hAnsi="Arial"/>
                <w:sz w:val="8"/>
                <w:szCs w:val="8"/>
                <w:b w:val="1"/>
                <w:bCs w:val="1"/>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Years ended 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Capital loss carryforward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realized gain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Unrealized appreciation on investments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Distributions payable</w:t>
            </w:r>
            <w:r>
              <w:rPr>
                <w:rFonts w:ascii="Arial" w:cs="Arial" w:eastAsia="Arial" w:hAnsi="Arial"/>
                <w:sz w:val="8"/>
                <w:szCs w:val="8"/>
                <w:color w:val="auto"/>
              </w:rPr>
              <w:t>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Components of distributable earnings at year-end</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19,425</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7"/>
        <w:spacing w:after="0" w:line="220" w:lineRule="auto"/>
        <w:tabs>
          <w:tab w:leader="none" w:pos="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calculation of taxable income for each period is an estimate and will not be finally determined until the Company files its tax return each year. Final taxable income may be different than this estimate.</w:t>
      </w:r>
    </w:p>
    <w:p>
      <w:pPr>
        <w:spacing w:after="0" w:line="1" w:lineRule="exact"/>
        <w:rPr>
          <w:sz w:val="20"/>
          <w:szCs w:val="20"/>
          <w:color w:val="auto"/>
        </w:rPr>
      </w:pPr>
    </w:p>
    <w:p>
      <w:pPr>
        <w:ind w:left="320" w:hanging="317"/>
        <w:spacing w:after="0"/>
        <w:tabs>
          <w:tab w:leader="none" w:pos="3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only those distributions which reduce estimated taxable income.</w:t>
      </w:r>
    </w:p>
    <w:p>
      <w:pPr>
        <w:spacing w:after="0" w:line="23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of March 31, 2018, the cost of investments for U.S. federal income tax purposes was $335.6 million, with such investments having a gross unrealized appreciation of $62.4 million and gross unrealized depreciation of $4.9 million.</w:t>
      </w:r>
    </w:p>
    <w:p>
      <w:pPr>
        <w:spacing w:after="0" w:line="124"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 RIC may elect to retain all or a portion of its long-term capital gains by designating them as a “deemed distribution” to its shareholders and paying a federal tax on the long-term capital gains for the benefit of its shareholders. Shareholders then report their share of the retained capital gains on their income tax returns as if it had been received and report a tax credit for tax paid on their behalf by the RIC. Shareholders then add the amount of the “deemed distribution” net of such tax to the basis of their shares. As a result of the Tax Reform, the federal tax rate for deemed distributions is 21% as of January 1,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For the tax years ended December 31, 2017 and 2016, we distributed all long-term capital gains and therefore had no deemed distributions to our shareholders or federal taxes incurred related to such items. During our tax year ended December 31, 2015, we had net long-term capital gains of $8.4 million for tax purposes, which we elected to retain and treat as deemed distributions to our shareholders. For the tax year ended December 31, 2015, we incurred federal taxes on behalf of our shareholders in the amount of $2.9 million.</w:t>
      </w:r>
    </w:p>
    <w:p>
      <w:pPr>
        <w:spacing w:after="0" w:line="188" w:lineRule="exact"/>
        <w:rPr>
          <w:sz w:val="20"/>
          <w:szCs w:val="20"/>
          <w:color w:val="auto"/>
        </w:rPr>
      </w:pPr>
    </w:p>
    <w:p>
      <w:pPr>
        <w:jc w:val="both"/>
        <w:ind w:right="20" w:firstLine="648"/>
        <w:spacing w:after="0" w:line="285" w:lineRule="auto"/>
        <w:rPr>
          <w:sz w:val="20"/>
          <w:szCs w:val="20"/>
          <w:color w:val="auto"/>
        </w:rPr>
      </w:pPr>
      <w:r>
        <w:rPr>
          <w:rFonts w:ascii="Arial" w:cs="Arial" w:eastAsia="Arial" w:hAnsi="Arial"/>
          <w:sz w:val="16"/>
          <w:szCs w:val="16"/>
          <w:color w:val="auto"/>
        </w:rPr>
        <w:t>CSMC, a wholly-owned subsidiary of CSWC, is not a RIC and is required to pay taxes at the current corporate rate. For tax purposes, CSMC has elected to be treated as a taxable entity, and therefore is not consolidated for tax purposes and is taxed at normal corporate tax rates based on its taxable income and, as a result of its activities, may generate income tax expense or benefit. The taxable income, or loss, of CSMC may differ from its book income, or loss, due to temporary book and tax timing differences and permanent differences. This income tax expense, or benefit, if any, and the related tax assets and liabilities, are reflected in our consolidated financial statements. CSMC records individual cash incentive award and bonus accruals on a quarterly basis. Deferred taxes related to the changes in the restoration plan, individual cash incentive award and bonus accruals are also recorded on a quarterly basis. A valuation allowance is provided against deferred tax assets when it is more likely than not that some portion or all of the deferred tax asset will not be realized. Establishing a valuation allowance of a deferred tax asset requires management to make estimates related to expectations of future taxable income. Estimates of future taxable income are based on forecasted cash flows from CSMC’s operations. As of March 31, 2018, CSMC had a deferred tax asset of approximately $2.1 million and a deferred tax liability of $0.2 million. During the year ended March 31, 2018, the deferred tax asset increased by approximately $0.1 million as a result of the Tax Reform. The deferred tax asset decreased by $1.2 million due to the reduction of the corporate tax rate to 21% and was offset by an increase of $1.3 million due to the release of the valuation allowance on our deferred tax asset. Our estimated taxable income increased due to the repeal of 162(m) qualified performance-based pay exemptions and the expansion of the definition of a “covered employee,” As of March 31, 2018, we believe that we will be able to utilize all $2.1 million of our deferred tax assets. We will continue to assess our ability to realize our existing deferred tax assets. As of March 31, 2017, CSMC had a deferred tax asset of $2.0 million.</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Based on our assessment of our unrecognized tax benefits, management believes that all benefits will be realized and they do not contain any uncertain tax positions. As a result of the Tax Reform, the corporate tax rate of CSMC is 21% as of January 1, 2018.</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significant components of the deferred tax assets and liabilities as of March 31, 2018 and 2017 (amounts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Years ended</w:t>
            </w:r>
          </w:p>
        </w:tc>
      </w:tr>
      <w:tr>
        <w:trPr>
          <w:trHeight w:val="142"/>
        </w:trPr>
        <w:tc>
          <w:tcPr>
            <w:tcW w:w="482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Pension liability</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(1,325)</w:t>
            </w: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deferred tax asset</w:t>
            </w:r>
          </w:p>
        </w:tc>
        <w:tc>
          <w:tcPr>
            <w:tcW w:w="2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7"/>
        </w:trPr>
        <w:tc>
          <w:tcPr>
            <w:tcW w:w="4820" w:type="dxa"/>
            <w:vAlign w:val="bottom"/>
          </w:tcPr>
          <w:p>
            <w:pPr>
              <w:ind w:left="220"/>
              <w:spacing w:after="0"/>
              <w:rPr>
                <w:sz w:val="20"/>
                <w:szCs w:val="20"/>
                <w:color w:val="auto"/>
              </w:rPr>
            </w:pPr>
            <w:r>
              <w:rPr>
                <w:rFonts w:ascii="Arial" w:cs="Arial" w:eastAsia="Arial" w:hAnsi="Arial"/>
                <w:sz w:val="18"/>
                <w:szCs w:val="18"/>
                <w:color w:val="auto"/>
              </w:rPr>
              <w:t>Total net deferred tax assets</w:t>
            </w:r>
          </w:p>
        </w:tc>
        <w:tc>
          <w:tcPr>
            <w:tcW w:w="24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referenced Net Operating Loss was generated in 2015 and expires in 2035.</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we have a wholly-owned taxable subsidiary, or the Taxable Subsidiary, which holds a portion of one or more of our portfolio investments that are listed on the Consolidated Schedule of Investments. The Taxable Subsidiary is consolidated for financial reporting purposes in accordance with U.S. GAAP, so that our consolidated financial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statements reflect our investments in the portfolio companies owned by the Taxable Subsidiary. The purpose of the Taxable Subsidiary is to permit us to hold certain interests in portfolio companies that are organized as limited liability companies, or LLCs (or other forms of pass-through entities) and still satisfy the RIC tax requirement that at least 90% of our gross income for federal income tax purposes must consist of qualifying investment income. Absent the Taxable Subsidiary, a proportionate amount of any gross income of a partnership or LLC (or other pass-through entity) portfolio investment would flow through directly to us. To the extent that our income did not consist of investment income, it could jeopardize our ability to qualify as a RIC and therefore cause us to incur significant amounts of corporate-level U.S. federal income taxes. Where interests in LLCs (or other pass-through entities) are owned by the Taxable Subsidiary, however, the income from those interests is taxed to the Taxable Subsidiary and does not flow through to us, thereby helping us preserve our RIC status and resultant tax advantages. The Taxable Subsidiary is not consolidated for U.S. federal income tax purposes and may generate income tax expense as a result of their ownership of the portfolio companies. This income tax expense, or benefit, and the related tax assets and liabilities, if any, are reflected in our Statement of Operations. As a result of the Tax Reform, the corporate tax rate of the Taxable Subsidiary is 21% as of January 1, 2018.</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income tax expense, or benefit, and the related tax assets and liabilities generated by CSWC, CSMC and the Taxable Subsidiary, if any, are reflected in CSWC’s consolidated financial statements. For the year ended March 31, 2018, we recognized total net income tax expense of $0.2 million, principally consisting of a $0.2 million accrual for excise tax on our estimated undistributed taxable income. For the year ended March 31, 2017, we recognized a total net income tax provision of $1.8 million, principally consisting of a provision for deferred U.S. federal income taxes relating to CSMC of $1.0 million, a $0.6 million accrual for excise tax on our estimated undistributed taxable income and $0.2 million relating to the Taxable Subsidiary. We also recognized a deferred tax provision of $0.3 million, which is primarily the result of the unrealized appreciation related to the portfolio investment held in the Taxable Subsidiary.</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Regarding the Tax Reform, the Company has completed all accounting and there are no items reported as provisional amounts. However, the Tax Reform accounting incorporates assumptions made based on the Company's current interpretation of the Tax Act and may change, possibly materially, as the Company completes the analysis and receives additional clarification and implementation guidance. In addition, changes in interpretations, assumptions, and guidance regarding the new tax legislation, as well as the potential for technical corrections to the Tax Reform, could have a material impact to the Company’s effective tax rate in future periods. Finally, given the significant complexity of the Tax Reform, current guidance from the U.S. Treasury about implementing the Tax Act and any related guidance from the SEC or the FASB may change, which may require us to refine the Company's estimates in the future.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believe our tax returns are correct, the final determination of tax examinations could be different from what was reported on the returns. In our opinion, we have made adequate tax provisions for years subject to examination. Generally, we are currently open to audit under the statute of limitations by the Internal Revenue Service as well as state taxing authorities for the years ended December 31, 2014 through 2017.</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significant components of the income tax expense as of March 31, 2018, 2017 and 2016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Income Tax Expense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tcPr>
          <w:p>
            <w:pPr>
              <w:jc w:val="right"/>
              <w:ind w:right="25"/>
              <w:spacing w:after="0"/>
              <w:rPr>
                <w:sz w:val="20"/>
                <w:szCs w:val="20"/>
                <w:color w:val="auto"/>
              </w:rPr>
            </w:pPr>
            <w:r>
              <w:rPr>
                <w:rFonts w:ascii="Arial" w:cs="Arial" w:eastAsia="Arial" w:hAnsi="Arial"/>
                <w:sz w:val="14"/>
                <w:szCs w:val="14"/>
                <w:b w:val="1"/>
                <w:bCs w:val="1"/>
                <w:color w:val="auto"/>
              </w:rPr>
              <w:t>Years ended March 31,</w:t>
            </w: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162(m) limitation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Excise tax</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related to Taxable Subsidiary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Prior year deferred tax true-up</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Compensation benefits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8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1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hanging="357"/>
        <w:spacing w:after="0"/>
        <w:tabs>
          <w:tab w:leader="none" w:pos="3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sales of the Company’s equity securities for the years ended March 31, 2018 and 2017.</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26, 2010, we received an exemptive order from the SEC permitting us to issue restricted stock to our executive officers and certain key employees, or the Original Order. On August 22, 2017, we received the Exemptive Order that supersedes the Original Order and in addition to the relief granted under the Original Order, allows us to withhold shares to satisfy tax withholding obligations related to the vesting of restricted stock granted pursuant to the 2010 Restricted Stock Award Plan, or the 2010 Plan, and to pay the exercise price of options to purchase shares of our common stock granted pursuant to the 2009 Stock Incentive Plan, or the 2009 Plan. During the year ended March 31, 2018, the Company repurchased 5,080 shares at an aggregate cost of approximately $0.1 million and a weighted average price per share of $16.78 in connection with the vesting of restricted stock awards. During the year ended March 31, 2017, the Company did not repurchase any shares in connection with the vesting of restricted stock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1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In January 2016, the Company’s Board of Directors approved a share repurchase program authorizing the Company to repurchase up to $10 million of its outstanding common stock in the open market at certain thresholds below its NAV per share, in accordance with guidelines specified in Rules 10b5-1(c)(1)(i)(B) and 10b-18 under the Securities Exchange Act of 1934. On March 1, 2016, the Company entered into a share repurchase agreement with Cantor Fitzgerald &amp; Co. This agreement became effective immediately and shall terminate on the earliest of: (1) the date on which a total of $10 million worth of common shares have been purchased under the plan; (2) the date on which the terms set forth in the purchase instructions have been met; or (3) the date that is one trading day after the date on which insider notifies broker in writing that this agreement shall terminate.</w:t>
      </w:r>
    </w:p>
    <w:p>
      <w:pPr>
        <w:spacing w:after="0" w:line="12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During the year ended March 31, 2018, the Company had repurchased a total of 35,911 shares at an average price of $16.37 per share, including commissions paid, leaving approximately $9.4 million available for additional repurchases under the program. During the year ended March 31, 2017, the Company did not repurchase any shares of the Company’s common stock under the share repurchase program. The following table summarizes the Company’s share repurchases under the program for the years ended March 31, 2018 and 2017: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Repurchases of Common Stock</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Year Ended March 31,</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Cost of shares repurchased, including commissions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587,772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price per share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asset value per share at prior quarter end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to prior quarter net asset value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hanging="357"/>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SPIN-OFF COMPENSATION PLAN</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On August 28, 2014, CSWC’s Board of Directors adopted a compensation plan (the “Spin-off Compensation Plan”) consisting of grants of nonqualified stock options, restricted stock and cash incentive awards to certain officers of the Company at the time. The Spin-off Compensation Plan was intended to align the compensation of the Company’s key officers with the Company’s strategic objective of increasing the market value of the Company’s shares through a transformative transaction for the benefit of the Company’s shareholders. Under the Spin-Off Compensation Plan, Joseph B. Armes, former Chief Executive Officer of the Company, Kelly Tacke, former Chief Financial Officer of the Company, and Bowen S. Diehl, former Chief Investment Officer and current Chief Executive Officer of the company, were collectively as a group eligible to receive an amount equal to six percent of the aggregate appreciation in the Company’s share price from August 28, 2014 (using a base price of $36.16 per share) to the date 90 days after the completion of a transformative transaction (the “Trigger Event Date”). The first plan component consisted of nonqualified options awarded to purchase an aggregate of 259,000 shares of common stock at an exercise price of $36.60 per share. The second plan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component consisted of an aggregate of 127,000 shares of restricted stock, which have voting rights but do not have cash dividend rights. See Note 9 for further discussion on the first two components of the Spin-off Compensation Plan. The final plan component consisted of cash incentive payments awarded to each participant in an amount equal to the excess of each awardee’s allocable portion of the total payment amount over the aggregate value as of the Trigger Event Date of the awardee’s restricted common stock and nonqualified options awarded under the Spin-off Compensation Plan.</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8, 2015, the Board designated the Share Distribution as a transformative transaction for purposes of the Spin-off Compensation Plan and amended the award agreements granted under the plan to provide for accelerated vesting of the awards held by a participant in the event of a termination of that participant’s service effected by the participant for good reason, by the employer without cause, or as a result of the disability or death of the participant. On September 30, 2015, we completed the Share Distribution.</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Effective immediately with the Share Distribution, both Joseph B. Armes and Kelly Tacke became employees of CSWI and Bowen Diehl, our President and Chief Executive Officer, continued to be an employee of our Company. The Company entered into the Employee Matters Agreement with CSWI. Under the Employee Matters Agreement, we retained the cash incentive awards granted under the Spin-off Compensation Plan, and all liabilities with respect to the cash incentive awards remained liabilities of CSWC. The equity based awards vesting terms were as follows: (1) 1/3 on December 29, 2015; (2) 1/3 on December 29, 2016; and (3) 1/3 on December 29, 2017, subject to accelerated vesting as described above.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total value accretion was six percent of the aggregate appreciation in the Company’s share price from $36.16 to the combined volume-weighted average prices of both CSWC and CSWI stock as of December 29, 2015. The cash component of the Spin-off Compensation Plan was the difference between the total value accretion and the aggregate value of the awardee’s restricted common stock and non-qualified option awards under the Spin-Off Compensation Plan. The total cash liabilities for three participants under the plan totaled $6.1 million. The final payment of $1.4 million was fully vested on December 29, 2017, and was subsequently paid out in January 2018. As of March 31, 2018, there is no remaining unrecognized expense related to the Spin-off Compensation Plan.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both the years ended March 31, 2018 and 2017, we recognized the cash component of spin-off compensation expense of $0.7 million, which represented the cash component of spin-off compensation for our current employee. During the years ended March 31, 2018 and 2017, we recorded $0.5 million and $1.9 million, respectively, directly to additional capital for the cash component of the spin-off compensation related to the two employees who transferred to CSWI, of which $1.3 million was paid to Kelly Tacke during the year ended March 31, 2017 upon her separation from CSWI. As of March 31, 2018, there is no remaining unrecognized expense related to the cash component of the Spin-Off Compensation Plan.</w:t>
      </w:r>
    </w:p>
    <w:p>
      <w:pPr>
        <w:spacing w:after="0" w:line="165" w:lineRule="exact"/>
        <w:rPr>
          <w:sz w:val="20"/>
          <w:szCs w:val="20"/>
          <w:color w:val="auto"/>
        </w:rPr>
      </w:pPr>
    </w:p>
    <w:p>
      <w:pPr>
        <w:ind w:left="360" w:hanging="357"/>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EMPLOYEE STOCK BASED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16" w:lineRule="exact"/>
        <w:rPr>
          <w:sz w:val="20"/>
          <w:szCs w:val="20"/>
          <w:color w:val="auto"/>
        </w:rPr>
      </w:pPr>
    </w:p>
    <w:p>
      <w:pPr>
        <w:jc w:val="both"/>
        <w:ind w:right="20" w:firstLine="648"/>
        <w:spacing w:after="0" w:line="211" w:lineRule="auto"/>
        <w:rPr>
          <w:sz w:val="20"/>
          <w:szCs w:val="20"/>
          <w:color w:val="auto"/>
        </w:rPr>
      </w:pPr>
      <w:r>
        <w:rPr>
          <w:rFonts w:ascii="Arial" w:cs="Arial" w:eastAsia="Arial" w:hAnsi="Arial"/>
          <w:sz w:val="18"/>
          <w:szCs w:val="18"/>
          <w:color w:val="auto"/>
        </w:rPr>
        <w:t>Pursuant to the Capital Southwest Corporation 2010 Plan, our Board of Directors originally reserved 188,000 shares of restricted stock for issuance to certain of our employees. At our annual shareholder meeting in August 2015, our shareholders approved an increase of an additional 450,000 shares to our 2010 Plan. A restricted stock award is an award of shares of our common stock, which generally have full voting and dividend rights but are restricted with regard to sale or transfer. Restricted stock awards are independent of stock grants and are generally subject to forfeiture if employment terminates prior to these restrictions lapsing. Unless otherwise specified in the award agreement, these shares vest in equal annual installments over a four to five-year period from the grant date and are expensed over the vesting period starting on the grant date.</w:t>
      </w:r>
    </w:p>
    <w:p>
      <w:pPr>
        <w:spacing w:after="0" w:line="124"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6"/>
          <w:szCs w:val="16"/>
          <w:color w:val="auto"/>
        </w:rPr>
        <w:t>On August 28, 2014, our Board of Directors amended the 2010 Plan, as permitted pursuant to Section 14 of the 2010 Plan (the “First Amendment to the 2010 Plan”). The First Amendment to the 2010 Plan provides that an award agreement may allow an award to remain outstanding after a spin-off or change in control of one or more wholly-owned subsidiaries of the Company. In addition, on August 28, 2014, the Board of Directors granted 127,000 shares of restricted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stock under the Spin-Off Compensation Plan. On August 10, 2015, the Second Amendment to the 2010 Plan increased the number of shares of Company common stock available for issuance by 450,000 shares.</w:t>
      </w:r>
    </w:p>
    <w:p>
      <w:pPr>
        <w:spacing w:after="0" w:line="1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August 22, 2017, we received the Exemptive Order from the SEC that supersedes the Original Order and, in addition to the relief granted under the Original Order, allows the Company to withhold shares to satisfy tax withholding obligations related to the vesting of restricted stock granted pursuant to the 2010 Plan. The Third Amendment to the 2010 Plan, which became effective on August 22, 2017, reflects amendments relating to the Exemptive Order.</w:t>
      </w:r>
    </w:p>
    <w:p>
      <w:pPr>
        <w:spacing w:after="0" w:line="11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On September 30, 2015, we completed the Share Distribution. Each holder of an outstanding Capital Southwest Restricted Stock Award immediately prior to the Share Distribution received, as of the effective date of the Share Distribution, a CSWI Restricted Stock Award for the number of CSWI Shares the holder would have received if the outstanding Capital Southwest Restricted Stock Award was comprised of fully vested Capital Southwest Shares as of the effective date.</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vesting terms for restricted stock awards previously granted under the Spin-off Compensation Plan are as follows: (1) one-third on December 29, 2015; (2) one-third on December 29, 2016; and (3) one-third on December 29, 2017, subject to accelerated vesting as described above. As of March 31, 2018, there is no remaining unrecognized expense related to the Spin-off Compensation Plan.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restricted stock available for issuance for the year ended March 31, 2018:</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available for issuance as of March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190,502</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Additional restricted stock approved under the plan</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granted during the year ended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(185,725)</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forfeited during the year ended March 31, 2018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available for issuance as of March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expense the cost of the restricted stock awards, which is determined to equal the fair value of the restricted stock award at the date of grant, on a straight-line basis over the requisite service period. For these purposes, the fair value of the restricted stock award is determined based upon the closing price of our common stock on the date of the grant. Due to the Share Distribution, the Company evaluated (1) the value of the CSWC stock awards prior to the Share Distribution and (2) the combined value of CSWC and CSWI stock awards following the Share Distribution and recorded additional incremental stock based compensation expenses.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fiscal years ended March 31, 2018, 2017, and 2016 we recognized total share based compensation expense of $1.7 million, $1.0 million and $0.7 million, respectively, related to the restricted stock issued to our employees and officers.</w:t>
      </w:r>
    </w:p>
    <w:p>
      <w:pPr>
        <w:spacing w:after="0" w:line="16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As of March 31, 2018, the total remaining unrecognized compensation expense related to non-vested restricted stock awards was $5.1 million, which will be amortized over the weighted-average vesting period of approximately 2.9 years. Subsequent to the Share Distribution, the compensation expense related to non-vested awards held by employees who are now employed by CSWI is recorded by CSWI.</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restricted stock outstanding as of March 31, 2018:</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Weighted Average</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Awards</w:t>
            </w: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Fair Value Per</w:t>
            </w:r>
          </w:p>
        </w:tc>
        <w:tc>
          <w:tcPr>
            <w:tcW w:w="12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 Vesting</w:t>
            </w:r>
          </w:p>
        </w:tc>
        <w:tc>
          <w:tcPr>
            <w:tcW w:w="0" w:type="dxa"/>
            <w:vAlign w:val="bottom"/>
          </w:tcPr>
          <w:p>
            <w:pPr>
              <w:spacing w:after="0"/>
              <w:rPr>
                <w:sz w:val="1"/>
                <w:szCs w:val="1"/>
                <w:color w:val="auto"/>
              </w:rPr>
            </w:pPr>
          </w:p>
        </w:tc>
      </w:tr>
      <w:tr>
        <w:trPr>
          <w:trHeight w:val="171"/>
        </w:trPr>
        <w:tc>
          <w:tcPr>
            <w:tcW w:w="33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Share at grant date</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Term (in Years)</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March 31, 2016</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161,918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14.46</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(7,880)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22.44</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Unvested at March 31, 2017</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185,725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Unvested at March 31, 2018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On July 20, 2009, shareholders approved our 2009 Plan, which provides for the granting of stock options to employees and officers and authorizes the issuance of common stock upon exercise of stock options for up to 560,000 shares. All options are granted at or above market price, generally expire up to 10 years from the date of grant and are generally exercisable on or after the first anniversary of the date of grant in five annual installments.</w:t>
      </w:r>
    </w:p>
    <w:p>
      <w:pPr>
        <w:spacing w:after="0" w:line="122"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17"/>
          <w:szCs w:val="17"/>
          <w:color w:val="auto"/>
        </w:rPr>
        <w:t>On August 28, 2014, our Board of Directors amended the 2009 Plan, as permitted pursuant to Section 18 of the 2009 Plan (the “First Amendment to the 2009 Plan”). The First Amendment to the 2009 Plan provides that an award agreement may allow an award to remain outstanding after a spin-off or change in control of one or more wholly-owned subsidiaries of the Company. In addition, on August 28, 2014, options to purchase 259,000 shares at $36.60 per share were granted under the 2009 Plan, as amended. On September 8, 2015, the Board designated the Share Distribution as a transformative transaction for purposes of the 2009 Plan and amended the award agreements granted under the 2009 Plan to provide for accelerated vesting of the awards held by a participant in the event of a termination of that participant’s service effected by the executive for good reason, by the employer without cause, or as a result of the disability or death of the participant. A third of these options were vested on each of December 29, 2015, December 29, 2016, and December 29, 2017, respectively, subject to accelerated vesting as described above.</w:t>
      </w:r>
    </w:p>
    <w:p>
      <w:pPr>
        <w:spacing w:after="0" w:line="1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22, 2017, we received the Exemptive Order from the SEC that supersedes the Original Order and, in addition to the relief granted under the Original Order, allows us to withhold shares of our common stock to satisfy the exercise of options to purchase shares of our common stock granted pursuant to the 2009 Plan.</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March 31, 2018, there are options to acquire 195,608 shares of common stock outstanding. The Compensation Committee does not intend to grant additional options under the 2009 Stock Incentive Plan or request shareholders’ approval of additional stock options to be added under the 2009 Stock Incentive Plan.</w:t>
      </w:r>
    </w:p>
    <w:p>
      <w:pPr>
        <w:spacing w:after="0" w:line="168"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6"/>
          <w:szCs w:val="16"/>
          <w:color w:val="auto"/>
        </w:rPr>
        <w:t>We previously granted stock options under our 1999 Stock Option Plan (the “1999 Plan”), as approved by shareholders on July 19, 1999. The 1999 Plan expired on April 19, 2009. Options previously granted under our 1999 Plan and outstanding on July 20, 2009 continue in effect and are governed by the provisions of the 1999 Plan. All options granted under the 1999 Plan were granted at market price on the date of grant, generally expire up to 10 years from the date of grant and are generally exercisable on or after the first anniversary of the date of grant in five to ten annual installments. At March 31, 2018 and 2017, there are no options to acquire shares of common stock outstanding under the 1999 Plan.</w:t>
      </w:r>
    </w:p>
    <w:p>
      <w:pPr>
        <w:spacing w:after="0" w:line="174"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At September 30, 2015, in connection with the Share Distribution, we entered into the Employee Matters Agreement, which provided that each option to acquire CSWC common stock that was outstanding immediately prior to September 30, 2015, would be converted into both an option to acquire post-Share Distribution CSWC common stock and an option to acquire CSWI common stock and would be subject to substantially the same terms and conditions (including with respect to vesting and expiration) after the Share Distribution. Certain adjustments, using volumetric weighted-average prices for the 10-day period immediately prior to and immediately following the distribution, were made to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exercise price and number of shares of CSWC subject to such awards, with the intention of preserving the economic value of the awards immediately prior to the distribution for all CSWC employees. We compared the fair market value of our stock options on the day of the Share Distribution with the combined fair value of our stock options and CSWI stock options the day after the completion of the Share Distribution. The distribution-related adjustments did not have a material impact on compensation expense for the years ended March 31, 2018 and 2017.</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following table summarizes activity in the 2009 Plan and the 1999 Plan as of March 31, 2018, including adjustments in connection with the Share Distribution:</w:t>
      </w:r>
    </w:p>
    <w:tbl>
      <w:tblPr>
        <w:tblLayout w:type="fixed"/>
        <w:tblInd w:w="9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5"/>
          </w:tcPr>
          <w:p>
            <w:pPr>
              <w:jc w:val="center"/>
              <w:spacing w:after="0" w:line="141" w:lineRule="exact"/>
              <w:rPr>
                <w:sz w:val="20"/>
                <w:szCs w:val="20"/>
                <w:color w:val="auto"/>
              </w:rPr>
            </w:pPr>
            <w:r>
              <w:rPr>
                <w:rFonts w:ascii="Arial" w:cs="Arial" w:eastAsia="Arial" w:hAnsi="Arial"/>
                <w:sz w:val="14"/>
                <w:szCs w:val="14"/>
                <w:b w:val="1"/>
                <w:bCs w:val="1"/>
                <w:color w:val="auto"/>
                <w:w w:val="95"/>
              </w:rPr>
              <w:t>Weighted</w:t>
            </w: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20" w:type="dxa"/>
            <w:vAlign w:val="bottom"/>
          </w:tcPr>
          <w:p>
            <w:pPr>
              <w:spacing w:after="0"/>
              <w:rPr>
                <w:sz w:val="12"/>
                <w:szCs w:val="12"/>
                <w:color w:val="auto"/>
              </w:rPr>
            </w:pPr>
          </w:p>
        </w:tc>
        <w:tc>
          <w:tcPr>
            <w:tcW w:w="6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70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3"/>
              </w:rPr>
              <w:t>2009 Plan</w:t>
            </w:r>
          </w:p>
        </w:tc>
        <w:tc>
          <w:tcPr>
            <w:tcW w:w="34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Balance at March 31, 2015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372,000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35.24</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Granted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221,020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Canceled/Forfeited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Spin-off adjustments</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(1,487)*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95"/>
              </w:rPr>
              <w:t>NA</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362,513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11.21*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Granted</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479,177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Canceled/Forfeited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(24,897)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206,364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Granted</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Canceled/Forfeited</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3"/>
              </w:rPr>
              <w:t>1999 Plan</w:t>
            </w:r>
          </w:p>
        </w:tc>
        <w:tc>
          <w:tcPr>
            <w:tcW w:w="3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Balance at March 31, 2015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(15,974)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17.38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316,241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Canceled/Forfeited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Spin-off adjustments</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95"/>
              </w:rPr>
              <w:t>NA</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Granted</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Exercised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Canceled/Forfeited</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Granted</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Exercised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Canceled/Forfeited</w:t>
            </w: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2"/>
          </w:tcPr>
          <w:p>
            <w:pPr>
              <w:ind w:left="80"/>
              <w:spacing w:after="0"/>
              <w:rPr>
                <w:sz w:val="20"/>
                <w:szCs w:val="20"/>
                <w:color w:val="auto"/>
              </w:rPr>
            </w:pPr>
            <w:r>
              <w:rPr>
                <w:rFonts w:ascii="Arial" w:cs="Arial" w:eastAsia="Arial" w:hAnsi="Arial"/>
                <w:sz w:val="18"/>
                <w:szCs w:val="18"/>
                <w:color w:val="auto"/>
              </w:rPr>
              <w:t>Combined Balance at March 31, 2018</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195,608</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w w:val="92"/>
              </w:rPr>
              <w:t>11.09*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jc w:val="center"/>
              <w:ind w:left="71"/>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200" w:type="dxa"/>
            <w:vAlign w:val="bottom"/>
            <w:gridSpan w:val="3"/>
            <w:vMerge w:val="continue"/>
          </w:tcPr>
          <w:p>
            <w:pPr>
              <w:spacing w:after="0"/>
              <w:rPr>
                <w:sz w:val="14"/>
                <w:szCs w:val="14"/>
                <w:color w:val="auto"/>
              </w:rPr>
            </w:pPr>
          </w:p>
        </w:tc>
        <w:tc>
          <w:tcPr>
            <w:tcW w:w="18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Remaining Contractual Term</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gridSpan w:val="5"/>
            <w:shd w:val="clear" w:color="auto" w:fill="CCEEFF"/>
          </w:tcPr>
          <w:p>
            <w:pPr>
              <w:ind w:left="960"/>
              <w:spacing w:after="0"/>
              <w:rPr>
                <w:sz w:val="20"/>
                <w:szCs w:val="20"/>
                <w:color w:val="auto"/>
              </w:rPr>
            </w:pPr>
            <w:r>
              <w:rPr>
                <w:rFonts w:ascii="Arial" w:cs="Arial" w:eastAsia="Arial" w:hAnsi="Arial"/>
                <w:sz w:val="18"/>
                <w:szCs w:val="18"/>
                <w:color w:val="auto"/>
                <w:w w:val="89"/>
              </w:rPr>
              <w:t>5.6 years</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$ 1,160,177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Exercisable</w:t>
            </w:r>
          </w:p>
        </w:tc>
        <w:tc>
          <w:tcPr>
            <w:tcW w:w="220" w:type="dxa"/>
            <w:vAlign w:val="bottom"/>
          </w:tcPr>
          <w:p>
            <w:pPr>
              <w:spacing w:after="0"/>
              <w:rPr>
                <w:sz w:val="20"/>
                <w:szCs w:val="20"/>
                <w:color w:val="auto"/>
              </w:rPr>
            </w:pPr>
          </w:p>
        </w:tc>
        <w:tc>
          <w:tcPr>
            <w:tcW w:w="1640" w:type="dxa"/>
            <w:vAlign w:val="bottom"/>
            <w:gridSpan w:val="5"/>
          </w:tcPr>
          <w:p>
            <w:pPr>
              <w:ind w:left="960"/>
              <w:spacing w:after="0"/>
              <w:rPr>
                <w:sz w:val="20"/>
                <w:szCs w:val="20"/>
                <w:color w:val="auto"/>
              </w:rPr>
            </w:pPr>
            <w:r>
              <w:rPr>
                <w:rFonts w:ascii="Arial" w:cs="Arial" w:eastAsia="Arial" w:hAnsi="Arial"/>
                <w:sz w:val="18"/>
                <w:szCs w:val="18"/>
                <w:color w:val="auto"/>
                <w:w w:val="89"/>
              </w:rPr>
              <w:t>5.6 years</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$ 1,092,181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319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72" w:lineRule="exact"/>
        <w:rPr>
          <w:sz w:val="20"/>
          <w:szCs w:val="20"/>
          <w:color w:val="auto"/>
        </w:rPr>
      </w:pPr>
    </w:p>
    <w:p>
      <w:pPr>
        <w:jc w:val="both"/>
        <w:ind w:left="320" w:hanging="317"/>
        <w:spacing w:after="0" w:line="249" w:lineRule="auto"/>
        <w:tabs>
          <w:tab w:leader="none" w:pos="725" w:val="left"/>
        </w:tabs>
        <w:numPr>
          <w:ilvl w:val="0"/>
          <w:numId w:val="81"/>
        </w:numPr>
        <w:rPr>
          <w:rFonts w:ascii="Arial" w:cs="Arial" w:eastAsia="Arial" w:hAnsi="Arial"/>
          <w:sz w:val="15"/>
          <w:szCs w:val="15"/>
          <w:color w:val="auto"/>
        </w:rPr>
      </w:pPr>
      <w:r>
        <w:rPr>
          <w:rFonts w:ascii="Arial" w:cs="Arial" w:eastAsia="Arial" w:hAnsi="Arial"/>
          <w:sz w:val="15"/>
          <w:szCs w:val="15"/>
          <w:color w:val="auto"/>
        </w:rPr>
        <w:t>Certain adjustments were made to the exercise price and number of shares of Capital Southwest awards using volumetric weighted-average prices for the 10-day period immediately prior to and immediately following the distribution with the intention of preserving the economic value of the awards immediately prior to the distribution for all Capital Southwest employees.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firstLine="648"/>
        <w:spacing w:after="0" w:line="212" w:lineRule="auto"/>
        <w:rPr>
          <w:sz w:val="20"/>
          <w:szCs w:val="20"/>
          <w:color w:val="auto"/>
        </w:rPr>
      </w:pPr>
      <w:r>
        <w:rPr>
          <w:rFonts w:ascii="Arial" w:cs="Arial" w:eastAsia="Arial" w:hAnsi="Arial"/>
          <w:sz w:val="18"/>
          <w:szCs w:val="18"/>
          <w:color w:val="auto"/>
        </w:rPr>
        <w:t>We recognize compensation cost using the straight-line method for all share-based payments. The fair value of stock options is determined on the date of grant using the Black-Scholes pricing model and is expensed over the requisite service period of the related stock options. Accordingly, for the years ended March 31, 2018, 2017 and 2016, we recognized stock option compensation expense of $0.2 million, $0.2 million, and $0.4 million, respectively, related to the stock options held by our employees and officers. As of March 31, 2018, the total remaining unrecognized compensation expense related to non-vested stock options was $39 thousand, which will be amortized over the weighted-average vesting period of approximately 0.6 years.</w:t>
      </w:r>
    </w:p>
    <w:p>
      <w:pPr>
        <w:spacing w:after="0" w:line="179" w:lineRule="exact"/>
        <w:rPr>
          <w:sz w:val="20"/>
          <w:szCs w:val="20"/>
          <w:color w:val="auto"/>
        </w:rPr>
      </w:pPr>
    </w:p>
    <w:p>
      <w:pPr>
        <w:jc w:val="both"/>
        <w:ind w:firstLine="567"/>
        <w:spacing w:after="0" w:line="276" w:lineRule="auto"/>
        <w:rPr>
          <w:sz w:val="20"/>
          <w:szCs w:val="20"/>
          <w:color w:val="auto"/>
        </w:rPr>
      </w:pPr>
      <w:r>
        <w:rPr>
          <w:rFonts w:ascii="Arial" w:cs="Arial" w:eastAsia="Arial" w:hAnsi="Arial"/>
          <w:sz w:val="17"/>
          <w:szCs w:val="17"/>
          <w:color w:val="auto"/>
        </w:rPr>
        <w:t>At March 31, 2018, the range of exercise prices was $7.55 to $11.66 and the weighted-average remaining contractual life of outstanding options was 5.6 years. The total number of shares of common stock exercisable under both the 2009 Plan and the 1999 Plan at March 31, 2018 was 183,658 shares with a weighted-average exercise price of $11.07. During the year ended March 31, 2018, no options were granted, 69,272 options vested with a total fair value of approximately $0.4 million and 10,756 options were exercised with an average exercise price of $11.66.</w:t>
      </w:r>
    </w:p>
    <w:p>
      <w:pPr>
        <w:spacing w:after="0" w:line="173"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At March 31, 2017, the range of exercise prices was $7.55 to $11.53 and the weighted-average remaining contractual life of outstanding options was 6.5 years. The total number of options exercisable under both the 2009 Plan and the 1999 Plan at March 31, 2017, was 125,141 shares with a weighted-average exercise price of $11.12. During the year ended March 31, 2017, no options were granted, 126,594 options vested with a total fair value of approximately $0.8 million and 131,252 options were exercised with an average exercise price of $11.48.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Incentive Awards</w:t>
      </w:r>
    </w:p>
    <w:p>
      <w:pPr>
        <w:spacing w:after="0" w:line="14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January 16, 2012, our Board of Directors approved the issuance of 104,000 individual cash incentive awards with a baseline for measuring increases in NAV per share of $36.74 (NAV at December 31, 2011) to provide deferred compensation to certain key employees. Under the individual cash incentive award agreements, awards vest on the fifth anniversary of the award date. Upon exercise of an individual cash incentive award, the Company pays the recipient a cash payment in an amount equal to the net asset value per share minus the baseline net asset value per share, adjusted for capital gain dividends declared.</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Share Distribution, we entered into the Employee Matters Agreement with CSWI. Under the Employee Matters Agreement, the individual cash incentive award agreements were amended to provide that the value of each individual cash incentive award is determined based upon the NAV of CSWC as of June 30, 2015. The remaining terms of each individual incentive award agreement, including the vesting and payment terms, will remain unchanged. After the effective date of the Share Distribution, CSWC retains all liabilities associated with all individual cash incentive awards granted by CSWC.</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currently 48,000 individual cash incentive awards outstanding as of March 31, 2018 and the liability for individual cash incentive awards was $0.3 million at March 31, 2018. During the year ended March 31, 2018, no payments were made. During the year ended March 31, 2017, payments in the amount of $0.3 million were paid to vested employees. The estimated liability for individual cash incentive awards was $0.3 million at March 31, 2017.</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individual cash incentive awards vested or granted during the year ended March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Individual Cash Incentive Awards</w:t>
            </w: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Vesting Term</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 Per Share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March 31, 2017</w:t>
            </w: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March 31, 2018</w:t>
            </w: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hanging="457"/>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EMPLOYEE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established a 401(k) plan (“401K Plan”) effective October 1, 2015. All full-time employees are eligible to participate in the 401K Plan. The 401K Plan permits employees to defer a portion of their total annual compensation up to the Internal Revenue Service annual maximum based on age and eligibility. We made contributions to the 401K Plan of up to 4.5% of the Internal Revenue Service’s annual maximum eligible compensation, all of which is fully vested immediately. During the year ended March 31, 2018, we made matching contributions of approximately $128.0 thousand. During the year ended March 31, 2017, we made matching contributions of approximately $119.0 thousand.</w:t>
      </w:r>
    </w:p>
    <w:p>
      <w:pPr>
        <w:spacing w:after="0" w:line="178" w:lineRule="exact"/>
        <w:rPr>
          <w:sz w:val="20"/>
          <w:szCs w:val="20"/>
          <w:color w:val="auto"/>
        </w:rPr>
      </w:pPr>
    </w:p>
    <w:p>
      <w:pPr>
        <w:ind w:left="440" w:hanging="437"/>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RETIREMENT PLANS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Until the Share Distribution, CSWC sponsored a qualified defined benefit pension plan which covers its employees and employees of certain of its controlled affiliates. The following information about the plan represents amounts and information related to CSWC’s participation in the plan and is presented as though CSWC sponsored a single-employer plan. Benefits were based on years of service and an average of the highest five consecutive years of compensation during the last 10 years of employment. The funding policy of the plan was to contribute annual amounts that are currently deductible for tax reporting purposes. No contribution was made to the plan during the three years ended March 31, 2018. The qualified defined benefit pension plan is closed to any employees hired or rehired on or after January 1, 2015. In connection with the Share Distribution, we entered into an Employee Matters Agreement with CSWI on September 8, 2015. The Employee Matters Agreement was amended and restated on September 14, 2015. Under the Employee Matters Agreement, Capital Southwest Corporation and Capital Southwest Management Corporation withdrew as participating employers in the Plan and CSWI became the Sponsoring Employer of the Qualified Retirement Plan and assumed all the liabilities, assets, and future funding obligations for providing benefits for the covered Participants under the Qualified Retirement Plan.</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CSWC sponsors an unfunded Retirement Restoration Plan, which is a nonqualified plan that provides for the payment, upon retirement, of the difference between the maximum annual payment permissible under the qualified retirement plan pursuant to federal limitations and the amount which would otherwise have been payable under the qualified plan. Effective September 30, 2015, the benefits accrued under the Restoration Plan on behalf of CSWI employees, including employees who transferred from the Company to CSWI, were transferred to a non-qualified deferred compensation plan established by CSWI. The Company retained all liabilities associated with benefits accrued under the Restoration Plan on behalf of individuals who remain employees of the Company or Capital Southwest Management Corporation following September 30, 2015 or who terminated employment prior to September 30, 2015 with vested benefits under the Restoration Plan. Unvested accrued benefits under the Restoration Plan were forfeited as of September 30, 2015.</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tables set forth the qualified plan’s net pension benefit, benefit obligation, fair value of plan assets, and amounts recognized in our Consolidated Statements of Operations at March 31, 2018, 2017 and 2016, as well as amounts recognized in our Consolidated Statements of Assets and Liabilities at March 31, 2018 and 2017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Years ended March 31,</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benefit</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Service cost-benefits earned during the year</w:t>
            </w:r>
          </w:p>
        </w:tc>
        <w:tc>
          <w:tcPr>
            <w:tcW w:w="110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Immediate recognition of benefit cost due to Plan Freeze at 9/30/2015</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pension benefit from qualified plan</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51"/>
        </w:trPr>
        <w:tc>
          <w:tcPr>
            <w:tcW w:w="5600" w:type="dxa"/>
            <w:vAlign w:val="bottom"/>
          </w:tcPr>
          <w:p>
            <w:pPr>
              <w:ind w:left="440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56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9"/>
          </w:tcPr>
          <w:p>
            <w:pPr>
              <w:ind w:left="20"/>
              <w:spacing w:after="0"/>
              <w:rPr>
                <w:sz w:val="20"/>
                <w:szCs w:val="20"/>
                <w:color w:val="auto"/>
              </w:rPr>
            </w:pPr>
            <w:r>
              <w:rPr>
                <w:rFonts w:ascii="Arial" w:cs="Arial" w:eastAsia="Arial" w:hAnsi="Arial"/>
                <w:sz w:val="14"/>
                <w:szCs w:val="14"/>
                <w:b w:val="1"/>
                <w:bCs w:val="1"/>
                <w:color w:val="auto"/>
              </w:rPr>
              <w:t>Years ended March 31,</w:t>
            </w:r>
          </w:p>
        </w:tc>
      </w:tr>
      <w:tr>
        <w:trPr>
          <w:trHeight w:val="142"/>
        </w:trPr>
        <w:tc>
          <w:tcPr>
            <w:tcW w:w="4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8,329</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cost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Benefits paid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Curtailment recognition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Transferred to CSWI at 9/30/2015</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(7,603)</w:t>
            </w:r>
          </w:p>
        </w:tc>
      </w:tr>
      <w:tr>
        <w:trPr>
          <w:trHeight w:val="217"/>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78"/>
        </w:trPr>
        <w:tc>
          <w:tcPr>
            <w:tcW w:w="4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6"/>
              </w:rPr>
              <w:t>Years ended March 31,</w:t>
            </w: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7"/>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18,623</w:t>
            </w:r>
          </w:p>
        </w:tc>
        <w:tc>
          <w:tcPr>
            <w:tcW w:w="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Benefits paid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Transferred to CSWI at 9/30/2015</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(18,136)</w:t>
            </w: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1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Following the Share Distribution, all plan assets were transferred to CSWI. As such, CSWC did not record any prepaid pension cost or accumulated benefit obligation in connection with the qualified defined benefit pension plan for the years ended March 31, 2018, 2017 and 2016.</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tables set forth the retirement restoration plan’s net pension benefit and benefit obligation amounts at March 31, 2018, 2017 and 2016, as well as amounts recognized in our consolidated statements of assets and liabilities at March 31, 2018 and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11"/>
          </w:tcPr>
          <w:p>
            <w:pPr>
              <w:ind w:left="280"/>
              <w:spacing w:after="0"/>
              <w:rPr>
                <w:sz w:val="20"/>
                <w:szCs w:val="20"/>
                <w:color w:val="auto"/>
              </w:rPr>
            </w:pPr>
            <w:r>
              <w:rPr>
                <w:rFonts w:ascii="Arial" w:cs="Arial" w:eastAsia="Arial" w:hAnsi="Arial"/>
                <w:sz w:val="14"/>
                <w:szCs w:val="14"/>
                <w:b w:val="1"/>
                <w:bCs w:val="1"/>
                <w:color w:val="auto"/>
              </w:rPr>
              <w:t>Years ended March 31,</w:t>
            </w:r>
          </w:p>
        </w:tc>
      </w:tr>
      <w:tr>
        <w:trPr>
          <w:trHeight w:val="142"/>
        </w:trPr>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tcBorders>
            <w:gridSpan w:val="5"/>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Service cost-benefits earned during the year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amortization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4"/>
              </w:rPr>
              <w:t>Immediate recognition of benefit cost due to Plan Freeze at 9/30/2015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Net pension cost from restoration plan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164</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172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8"/>
                <w:szCs w:val="18"/>
                <w:color w:val="auto"/>
              </w:rPr>
            </w:pPr>
          </w:p>
        </w:tc>
      </w:tr>
      <w:tr>
        <w:trPr>
          <w:trHeight w:val="378"/>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Years ended March 31,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CCEEFF"/>
            </w:tcBorders>
          </w:tcPr>
          <w:p>
            <w:pPr>
              <w:spacing w:after="0"/>
              <w:rPr>
                <w:sz w:val="12"/>
                <w:szCs w:val="12"/>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3,020</w:t>
            </w:r>
          </w:p>
        </w:tc>
        <w:tc>
          <w:tcPr>
            <w:tcW w:w="580" w:type="dxa"/>
            <w:vAlign w:val="bottom"/>
            <w:gridSpan w:val="3"/>
          </w:tcPr>
          <w:p>
            <w:pPr>
              <w:jc w:val="right"/>
              <w:ind w:right="199"/>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3,061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3,119</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(210)</w:t>
            </w:r>
          </w:p>
        </w:tc>
        <w:tc>
          <w:tcPr>
            <w:tcW w:w="380" w:type="dxa"/>
            <w:vAlign w:val="bottom"/>
          </w:tcPr>
          <w:p>
            <w:pPr>
              <w:spacing w:after="0"/>
              <w:rPr>
                <w:sz w:val="18"/>
                <w:szCs w:val="18"/>
                <w:color w:val="auto"/>
              </w:rPr>
            </w:pPr>
          </w:p>
        </w:tc>
        <w:tc>
          <w:tcPr>
            <w:tcW w:w="860" w:type="dxa"/>
            <w:vAlign w:val="bottom"/>
            <w:gridSpan w:val="5"/>
          </w:tcPr>
          <w:p>
            <w:pPr>
              <w:jc w:val="right"/>
              <w:ind w:right="16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Curtailment recognition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adjustments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3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851"/>
        </w:trPr>
        <w:tc>
          <w:tcPr>
            <w:tcW w:w="5260" w:type="dxa"/>
            <w:vAlign w:val="bottom"/>
          </w:tcPr>
          <w:p>
            <w:pPr>
              <w:ind w:left="44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5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w w:val="97"/>
              </w:rPr>
              <w:t>Years ended March 31,</w:t>
            </w:r>
          </w:p>
        </w:tc>
        <w:tc>
          <w:tcPr>
            <w:tcW w:w="0" w:type="dxa"/>
            <w:vAlign w:val="bottom"/>
          </w:tcPr>
          <w:p>
            <w:pPr>
              <w:spacing w:after="0"/>
              <w:rPr>
                <w:sz w:val="1"/>
                <w:szCs w:val="1"/>
                <w:color w:val="auto"/>
              </w:rPr>
            </w:pPr>
          </w:p>
        </w:tc>
      </w:tr>
      <w:tr>
        <w:trPr>
          <w:trHeight w:val="142"/>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Amounts recognized in our Consolidated Statements of Assets and Liabilities</w:t>
            </w:r>
          </w:p>
        </w:tc>
        <w:tc>
          <w:tcPr>
            <w:tcW w:w="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65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actuarial loss recognized as a component of equity</w:t>
            </w: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net actuarial loss that will be amortized from equity into net pension cost during 2019 is approximately $46 thousand.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in estimating the actuarial present value of the projected benefit obligations:</w:t>
      </w:r>
    </w:p>
    <w:p>
      <w:pPr>
        <w:spacing w:after="0" w:line="253"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Years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6350</wp:posOffset>
            </wp:positionV>
            <wp:extent cx="1243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ind w:left="6080"/>
        <w:spacing w:after="0"/>
        <w:tabs>
          <w:tab w:leader="none" w:pos="6840" w:val="left"/>
          <w:tab w:leader="none" w:pos="7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5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5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Discount rate</w:t>
            </w:r>
          </w:p>
        </w:tc>
        <w:tc>
          <w:tcPr>
            <w:tcW w:w="6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4.00 %</w:t>
            </w:r>
          </w:p>
        </w:tc>
        <w:tc>
          <w:tcPr>
            <w:tcW w:w="6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4.00</w:t>
            </w:r>
          </w:p>
        </w:tc>
        <w:tc>
          <w:tcPr>
            <w:tcW w:w="8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  4.25 %</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Rate of compensation increases</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640" w:type="dxa"/>
            <w:vAlign w:val="bottom"/>
          </w:tcPr>
          <w:p>
            <w:pPr>
              <w:ind w:left="220"/>
              <w:spacing w:after="0"/>
              <w:rPr>
                <w:sz w:val="20"/>
                <w:szCs w:val="20"/>
                <w:color w:val="auto"/>
              </w:rPr>
            </w:pPr>
            <w:r>
              <w:rPr>
                <w:rFonts w:ascii="Arial" w:cs="Arial" w:eastAsia="Arial" w:hAnsi="Arial"/>
                <w:sz w:val="18"/>
                <w:szCs w:val="18"/>
                <w:color w:val="auto"/>
              </w:rPr>
              <w:t>N/A</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5.00 %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in estimating the net periodic (income)/expense: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Years ended March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N/A</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increases</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Following are the expected benefit payments for the next five years and in the aggregate for the years 2024-2028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6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w w:val="95"/>
              </w:rPr>
              <w:t>2024-2028</w:t>
            </w:r>
          </w:p>
        </w:tc>
        <w:tc>
          <w:tcPr>
            <w:tcW w:w="60" w:type="dxa"/>
            <w:vAlign w:val="bottom"/>
          </w:tcPr>
          <w:p>
            <w:pPr>
              <w:spacing w:after="0"/>
              <w:rPr>
                <w:sz w:val="14"/>
                <w:szCs w:val="14"/>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Restoration Plan</w:t>
            </w: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$ 213</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$ 212</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$ 225</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$ 235</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$ 232</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1,084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left="460" w:hanging="457"/>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normal course of business, the Company is a party to financial instruments with off-balance sheet risk, consisting primarily of unused commitments to extend financing to the Company’s portfolio companies. Since commitments may expire without being drawn upon, the total commitment amount does not necessarily represent future cash requirements.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Investment Type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(amounts in thousands)</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I-45 SLF LLC</w:t>
            </w:r>
          </w:p>
        </w:tc>
        <w:tc>
          <w:tcPr>
            <w:tcW w:w="1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Clickbooth.com, LLC</w:t>
            </w: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Revolving Loan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ITA Holdings Group, LLC</w:t>
            </w: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Revolving Loan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LGM Pharma, LLC</w:t>
            </w: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rPr>
              <w:t>Delayed Draw Term Loan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Prism Spectrum Holdings LLC</w:t>
            </w:r>
          </w:p>
        </w:tc>
        <w:tc>
          <w:tcPr>
            <w:tcW w:w="2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Revolving Loan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Zenfolio Inc.</w:t>
            </w:r>
          </w:p>
        </w:tc>
        <w:tc>
          <w:tcPr>
            <w:tcW w:w="2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Revolving Loan</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unused commitments to extend financing</w:t>
            </w:r>
          </w:p>
        </w:tc>
        <w:tc>
          <w:tcPr>
            <w:tcW w:w="140" w:type="dxa"/>
            <w:vAlign w:val="bottom"/>
            <w:tcBorders>
              <w:bottom w:val="single" w:sz="8" w:color="CCEEFF"/>
            </w:tcBorders>
            <w:shd w:val="clear" w:color="auto" w:fill="CCEEFF"/>
          </w:tcPr>
          <w:p>
            <w:pPr>
              <w:spacing w:after="0"/>
              <w:rPr>
                <w:sz w:val="19"/>
                <w:szCs w:val="19"/>
                <w:color w:val="auto"/>
              </w:rPr>
            </w:pPr>
          </w:p>
        </w:tc>
        <w:tc>
          <w:tcPr>
            <w:tcW w:w="2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11,600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5"/>
        </w:trPr>
        <w:tc>
          <w:tcPr>
            <w:tcW w:w="4000" w:type="dxa"/>
            <w:vAlign w:val="bottom"/>
          </w:tcPr>
          <w:p>
            <w:pPr>
              <w:spacing w:after="0"/>
              <w:rPr>
                <w:sz w:val="24"/>
                <w:szCs w:val="24"/>
                <w:color w:val="auto"/>
              </w:rPr>
            </w:pPr>
          </w:p>
        </w:tc>
        <w:tc>
          <w:tcPr>
            <w:tcW w:w="2860" w:type="dxa"/>
            <w:vAlign w:val="bottom"/>
            <w:gridSpan w:val="2"/>
          </w:tcPr>
          <w:p>
            <w:pPr>
              <w:jc w:val="right"/>
              <w:ind w:right="211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office space under an operating lease which requires annual base rentals of approximately $250 thousand. For the three years ended March 31, 2018, total rental expense was $233 thousand in 2018, $233 thousand in 2017, and $186 thousand in 2016, and the rent commitments for the next five years as of March 31, 2018 are as follows (amounts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20"/>
                <w:szCs w:val="20"/>
                <w:color w:val="auto"/>
              </w:rPr>
            </w:pPr>
            <w:r>
              <w:rPr>
                <w:rFonts w:ascii="Arial" w:cs="Arial" w:eastAsia="Arial" w:hAnsi="Arial"/>
                <w:sz w:val="14"/>
                <w:szCs w:val="14"/>
                <w:b w:val="1"/>
                <w:bCs w:val="1"/>
                <w:color w:val="auto"/>
              </w:rPr>
              <w:t>Year ending March 31,</w:t>
            </w:r>
          </w:p>
        </w:tc>
        <w:tc>
          <w:tcPr>
            <w:tcW w:w="24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Rent Commitment</w:t>
            </w:r>
          </w:p>
        </w:tc>
      </w:tr>
      <w:tr>
        <w:trPr>
          <w:trHeight w:val="210"/>
        </w:trPr>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from time to time, be involved in litigation arising out of our operations in the normal course of business or otherwise. Furthermore, third parties may try to seek to impose liability on us in connection with the activities of our portfolio companies. We have no currently pending material legal proceedings to which we are part or to which any of our assets is subject.</w:t>
      </w:r>
    </w:p>
    <w:p>
      <w:pPr>
        <w:spacing w:after="0" w:line="227" w:lineRule="exact"/>
        <w:rPr>
          <w:sz w:val="20"/>
          <w:szCs w:val="20"/>
          <w:color w:val="auto"/>
        </w:rPr>
      </w:pPr>
    </w:p>
    <w:p>
      <w:pPr>
        <w:ind w:left="460" w:hanging="457"/>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SELECTED QUARTERLY FINANCIAL DATA (UNAUDITED)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presents a summary of the unaudited quarterly consolidated financial information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and 2017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First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Fourth</w:t>
            </w:r>
          </w:p>
        </w:tc>
        <w:tc>
          <w:tcPr>
            <w:tcW w:w="120" w:type="dxa"/>
            <w:vAlign w:val="bottom"/>
          </w:tcPr>
          <w:p>
            <w:pPr>
              <w:spacing w:after="0"/>
              <w:rPr>
                <w:sz w:val="14"/>
                <w:szCs w:val="14"/>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$ 3,436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16,233</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change in unrealized appreciation on investments, net of tax</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21,492</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5,444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14,977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39,307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First</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Fourth</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b w:val="1"/>
                <w:bCs w:val="1"/>
                <w:color w:val="auto"/>
              </w:rPr>
              <w:t>Quarter</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8"/>
              </w:rPr>
              <w:t>Quarter</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3"/>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371</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$ 1,365</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w w:val="96"/>
              </w:rPr>
              <w:t>Net change in unrealized appreciation on investments, net of tax</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23,474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 per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675"/>
        </w:trPr>
        <w:tc>
          <w:tcPr>
            <w:tcW w:w="4960" w:type="dxa"/>
            <w:vAlign w:val="bottom"/>
          </w:tcPr>
          <w:p>
            <w:pPr>
              <w:ind w:left="44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hanging="457"/>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BDC, we are obligated under the 1940 Act to make available to our portfolio companies significant managerial assistance. “Making available significant managerial assistance” refers to any arrangement whereby we provide significant guidance and counsel concerning the management, operations, or business objectives and policies of a portfolio company. We are also deemed to be providing managerial assistance to all portfolio companies that we control, either by ourselves or in conjunction with others. The nature and extent of significant managerial assistance provided by us will vary according to the particular needs of each portfolio company. During both the years ended March 31, 2018 and 2017, we received management and other fees from certain of our portfolio companies totaling $0.4 million, which were recognized as fees and other income on the Consolidated Statements of Operations. Additionally, as of March 31, 2018 and 2017, we had dividends receivable from I-45 SLF LLC of $2.2 million and $2.1 million, respectively, which were included in dividends and interest receivables on the Consolidated Statements of Assets and Liabilities.</w:t>
      </w:r>
    </w:p>
    <w:p>
      <w:pPr>
        <w:spacing w:after="0" w:line="169" w:lineRule="exact"/>
        <w:rPr>
          <w:sz w:val="20"/>
          <w:szCs w:val="20"/>
          <w:color w:val="auto"/>
        </w:rPr>
      </w:pPr>
    </w:p>
    <w:p>
      <w:pPr>
        <w:ind w:left="460" w:hanging="457"/>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2, 2018, CSWC paid regular dividends declared on February 28, 2018 in the amount of $4.5 million, or $0.28 per share.</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April 16, 2018 and May 11, 2018, CSWC entered into Incremental Assumption Agreements, which increased the total commitments under the Credit Facility by $20 million and $10 million, respectively. The increases were executed under the accordion feature of the Credit Facility and increased total commitments from $180 million to $210 million.</w:t>
      </w:r>
    </w:p>
    <w:p>
      <w:pPr>
        <w:spacing w:after="0" w:line="10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On April 25, 2018, the Board of Directors unanimously approved the application of the recently modified asset coverage requirements set forth in Section 61(a)(2) of the 1940 Act. As a result, the minimum asset coverage ratio applicable to the Company will be decreased from 200% to 150%, effective April 25, 2019. The Board of Directors also approved a resolution which limits the Company’s issuance of senior securities such that the asset coverage ratio, taking into account any such issuance, would not be less than 166%, effective April 25, 2019.</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June 1, 2018, the Company’s Board of Directors declared a $0.29 dividend per share for the quarter ended June 30, 2018. The record date for the dividend is June 26, 2018. The payment date for the dividend is July 2, 2018.</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hanging="457"/>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SELECTED PER SHARE DATA AND RATIOS</w:t>
      </w:r>
    </w:p>
    <w:p>
      <w:pPr>
        <w:spacing w:after="0" w:line="21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presents a summary of the selected per share data for the years ended March 31, 2014 through 2018 (in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Share Data:</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March 31,</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r>
              <w:rPr>
                <w:rFonts w:ascii="Arial" w:cs="Arial" w:eastAsia="Arial" w:hAnsi="Arial"/>
                <w:sz w:val="8"/>
                <w:szCs w:val="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r>
              <w:rPr>
                <w:rFonts w:ascii="Arial" w:cs="Arial" w:eastAsia="Arial" w:hAnsi="Arial"/>
                <w:sz w:val="8"/>
                <w:szCs w:val="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investment income (loss)</w:t>
            </w:r>
            <w:r>
              <w:rPr>
                <w:rFonts w:ascii="Arial" w:cs="Arial" w:eastAsia="Arial" w:hAnsi="Arial"/>
                <w:sz w:val="8"/>
                <w:szCs w:val="8"/>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w:t>
            </w:r>
            <w:r>
              <w:rPr>
                <w:rFonts w:ascii="Arial" w:cs="Arial" w:eastAsia="Arial" w:hAnsi="Arial"/>
                <w:sz w:val="8"/>
                <w:szCs w:val="8"/>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Net change in unrealized appreciation on investments</w:t>
            </w:r>
            <w:r>
              <w:rPr>
                <w:rFonts w:ascii="Arial" w:cs="Arial" w:eastAsia="Arial" w:hAnsi="Arial"/>
                <w:sz w:val="8"/>
                <w:szCs w:val="8"/>
                <w:color w:val="auto"/>
                <w:w w:val="98"/>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increase (decrease) from investment operations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Dividends to shareholders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Distribution from additional capital for spin-off</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Spin-off Compensation Plan distribution, net of 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Decrease in unrealized appreciation due to distributions to</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CSWI</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(29.15)</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Exercise of employee stock options</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Forfeiture (issuance) of restricted stock</w:t>
            </w:r>
            <w:r>
              <w:rPr>
                <w:rFonts w:ascii="Arial" w:cs="Arial" w:eastAsia="Arial" w:hAnsi="Arial"/>
                <w:sz w:val="8"/>
                <w:szCs w:val="8"/>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 based compensation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withheld for payroll taxes upon vesting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pension plan funded status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8"/>
                <w:szCs w:val="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net asset value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(31.96)</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asset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End of year</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u w:val="single" w:color="auto"/>
                <w:color w:val="auto"/>
              </w:rPr>
              <w:t>30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Ratios and Supplemental Data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Ratio of operating expenses, excluding interest expense, to</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net assets</w:t>
            </w:r>
            <w:r>
              <w:rPr>
                <w:rFonts w:ascii="Arial" w:cs="Arial" w:eastAsia="Arial" w:hAnsi="Arial"/>
                <w:sz w:val="8"/>
                <w:szCs w:val="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2.83 %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25.42 %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23.57 %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investment return</w:t>
            </w:r>
            <w:r>
              <w:rPr>
                <w:rFonts w:ascii="Arial" w:cs="Arial" w:eastAsia="Arial" w:hAnsi="Arial"/>
                <w:sz w:val="8"/>
                <w:szCs w:val="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27.88 %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8.40 %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change in NAV</w:t>
            </w:r>
            <w:r>
              <w:rPr>
                <w:rFonts w:ascii="Arial" w:cs="Arial" w:eastAsia="Arial" w:hAnsi="Arial"/>
                <w:sz w:val="8"/>
                <w:szCs w:val="8"/>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year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Weighted-average basic shares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16,074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15,825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15,636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15,492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15,278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fully diluted shares outstanding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16,139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15,724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15,531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15,298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Common shares outstanding at end of year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16,162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16,011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15,726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15,565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15,414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59690</wp:posOffset>
            </wp:positionV>
            <wp:extent cx="14147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72" w:lineRule="exact"/>
        <w:rPr>
          <w:sz w:val="20"/>
          <w:szCs w:val="20"/>
          <w:color w:val="auto"/>
        </w:rPr>
      </w:pPr>
    </w:p>
    <w:p>
      <w:pPr>
        <w:ind w:left="320" w:hanging="317"/>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weighted-average basic shares outstanding for the period.</w:t>
      </w:r>
    </w:p>
    <w:p>
      <w:pPr>
        <w:spacing w:after="0" w:line="22" w:lineRule="exact"/>
        <w:rPr>
          <w:sz w:val="20"/>
          <w:szCs w:val="20"/>
          <w:color w:val="auto"/>
        </w:rPr>
      </w:pPr>
    </w:p>
    <w:p>
      <w:pPr>
        <w:ind w:left="320" w:hanging="317"/>
        <w:spacing w:after="0"/>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Net decrease is due to the exercise of employee stock options at prices less than beginning of period net asset value.</w:t>
      </w:r>
    </w:p>
    <w:p>
      <w:pPr>
        <w:spacing w:after="0" w:line="19" w:lineRule="exact"/>
        <w:rPr>
          <w:sz w:val="20"/>
          <w:szCs w:val="20"/>
          <w:color w:val="auto"/>
        </w:rPr>
      </w:pPr>
    </w:p>
    <w:p>
      <w:pPr>
        <w:ind w:left="320" w:hanging="317"/>
        <w:spacing w:after="0"/>
        <w:tabs>
          <w:tab w:leader="none" w:pos="3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Reflects impact of the different share amounts as a result of issuance or forfeiture of restricted stock during the period.</w:t>
      </w:r>
    </w:p>
    <w:p>
      <w:pPr>
        <w:spacing w:after="0" w:line="19" w:lineRule="exact"/>
        <w:rPr>
          <w:sz w:val="20"/>
          <w:szCs w:val="20"/>
          <w:color w:val="auto"/>
        </w:rPr>
      </w:pPr>
    </w:p>
    <w:p>
      <w:pPr>
        <w:ind w:left="320" w:right="40" w:hanging="317"/>
        <w:spacing w:after="0" w:line="232" w:lineRule="auto"/>
        <w:tabs>
          <w:tab w:leader="none" w:pos="320"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Includes the impact of the different share amounts as a result of calculating certain per share data based on the weighted-average basic shares outstanding during the period and certain per share data based on the shares outstanding as of a period end.</w:t>
      </w:r>
    </w:p>
    <w:p>
      <w:pPr>
        <w:spacing w:after="0" w:line="1" w:lineRule="exact"/>
        <w:rPr>
          <w:sz w:val="20"/>
          <w:szCs w:val="20"/>
          <w:color w:val="auto"/>
        </w:rPr>
      </w:pPr>
    </w:p>
    <w:p>
      <w:pPr>
        <w:ind w:left="320" w:hanging="317"/>
        <w:spacing w:after="0"/>
        <w:tabs>
          <w:tab w:leader="none" w:pos="3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Amounts for fiscal 2015 and 2014 are based on average net assets prior to the Share Distribution.</w:t>
      </w:r>
    </w:p>
    <w:p>
      <w:pPr>
        <w:spacing w:after="0" w:line="8" w:lineRule="exact"/>
        <w:rPr>
          <w:sz w:val="20"/>
          <w:szCs w:val="20"/>
          <w:color w:val="auto"/>
        </w:rPr>
      </w:pPr>
    </w:p>
    <w:p>
      <w:pPr>
        <w:jc w:val="both"/>
        <w:ind w:left="320" w:right="40" w:hanging="317"/>
        <w:spacing w:after="0" w:line="229" w:lineRule="auto"/>
        <w:tabs>
          <w:tab w:leader="none" w:pos="3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Total investment return based on purchase of stock at the current market price on the first day and a sale at the current market price on the last day of each period reported on the table and assumes reinvestment of dividends at prices obtained by CSWC’s DRIP during the period. The return does not reflect any sales load that may be paid by an investor.</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0" w:lineRule="exact"/>
        <w:rPr>
          <w:sz w:val="20"/>
          <w:szCs w:val="20"/>
          <w:color w:val="auto"/>
        </w:rPr>
      </w:pPr>
    </w:p>
    <w:p>
      <w:pPr>
        <w:ind w:left="320" w:hanging="317"/>
        <w:spacing w:after="0"/>
        <w:tabs>
          <w:tab w:leader="none" w:pos="3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Total return based on change in NAV was calculated using the sum of ending NAV plus dividends to shareholders and other non-operating changes during the period, as divided by the beginning NAV.</w:t>
      </w:r>
    </w:p>
    <w:p>
      <w:pPr>
        <w:spacing w:after="0" w:line="181" w:lineRule="exact"/>
        <w:rPr>
          <w:sz w:val="20"/>
          <w:szCs w:val="20"/>
          <w:color w:val="auto"/>
        </w:rPr>
      </w:pPr>
    </w:p>
    <w:p>
      <w:pPr>
        <w:ind w:left="460" w:hanging="457"/>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SIGNIFICANT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Recovery Inc.</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Media Recovery, Inc., dba SpotSee Holdings, through its subsidiary ShockWatch, provides solutions that currently enable over 3,000 customers and some 200 partners in 62 countries to detect mishandling that causes product damage and spoilage during transport and storage. The ShockWatch product portfolio includes impact, tilt, temperature, vibration, and humidity detection systems and is widely used in the energy, transportation, aerospace, defense, food, pharmaceutical, medical device, consumer goods and manufacturing sectors.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March 31, 2018, our investment in Media Recovery, Inc. exceeded the 10% threshold in at least one of the tests under Rule 4-08(g) of Regulation S-X. At March 31, 2018, our investment in Media Recovery, Inc. did not exceed the 20% threshold in at least one of the tests under Rule 3-09. However, our investment in Media Recovery, Inc. did exceed the 20% threshold in at least one of the tests under Rule 3-09 as of March 31, 2017. Accordingly, we will amend this Form 10-K to include the financial statements of Media Recovery, Inc. once they are available. At March 31, 2017, our investment in Media Recovery, Inc. exceeded the 10% and 20% thresholds in at least one of the tests under Rule 3-09 and Rule 4-08(g). Accordingly, we amended our Form 10-K for the fiscal year ended March 31, 2017 to include the financial statements of Media Recovery, Inc. in December 2017, within 90 days of Media Recovery, Inc.’s fiscal year end.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Below is certain selected key financial data from its Balance Sheet at March 31, 2018 and 2017 and the twelve months ended March 31, 2018, 2017 and 2016 Income Statement (amounts in thousands).</w:t>
      </w:r>
    </w:p>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9,935</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23,173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2,396</w:t>
            </w:r>
          </w:p>
        </w:tc>
      </w:tr>
    </w:tbl>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Twelve Months Ended March 31,</w:t>
            </w:r>
          </w:p>
        </w:tc>
        <w:tc>
          <w:tcPr>
            <w:tcW w:w="920" w:type="dxa"/>
            <w:vAlign w:val="bottom"/>
          </w:tcPr>
          <w:p>
            <w:pPr>
              <w:spacing w:after="0"/>
              <w:rPr>
                <w:sz w:val="16"/>
                <w:szCs w:val="16"/>
                <w:color w:val="auto"/>
              </w:rPr>
            </w:pPr>
          </w:p>
        </w:tc>
      </w:tr>
      <w:tr>
        <w:trPr>
          <w:trHeight w:val="215"/>
        </w:trPr>
        <w:tc>
          <w:tcPr>
            <w:tcW w:w="4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20,765</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TitanLiner,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TitanLiner, Inc. engages in the manufacture, installation and rental of spill containment systems for oilfield applications.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March 31, 2018, our investment in TitanLiner, Inc. exceeded the 10% and 20% thresholds in at least one of the tests under Rule 3-09 and Rule 4-08(g) of Regulation S-X. Accordingly, we have included as an exhibit to this Form 10-K the financial statements of TitanLiner, Inc.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Below is certain selected key financial data from its Balance Sheet at March 31, 2018 and 2017 and the twelve months ended March 31, 2018, 2017 and 2016 Income Statement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Non-Current Assets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1,638</w:t>
            </w: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Twelve Months Ended March 31,</w:t>
            </w:r>
          </w:p>
        </w:tc>
        <w:tc>
          <w:tcPr>
            <w:tcW w:w="920" w:type="dxa"/>
            <w:vAlign w:val="bottom"/>
          </w:tcPr>
          <w:p>
            <w:pPr>
              <w:spacing w:after="0"/>
              <w:rPr>
                <w:sz w:val="16"/>
                <w:szCs w:val="16"/>
                <w:color w:val="auto"/>
              </w:rPr>
            </w:pPr>
          </w:p>
        </w:tc>
      </w:tr>
      <w:tr>
        <w:trPr>
          <w:trHeight w:val="215"/>
        </w:trPr>
        <w:tc>
          <w:tcPr>
            <w:tcW w:w="4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I-45 SLF LLC</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September 2015, we entered into an LLC agreement with Main Street Capital to form I-45 SLF LLC. I-45 SLF LLC began investing in UMM syndicated senior secured loans during the quarter ended December 31, 2015. The initial equity capital commitment to I-45 SLF LLC totaled $85.0 million, consisting of $68.0 million from CSWC and $17.0 million from Main Street Capital. Approximately $81.0 million was funded as of March 31, 2018, relating to these commitments, of which $64.8 million was from CSWC. As of March 31, 2018, CSWC has unfunded commitments outstanding of $3.2 million. CSWC owns 80% of I-45 SLF LLC and has a profits interest of 75.6%, while Main Street Capital owns 20% and has a profits interest of 24.4%. I-45 SLF LLC’s Board of Managers make all investment and operational decisions for the fund, and consists of equal representation from CSWC and Main Street Capital.</w:t>
      </w:r>
    </w:p>
    <w:p>
      <w:pPr>
        <w:spacing w:after="0" w:line="15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As of March 31, 2018 and 2017, I-45 SLF LLC had total assets of $223.4 million and $216.2 million, respectively. I-45 SLF LLC had approximately $220.8 million and $200.2 million of credit investments at fair value as of March 31, 2018 and 2017, respectively. The portfolio companies in I-45 SLF LLC are in industries similar to those in which CSWC may invest directly. As of March 31, 2018 and 2017, approximately $3.2 million and $11.8 million, respectively, of the credit investments were unsettled trades. For the years ended March 31, 2018 and 2017, I-45 SLF LLC declared total dividends of $11.9 million and $9.1 million, respectively.</w:t>
      </w:r>
    </w:p>
    <w:p>
      <w:pPr>
        <w:spacing w:after="0" w:line="16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Additionally, I-45 SLF LLC closed on a $75.0 million 5-year senior secured credit facility (the “I-45 credit facility”) in November 2015. This facility includes an accordion feature which will allow I-45 SLF LLC to achieve leverage of approximately 2x debt-to-equity. Borrowings under the facility are secured by all of the assets of I-45 SLF LLC and bear interest at a rate equal to LIBOR plus 2.5% per annum. During the year ended March 31, 2017, I-45 SLF LLC increased debt commitments outstanding by an additional $90.0 million by adding three additional lenders to the syndicate, bringing total debt commitments to $165.0 million. In July 2017, the I-45 credit facility was amended to extend the maturity to July 2022. Additionally, the amendment reduced the interest rate on borrowings to LIBOR plus 2.4% per annum. Under the I-45 credit facility, $143.0 million has been drawn as of March 31, 2018.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Below is a summary of I-45 SLF LLC’s portfolio, followed by a listing of the individual loans in I-45 SLF LLC’s portfolio as of March 31, 2018 and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I-45 SLF LLC Loan Portfolio as of March 31, 2018</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Type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Rate</w:t>
            </w:r>
            <w:r>
              <w:rPr>
                <w:rFonts w:ascii="Arial" w:cs="Arial" w:eastAsia="Arial" w:hAnsi="Arial"/>
                <w:sz w:val="14"/>
                <w:szCs w:val="14"/>
                <w:b w:val="1"/>
                <w:bCs w:val="1"/>
                <w:color w:val="auto"/>
                <w:w w:val="89"/>
                <w:vertAlign w:val="superscript"/>
              </w:rPr>
              <w:t>1</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L+ 6.75%</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AAC Holdings,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Healthcare services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6/30/2023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$7,568,046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$7,413,688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7,700,487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L+6.50%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American Scaffold Holdings,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Aerospace &amp; defense</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3/31/2022</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2,775,000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2,746,293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2,761,125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L+6.50%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American Teleconferencing</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Ltd.</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Telecommunications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12/8/2021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7,287,370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6,938,866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7,285,548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L+6.50%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tcPr>
          <w:p>
            <w:pPr>
              <w:spacing w:after="0"/>
              <w:rPr>
                <w:sz w:val="20"/>
                <w:szCs w:val="20"/>
                <w:color w:val="auto"/>
              </w:rPr>
            </w:pPr>
            <w:r>
              <w:rPr>
                <w:rFonts w:ascii="Arial" w:cs="Arial" w:eastAsia="Arial" w:hAnsi="Arial"/>
                <w:sz w:val="16"/>
                <w:szCs w:val="16"/>
                <w:color w:val="auto"/>
              </w:rPr>
              <w:t>Ansira Holdings, Inc.</w:t>
            </w:r>
            <w:r>
              <w:rPr>
                <w:rFonts w:ascii="Arial" w:cs="Arial" w:eastAsia="Arial" w:hAnsi="Arial"/>
                <w:sz w:val="17"/>
                <w:szCs w:val="17"/>
                <w:color w:val="auto"/>
                <w:vertAlign w:val="superscript"/>
              </w:rPr>
              <w:t>3</w:t>
            </w:r>
          </w:p>
        </w:tc>
        <w:tc>
          <w:tcPr>
            <w:tcW w:w="1620" w:type="dxa"/>
            <w:vAlign w:val="bottom"/>
            <w:gridSpan w:val="2"/>
          </w:tcPr>
          <w:p>
            <w:pPr>
              <w:spacing w:after="0"/>
              <w:rPr>
                <w:sz w:val="20"/>
                <w:szCs w:val="20"/>
                <w:color w:val="auto"/>
              </w:rPr>
            </w:pPr>
            <w:r>
              <w:rPr>
                <w:rFonts w:ascii="Arial" w:cs="Arial" w:eastAsia="Arial" w:hAnsi="Arial"/>
                <w:sz w:val="16"/>
                <w:szCs w:val="16"/>
                <w:color w:val="auto"/>
              </w:rPr>
              <w:t>Business 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12/20/2022</w:t>
            </w: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3,878,182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3,847,470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3,868,486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L+6.50%</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Delayed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Draw</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12/20/2022</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315,316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310,799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L+7.25%</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Technology products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ATI Investment Sub,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&amp; components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6/22/2021</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3,557,227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3,503,722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3,552,781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Technology products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ATX Canada Acquisitionco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&amp; components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6/11/2021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4,836,742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4,801,504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4,498,170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6"/>
                <w:szCs w:val="16"/>
                <w:color w:val="auto"/>
              </w:rPr>
              <w:t>Beaver-Visitec International</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Holdings,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Healthcare products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8/21/2023</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4,925,000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4,886,584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4,949,625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California Pizza Kitchen,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Restaurants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8/23/2022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6,899,937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6,863,761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6,775,739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6"/>
                <w:szCs w:val="16"/>
                <w:color w:val="auto"/>
              </w:rPr>
              <w:t>Chloe Ox Parent, LLC (Censeo</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Health)</w:t>
            </w:r>
          </w:p>
        </w:tc>
        <w:tc>
          <w:tcPr>
            <w:tcW w:w="1620" w:type="dxa"/>
            <w:vAlign w:val="bottom"/>
            <w:gridSpan w:val="2"/>
          </w:tcPr>
          <w:p>
            <w:pPr>
              <w:spacing w:after="0"/>
              <w:rPr>
                <w:sz w:val="20"/>
                <w:szCs w:val="20"/>
                <w:color w:val="auto"/>
              </w:rPr>
            </w:pPr>
            <w:r>
              <w:rPr>
                <w:rFonts w:ascii="Arial" w:cs="Arial" w:eastAsia="Arial" w:hAnsi="Arial"/>
                <w:sz w:val="16"/>
                <w:szCs w:val="16"/>
                <w:color w:val="auto"/>
              </w:rPr>
              <w:t>Healthcare 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12/31/2024</w:t>
            </w: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5,149,500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5,265,000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CMN.com, LLC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Consumer services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11/3/2021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8,742,126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8,645,306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8,742,126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L+6.50%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Software &amp; IT</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Digital River,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2/12/2021</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8,002,967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7,995,112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8,002,967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L+6.50%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 Wireless Holdings,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Retail</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12/31/2024</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6,912,500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6,845,573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6,903,859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L+4.25%</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gridSpan w:val="2"/>
          </w:tcPr>
          <w:p>
            <w:pPr>
              <w:spacing w:after="0"/>
              <w:rPr>
                <w:sz w:val="20"/>
                <w:szCs w:val="20"/>
                <w:color w:val="auto"/>
              </w:rPr>
            </w:pPr>
            <w:r>
              <w:rPr>
                <w:rFonts w:ascii="Arial" w:cs="Arial" w:eastAsia="Arial" w:hAnsi="Arial"/>
                <w:sz w:val="16"/>
                <w:szCs w:val="16"/>
                <w:color w:val="auto"/>
              </w:rPr>
              <w:t>Highline Aftermarket Acquisition,</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LLC</w:t>
            </w:r>
          </w:p>
        </w:tc>
        <w:tc>
          <w:tcPr>
            <w:tcW w:w="1620" w:type="dxa"/>
            <w:vAlign w:val="bottom"/>
            <w:gridSpan w:val="2"/>
          </w:tcPr>
          <w:p>
            <w:pPr>
              <w:spacing w:after="0"/>
              <w:rPr>
                <w:sz w:val="20"/>
                <w:szCs w:val="20"/>
                <w:color w:val="auto"/>
              </w:rPr>
            </w:pPr>
            <w:r>
              <w:rPr>
                <w:rFonts w:ascii="Arial" w:cs="Arial" w:eastAsia="Arial" w:hAnsi="Arial"/>
                <w:sz w:val="16"/>
                <w:szCs w:val="16"/>
                <w:color w:val="auto"/>
              </w:rPr>
              <w:t>Automobile</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3/17/2024</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2,856,595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2,844,340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2,860,166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L+7.00%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Hunter Defense Technologies,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Aerospace &amp; defense</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3/29/2023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6,370,152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6,370,152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L+6.00%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rPr>
                <w:sz w:val="20"/>
                <w:szCs w:val="20"/>
                <w:color w:val="auto"/>
              </w:rPr>
            </w:pPr>
            <w:r>
              <w:rPr>
                <w:rFonts w:ascii="Arial" w:cs="Arial" w:eastAsia="Arial" w:hAnsi="Arial"/>
                <w:sz w:val="16"/>
                <w:szCs w:val="16"/>
                <w:color w:val="auto"/>
              </w:rPr>
              <w:t>iEnergizer Limited</w:t>
            </w:r>
          </w:p>
        </w:tc>
        <w:tc>
          <w:tcPr>
            <w:tcW w:w="1620" w:type="dxa"/>
            <w:vAlign w:val="bottom"/>
            <w:gridSpan w:val="2"/>
          </w:tcPr>
          <w:p>
            <w:pPr>
              <w:spacing w:after="0"/>
              <w:rPr>
                <w:sz w:val="20"/>
                <w:szCs w:val="20"/>
                <w:color w:val="auto"/>
              </w:rPr>
            </w:pPr>
            <w:r>
              <w:rPr>
                <w:rFonts w:ascii="Arial" w:cs="Arial" w:eastAsia="Arial" w:hAnsi="Arial"/>
                <w:sz w:val="16"/>
                <w:szCs w:val="16"/>
                <w:color w:val="auto"/>
              </w:rPr>
              <w:t>Business 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1.25%)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6,550,375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6,421,048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6,558,563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L+8.75%</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Media, marketing &amp;</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Imagine! Print Solutions, LLC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entertainment</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6/21/2023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2,960,563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2,760,000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Software &amp; IT</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gridSpan w:val="2"/>
          </w:tcPr>
          <w:p>
            <w:pPr>
              <w:spacing w:after="0"/>
              <w:rPr>
                <w:sz w:val="20"/>
                <w:szCs w:val="20"/>
                <w:color w:val="auto"/>
              </w:rPr>
            </w:pPr>
            <w:r>
              <w:rPr>
                <w:rFonts w:ascii="Arial" w:cs="Arial" w:eastAsia="Arial" w:hAnsi="Arial"/>
                <w:sz w:val="16"/>
                <w:szCs w:val="16"/>
                <w:color w:val="auto"/>
              </w:rPr>
              <w:t>InfoGroup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4/3/2023</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4"/>
              </w:rPr>
              <w:t>1.50%)</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2,970,000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2,945,028</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2,957,021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60972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Industry</w:t>
            </w: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Interest</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Type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 xml:space="preserve">Rate </w:t>
            </w:r>
            <w:r>
              <w:rPr>
                <w:rFonts w:ascii="Arial" w:cs="Arial" w:eastAsia="Arial" w:hAnsi="Arial"/>
                <w:sz w:val="14"/>
                <w:szCs w:val="14"/>
                <w:b w:val="1"/>
                <w:bCs w:val="1"/>
                <w:color w:val="auto"/>
                <w:w w:val="91"/>
                <w:vertAlign w:val="superscript"/>
              </w:rPr>
              <w:t>1</w:t>
            </w: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L+5.75%</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Integro Parent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services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10/31/2022</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4,888,924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4,768,810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4,888,924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L+5.00%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iPayment Holdings,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Financial 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4/11/2023</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1.50%)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4,987,500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4,987,500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5,049,844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KeyPoint Government Solutions,</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services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4/18/2024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4,708,981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4,750,000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L+5.75%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LOGIX Holdings Company, LLC</w:t>
            </w:r>
          </w:p>
        </w:tc>
        <w:tc>
          <w:tcPr>
            <w:tcW w:w="1620" w:type="dxa"/>
            <w:vAlign w:val="bottom"/>
            <w:gridSpan w:val="2"/>
          </w:tcPr>
          <w:p>
            <w:pPr>
              <w:spacing w:after="0"/>
              <w:rPr>
                <w:sz w:val="20"/>
                <w:szCs w:val="20"/>
                <w:color w:val="auto"/>
              </w:rPr>
            </w:pPr>
            <w:r>
              <w:rPr>
                <w:rFonts w:ascii="Arial" w:cs="Arial" w:eastAsia="Arial" w:hAnsi="Arial"/>
                <w:sz w:val="16"/>
                <w:szCs w:val="16"/>
                <w:color w:val="auto"/>
              </w:rPr>
              <w:t>Telecommunications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12/22/2024</w:t>
            </w: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4,528,716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4,484,992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4,551,360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LSF9 Atlantis Holdings, LLC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Telecommunications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6,868,750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6,810,137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6,854,429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L+7.00%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Consumer products &amp;</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Lulu's Fashion Lounge, LLC</w:t>
            </w:r>
          </w:p>
        </w:tc>
        <w:tc>
          <w:tcPr>
            <w:tcW w:w="1620" w:type="dxa"/>
            <w:vAlign w:val="bottom"/>
            <w:gridSpan w:val="2"/>
          </w:tcPr>
          <w:p>
            <w:pPr>
              <w:spacing w:after="0"/>
              <w:rPr>
                <w:sz w:val="20"/>
                <w:szCs w:val="20"/>
                <w:color w:val="auto"/>
              </w:rPr>
            </w:pPr>
            <w:r>
              <w:rPr>
                <w:rFonts w:ascii="Arial" w:cs="Arial" w:eastAsia="Arial" w:hAnsi="Arial"/>
                <w:sz w:val="16"/>
                <w:szCs w:val="16"/>
                <w:color w:val="auto"/>
              </w:rPr>
              <w:t>retail</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8/23/2022</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4,374,999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4,254,636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4,506,249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L+5.50%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NBG Acquisition,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Wholesale</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4/26/2024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2,962,500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2,911,071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2,973,609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L+6.25%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Media, marketing &amp;</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New Media Holdings II LLC</w:t>
            </w:r>
          </w:p>
        </w:tc>
        <w:tc>
          <w:tcPr>
            <w:tcW w:w="1620" w:type="dxa"/>
            <w:vAlign w:val="bottom"/>
            <w:gridSpan w:val="2"/>
          </w:tcPr>
          <w:p>
            <w:pPr>
              <w:spacing w:after="0"/>
              <w:rPr>
                <w:sz w:val="20"/>
                <w:szCs w:val="20"/>
                <w:color w:val="auto"/>
              </w:rPr>
            </w:pPr>
            <w:r>
              <w:rPr>
                <w:rFonts w:ascii="Arial" w:cs="Arial" w:eastAsia="Arial" w:hAnsi="Arial"/>
                <w:sz w:val="16"/>
                <w:szCs w:val="16"/>
                <w:color w:val="auto"/>
              </w:rPr>
              <w:t>entertainment</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7/14/2022</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8,822,598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8,799,522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8,880,518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L+5.25%</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Peraton Corp. (fka MHVC</w:t>
            </w: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Corp.)</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Aerospace &amp; defense</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4/29/2024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4,960,013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4,938,405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5,022,013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L+5.50%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Consumer products &amp;</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Pet Supermarket,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retail</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7/5/2022</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4,925,000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4,889,928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4,900,375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L+5.25%</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Polycom, Inc.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Telecommunications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9/27/2023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5,234,833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5,234,833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5,287,182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color w:val="auto"/>
                <w:w w:val="97"/>
              </w:rPr>
              <w:t>L+5.25%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Prepaid Legal Services, Inc.</w:t>
            </w:r>
          </w:p>
        </w:tc>
        <w:tc>
          <w:tcPr>
            <w:tcW w:w="1620" w:type="dxa"/>
            <w:vAlign w:val="bottom"/>
            <w:gridSpan w:val="2"/>
          </w:tcPr>
          <w:p>
            <w:pPr>
              <w:spacing w:after="0"/>
              <w:rPr>
                <w:sz w:val="20"/>
                <w:szCs w:val="20"/>
                <w:color w:val="auto"/>
              </w:rPr>
            </w:pPr>
            <w:r>
              <w:rPr>
                <w:rFonts w:ascii="Arial" w:cs="Arial" w:eastAsia="Arial" w:hAnsi="Arial"/>
                <w:sz w:val="16"/>
                <w:szCs w:val="16"/>
                <w:color w:val="auto"/>
              </w:rPr>
              <w:t>Consumer 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7/1/2019</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1.25%)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3,860,938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3,859,187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3,860,938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7"/>
              </w:rPr>
              <w:t>L+9.00%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7/1/2020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L+6.50%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tcPr>
          <w:p>
            <w:pPr>
              <w:spacing w:after="0"/>
              <w:rPr>
                <w:sz w:val="20"/>
                <w:szCs w:val="20"/>
                <w:color w:val="auto"/>
              </w:rPr>
            </w:pPr>
            <w:r>
              <w:rPr>
                <w:rFonts w:ascii="Arial" w:cs="Arial" w:eastAsia="Arial" w:hAnsi="Arial"/>
                <w:sz w:val="16"/>
                <w:szCs w:val="16"/>
                <w:color w:val="auto"/>
              </w:rPr>
              <w:t>PT Network, LLC</w:t>
            </w:r>
            <w:r>
              <w:rPr>
                <w:rFonts w:ascii="Arial" w:cs="Arial" w:eastAsia="Arial" w:hAnsi="Arial"/>
                <w:sz w:val="17"/>
                <w:szCs w:val="17"/>
                <w:color w:val="auto"/>
                <w:vertAlign w:val="superscript"/>
              </w:rPr>
              <w:t>4</w:t>
            </w:r>
          </w:p>
        </w:tc>
        <w:tc>
          <w:tcPr>
            <w:tcW w:w="1620" w:type="dxa"/>
            <w:vAlign w:val="bottom"/>
            <w:gridSpan w:val="2"/>
          </w:tcPr>
          <w:p>
            <w:pPr>
              <w:spacing w:after="0"/>
              <w:rPr>
                <w:sz w:val="20"/>
                <w:szCs w:val="20"/>
                <w:color w:val="auto"/>
              </w:rPr>
            </w:pPr>
            <w:r>
              <w:rPr>
                <w:rFonts w:ascii="Arial" w:cs="Arial" w:eastAsia="Arial" w:hAnsi="Arial"/>
                <w:sz w:val="16"/>
                <w:szCs w:val="16"/>
                <w:color w:val="auto"/>
              </w:rPr>
              <w:t>Healthcare products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11/30/2021</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4,425,133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4,425,133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4,425,133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Redwood Ahead Acquisition, LLC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services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11/2/2020</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L+ 6.50%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2,811,484</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2,767,547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2,829,056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L+6.50%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tcPr>
          <w:p>
            <w:pPr>
              <w:spacing w:after="0"/>
              <w:rPr>
                <w:sz w:val="20"/>
                <w:szCs w:val="20"/>
                <w:color w:val="auto"/>
              </w:rPr>
            </w:pPr>
            <w:r>
              <w:rPr>
                <w:rFonts w:ascii="Arial" w:cs="Arial" w:eastAsia="Arial" w:hAnsi="Arial"/>
                <w:sz w:val="16"/>
                <w:szCs w:val="16"/>
                <w:color w:val="auto"/>
              </w:rPr>
              <w:t>Solaray, LLC</w:t>
            </w:r>
            <w:r>
              <w:rPr>
                <w:rFonts w:ascii="Arial" w:cs="Arial" w:eastAsia="Arial" w:hAnsi="Arial"/>
                <w:sz w:val="17"/>
                <w:szCs w:val="17"/>
                <w:color w:val="auto"/>
                <w:vertAlign w:val="superscript"/>
              </w:rPr>
              <w:t>5</w:t>
            </w:r>
          </w:p>
        </w:tc>
        <w:tc>
          <w:tcPr>
            <w:tcW w:w="1620" w:type="dxa"/>
            <w:vAlign w:val="bottom"/>
            <w:gridSpan w:val="2"/>
          </w:tcPr>
          <w:p>
            <w:pPr>
              <w:spacing w:after="0"/>
              <w:rPr>
                <w:sz w:val="20"/>
                <w:szCs w:val="20"/>
                <w:color w:val="auto"/>
              </w:rPr>
            </w:pPr>
            <w:r>
              <w:rPr>
                <w:rFonts w:ascii="Arial" w:cs="Arial" w:eastAsia="Arial" w:hAnsi="Arial"/>
                <w:sz w:val="16"/>
                <w:szCs w:val="16"/>
                <w:color w:val="auto"/>
              </w:rPr>
              <w:t>Consumer services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9/8/2023</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6,308,205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6,263,089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6,308,205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L+6.50%</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Delayed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Draw</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9/8/2023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1,784,890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1,768,866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1,784,890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color w:val="auto"/>
              </w:rPr>
              <w:t>Consumer products &amp;</w:t>
            </w:r>
          </w:p>
        </w:tc>
        <w:tc>
          <w:tcPr>
            <w:tcW w:w="900" w:type="dxa"/>
            <w:vAlign w:val="bottom"/>
            <w:gridSpan w:val="2"/>
          </w:tcPr>
          <w:p>
            <w:pPr>
              <w:spacing w:after="0"/>
              <w:rPr>
                <w:sz w:val="20"/>
                <w:szCs w:val="20"/>
                <w:color w:val="auto"/>
              </w:rPr>
            </w:pPr>
            <w:r>
              <w:rPr>
                <w:rFonts w:ascii="Arial" w:cs="Arial" w:eastAsia="Arial" w:hAnsi="Arial"/>
                <w:sz w:val="16"/>
                <w:szCs w:val="16"/>
                <w:color w:val="auto"/>
              </w:rPr>
              <w:t>Second</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Tacala, LLC</w:t>
            </w:r>
          </w:p>
        </w:tc>
        <w:tc>
          <w:tcPr>
            <w:tcW w:w="1620" w:type="dxa"/>
            <w:vAlign w:val="bottom"/>
            <w:gridSpan w:val="2"/>
          </w:tcPr>
          <w:p>
            <w:pPr>
              <w:spacing w:after="0"/>
              <w:rPr>
                <w:sz w:val="20"/>
                <w:szCs w:val="20"/>
                <w:color w:val="auto"/>
              </w:rPr>
            </w:pPr>
            <w:r>
              <w:rPr>
                <w:rFonts w:ascii="Arial" w:cs="Arial" w:eastAsia="Arial" w:hAnsi="Arial"/>
                <w:sz w:val="16"/>
                <w:szCs w:val="16"/>
                <w:color w:val="auto"/>
              </w:rPr>
              <w:t>retail</w:t>
            </w:r>
          </w:p>
        </w:tc>
        <w:tc>
          <w:tcPr>
            <w:tcW w:w="900" w:type="dxa"/>
            <w:vAlign w:val="bottom"/>
            <w:gridSpan w:val="2"/>
          </w:tcPr>
          <w:p>
            <w:pPr>
              <w:spacing w:after="0"/>
              <w:rPr>
                <w:sz w:val="20"/>
                <w:szCs w:val="20"/>
                <w:color w:val="auto"/>
              </w:rPr>
            </w:pPr>
            <w:r>
              <w:rPr>
                <w:rFonts w:ascii="Arial" w:cs="Arial" w:eastAsia="Arial" w:hAnsi="Arial"/>
                <w:sz w:val="16"/>
                <w:szCs w:val="16"/>
                <w:color w:val="auto"/>
              </w:rPr>
              <w:t>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1/31/2026</w:t>
            </w:r>
          </w:p>
        </w:tc>
        <w:tc>
          <w:tcPr>
            <w:tcW w:w="14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L+7.00%</w:t>
            </w:r>
          </w:p>
        </w:tc>
        <w:tc>
          <w:tcPr>
            <w:tcW w:w="800" w:type="dxa"/>
            <w:vAlign w:val="bottom"/>
          </w:tcPr>
          <w:p>
            <w:pPr>
              <w:jc w:val="right"/>
              <w:spacing w:after="0"/>
              <w:rPr>
                <w:sz w:val="20"/>
                <w:szCs w:val="20"/>
                <w:color w:val="auto"/>
              </w:rPr>
            </w:pPr>
            <w:r>
              <w:rPr>
                <w:rFonts w:ascii="Arial" w:cs="Arial" w:eastAsia="Arial" w:hAnsi="Arial"/>
                <w:sz w:val="16"/>
                <w:szCs w:val="16"/>
                <w:color w:val="auto"/>
              </w:rPr>
              <w:t>3,000,000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2,985,089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3,063,765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L+8.50%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Teleguam Holdings , LLC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Telecommunications</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4/12/2024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1,963,812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2,015,000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L+6.25%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gridSpan w:val="2"/>
          </w:tcPr>
          <w:p>
            <w:pPr>
              <w:spacing w:after="0"/>
              <w:rPr>
                <w:sz w:val="20"/>
                <w:szCs w:val="20"/>
                <w:color w:val="auto"/>
              </w:rPr>
            </w:pPr>
            <w:r>
              <w:rPr>
                <w:rFonts w:ascii="Arial" w:cs="Arial" w:eastAsia="Arial" w:hAnsi="Arial"/>
                <w:sz w:val="16"/>
                <w:szCs w:val="16"/>
                <w:color w:val="auto"/>
              </w:rPr>
              <w:t>Terra Millennium Corporation</w:t>
            </w:r>
          </w:p>
        </w:tc>
        <w:tc>
          <w:tcPr>
            <w:tcW w:w="1620" w:type="dxa"/>
            <w:vAlign w:val="bottom"/>
            <w:gridSpan w:val="2"/>
          </w:tcPr>
          <w:p>
            <w:pPr>
              <w:spacing w:after="0"/>
              <w:rPr>
                <w:sz w:val="20"/>
                <w:szCs w:val="20"/>
                <w:color w:val="auto"/>
              </w:rPr>
            </w:pPr>
            <w:r>
              <w:rPr>
                <w:rFonts w:ascii="Arial" w:cs="Arial" w:eastAsia="Arial" w:hAnsi="Arial"/>
                <w:sz w:val="16"/>
                <w:szCs w:val="16"/>
                <w:color w:val="auto"/>
              </w:rPr>
              <w:t>Industrial products</w:t>
            </w:r>
          </w:p>
        </w:tc>
        <w:tc>
          <w:tcPr>
            <w:tcW w:w="90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10/31/2022</w:t>
            </w:r>
          </w:p>
        </w:tc>
        <w:tc>
          <w:tcPr>
            <w:tcW w:w="82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7,776,019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7,715,978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7,834,339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7"/>
              </w:rPr>
              <w:t>L+5.50%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TestEquity, LLC</w:t>
            </w:r>
          </w:p>
        </w:tc>
        <w:tc>
          <w:tcPr>
            <w:tcW w:w="1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equipment</w:t>
            </w:r>
          </w:p>
        </w:tc>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4/28/2022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4,952,674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4,911,727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4,952,674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60972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13" w:name="page114"/>
    <w:bookmarkEnd w:id="113"/>
    <w:p>
      <w:pPr>
        <w:ind w:left="4"/>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Investment</w:t>
            </w: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0" w:type="dxa"/>
            <w:vAlign w:val="bottom"/>
          </w:tcPr>
          <w:p>
            <w:pPr>
              <w:spacing w:after="0"/>
              <w:rPr>
                <w:sz w:val="12"/>
                <w:szCs w:val="12"/>
                <w:color w:val="auto"/>
              </w:rPr>
            </w:pPr>
          </w:p>
        </w:tc>
        <w:tc>
          <w:tcPr>
            <w:tcW w:w="15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Industry</w:t>
            </w:r>
          </w:p>
        </w:tc>
        <w:tc>
          <w:tcPr>
            <w:tcW w:w="8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11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71"/>
        </w:trPr>
        <w:tc>
          <w:tcPr>
            <w:tcW w:w="23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Type</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xml:space="preserve">Rate </w:t>
            </w:r>
            <w:r>
              <w:rPr>
                <w:rFonts w:ascii="Arial" w:cs="Arial" w:eastAsia="Arial" w:hAnsi="Arial"/>
                <w:sz w:val="14"/>
                <w:szCs w:val="14"/>
                <w:b w:val="1"/>
                <w:bCs w:val="1"/>
                <w:color w:val="auto"/>
                <w:w w:val="91"/>
                <w:vertAlign w:val="superscript"/>
              </w:rPr>
              <w:t>1</w:t>
            </w: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L+5.00%</w:t>
            </w: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spacing w:after="0"/>
              <w:rPr>
                <w:sz w:val="20"/>
                <w:szCs w:val="20"/>
                <w:color w:val="auto"/>
              </w:rPr>
            </w:pPr>
            <w:r>
              <w:rPr>
                <w:rFonts w:ascii="Arial" w:cs="Arial" w:eastAsia="Arial" w:hAnsi="Arial"/>
                <w:sz w:val="16"/>
                <w:szCs w:val="16"/>
                <w:color w:val="auto"/>
              </w:rPr>
              <w:t>Durable consumer</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gridSpan w:val="2"/>
          </w:tcPr>
          <w:p>
            <w:pPr>
              <w:spacing w:after="0"/>
              <w:rPr>
                <w:sz w:val="20"/>
                <w:szCs w:val="20"/>
                <w:color w:val="auto"/>
              </w:rPr>
            </w:pPr>
            <w:r>
              <w:rPr>
                <w:rFonts w:ascii="Arial" w:cs="Arial" w:eastAsia="Arial" w:hAnsi="Arial"/>
                <w:sz w:val="16"/>
                <w:szCs w:val="16"/>
                <w:color w:val="auto"/>
              </w:rPr>
              <w:t>TGP Holdings III LLC</w:t>
            </w:r>
            <w:r>
              <w:rPr>
                <w:rFonts w:ascii="Arial" w:cs="Arial" w:eastAsia="Arial" w:hAnsi="Arial"/>
                <w:sz w:val="17"/>
                <w:szCs w:val="17"/>
                <w:color w:val="auto"/>
                <w:vertAlign w:val="superscript"/>
              </w:rPr>
              <w:t>6</w:t>
            </w:r>
          </w:p>
        </w:tc>
        <w:tc>
          <w:tcPr>
            <w:tcW w:w="1600" w:type="dxa"/>
            <w:vAlign w:val="bottom"/>
            <w:gridSpan w:val="3"/>
          </w:tcPr>
          <w:p>
            <w:pPr>
              <w:spacing w:after="0"/>
              <w:rPr>
                <w:sz w:val="20"/>
                <w:szCs w:val="20"/>
                <w:color w:val="auto"/>
              </w:rPr>
            </w:pPr>
            <w:r>
              <w:rPr>
                <w:rFonts w:ascii="Arial" w:cs="Arial" w:eastAsia="Arial" w:hAnsi="Arial"/>
                <w:sz w:val="16"/>
                <w:szCs w:val="16"/>
                <w:color w:val="auto"/>
              </w:rPr>
              <w:t>goods</w:t>
            </w:r>
          </w:p>
        </w:tc>
        <w:tc>
          <w:tcPr>
            <w:tcW w:w="88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9/25/2024</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5"/>
              </w:rPr>
              <w:t>1,720,169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1,701,604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1,736,296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L+8.50%</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9/25/2025</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2,500,000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2,464,804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gridSpan w:val="2"/>
          </w:tcPr>
          <w:p>
            <w:pPr>
              <w:spacing w:after="0"/>
              <w:rPr>
                <w:sz w:val="20"/>
                <w:szCs w:val="20"/>
                <w:color w:val="auto"/>
              </w:rPr>
            </w:pPr>
            <w:r>
              <w:rPr>
                <w:rFonts w:ascii="Arial" w:cs="Arial" w:eastAsia="Arial" w:hAnsi="Arial"/>
                <w:sz w:val="16"/>
                <w:szCs w:val="16"/>
                <w:color w:val="auto"/>
              </w:rPr>
              <w:t>Time Manufacturing Acquisition</w:t>
            </w:r>
          </w:p>
        </w:tc>
        <w:tc>
          <w:tcPr>
            <w:tcW w:w="1600" w:type="dxa"/>
            <w:vAlign w:val="bottom"/>
            <w:gridSpan w:val="3"/>
          </w:tcPr>
          <w:p>
            <w:pPr>
              <w:spacing w:after="0"/>
              <w:rPr>
                <w:sz w:val="20"/>
                <w:szCs w:val="20"/>
                <w:color w:val="auto"/>
              </w:rPr>
            </w:pPr>
            <w:r>
              <w:rPr>
                <w:rFonts w:ascii="Arial" w:cs="Arial" w:eastAsia="Arial" w:hAnsi="Arial"/>
                <w:sz w:val="16"/>
                <w:szCs w:val="16"/>
                <w:color w:val="auto"/>
              </w:rPr>
              <w:t>Capital equipment</w:t>
            </w:r>
          </w:p>
        </w:tc>
        <w:tc>
          <w:tcPr>
            <w:tcW w:w="88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2/3/2023</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5"/>
              </w:rPr>
              <w:t>4,947,519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4,908,622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4,935,150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L+7.00%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Consumer products &amp;</w:t>
            </w:r>
          </w:p>
        </w:tc>
        <w:tc>
          <w:tcPr>
            <w:tcW w:w="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Turning Point Brands, Inc.</w:t>
            </w:r>
          </w:p>
        </w:tc>
        <w:tc>
          <w:tcPr>
            <w:tcW w:w="1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retail</w:t>
            </w:r>
          </w:p>
        </w:tc>
        <w:tc>
          <w:tcPr>
            <w:tcW w:w="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3/7/2024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3,000,000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2,970,120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L+8.50%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gridSpan w:val="2"/>
          </w:tcPr>
          <w:p>
            <w:pPr>
              <w:spacing w:after="0"/>
              <w:rPr>
                <w:sz w:val="20"/>
                <w:szCs w:val="20"/>
                <w:color w:val="auto"/>
              </w:rPr>
            </w:pPr>
            <w:r>
              <w:rPr>
                <w:rFonts w:ascii="Arial" w:cs="Arial" w:eastAsia="Arial" w:hAnsi="Arial"/>
                <w:sz w:val="16"/>
                <w:szCs w:val="16"/>
                <w:color w:val="auto"/>
              </w:rPr>
              <w:t>UniTek Global Services, Inc.</w:t>
            </w:r>
          </w:p>
        </w:tc>
        <w:tc>
          <w:tcPr>
            <w:tcW w:w="1600" w:type="dxa"/>
            <w:vAlign w:val="bottom"/>
            <w:gridSpan w:val="3"/>
          </w:tcPr>
          <w:p>
            <w:pPr>
              <w:spacing w:after="0"/>
              <w:rPr>
                <w:sz w:val="20"/>
                <w:szCs w:val="20"/>
                <w:color w:val="auto"/>
              </w:rPr>
            </w:pPr>
            <w:r>
              <w:rPr>
                <w:rFonts w:ascii="Arial" w:cs="Arial" w:eastAsia="Arial" w:hAnsi="Arial"/>
                <w:sz w:val="16"/>
                <w:szCs w:val="16"/>
                <w:color w:val="auto"/>
              </w:rPr>
              <w:t>Telecommunications</w:t>
            </w:r>
          </w:p>
        </w:tc>
        <w:tc>
          <w:tcPr>
            <w:tcW w:w="88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1/13/2019</w:t>
            </w: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5"/>
              </w:rPr>
              <w:t>4,584,809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4,584,809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4,584,809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US Joiner Holding Company</w:t>
            </w:r>
          </w:p>
        </w:tc>
        <w:tc>
          <w:tcPr>
            <w:tcW w:w="1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Transportation &amp;</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(IMECO and RAACI)</w:t>
            </w:r>
          </w:p>
        </w:tc>
        <w:tc>
          <w:tcPr>
            <w:tcW w:w="1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logistics</w:t>
            </w:r>
          </w:p>
        </w:tc>
        <w:tc>
          <w:tcPr>
            <w:tcW w:w="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8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4/16/2020</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4,459,182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4,425,102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4,436,886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40" w:type="dxa"/>
            <w:vAlign w:val="bottom"/>
            <w:gridSpan w:val="2"/>
          </w:tcPr>
          <w:p>
            <w:pPr>
              <w:spacing w:after="0"/>
              <w:rPr>
                <w:sz w:val="20"/>
                <w:szCs w:val="20"/>
                <w:color w:val="auto"/>
              </w:rPr>
            </w:pPr>
            <w:r>
              <w:rPr>
                <w:rFonts w:ascii="Arial" w:cs="Arial" w:eastAsia="Arial" w:hAnsi="Arial"/>
                <w:sz w:val="16"/>
                <w:szCs w:val="16"/>
                <w:color w:val="auto"/>
              </w:rPr>
              <w:t>U.S. TelePacific Corp.</w:t>
            </w:r>
          </w:p>
        </w:tc>
        <w:tc>
          <w:tcPr>
            <w:tcW w:w="1600" w:type="dxa"/>
            <w:vAlign w:val="bottom"/>
            <w:gridSpan w:val="3"/>
          </w:tcPr>
          <w:p>
            <w:pPr>
              <w:spacing w:after="0"/>
              <w:rPr>
                <w:sz w:val="20"/>
                <w:szCs w:val="20"/>
                <w:color w:val="auto"/>
              </w:rPr>
            </w:pPr>
            <w:r>
              <w:rPr>
                <w:rFonts w:ascii="Arial" w:cs="Arial" w:eastAsia="Arial" w:hAnsi="Arial"/>
                <w:sz w:val="16"/>
                <w:szCs w:val="16"/>
                <w:color w:val="auto"/>
              </w:rPr>
              <w:t>Telecommunications</w:t>
            </w:r>
          </w:p>
        </w:tc>
        <w:tc>
          <w:tcPr>
            <w:tcW w:w="88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5/2/2023</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5"/>
              </w:rPr>
              <w:t>7,643,991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7,550,843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7,441,425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Hotel, gaming &amp;</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VIP Cinema Holdings, Inc.</w:t>
            </w:r>
          </w:p>
        </w:tc>
        <w:tc>
          <w:tcPr>
            <w:tcW w:w="16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leisure</w:t>
            </w:r>
          </w:p>
        </w:tc>
        <w:tc>
          <w:tcPr>
            <w:tcW w:w="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3/1/2023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4,750,000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4,730,480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4,804,934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Investments</w:t>
            </w:r>
          </w:p>
        </w:tc>
        <w:tc>
          <w:tcPr>
            <w:tcW w:w="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218,673,548</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220,806,845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4" w:hanging="324"/>
        <w:spacing w:after="0" w:line="248" w:lineRule="auto"/>
        <w:tabs>
          <w:tab w:leader="none" w:pos="324"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Represents the interest rate as of March 31, 2018. All interest rates are payable in cash, unless otherwise noted. The majority of investments bear interest at a rate that may be determined by reference to London Interbank Offered Rate (“LIBOR” or “L”) or Prime (“Prime”) which reset daily, monthly, quarterly, or semiannually. For each the Company has provided the spread over LIBOR or Prime in effect at March 31,</w:t>
      </w:r>
    </w:p>
    <w:p>
      <w:pPr>
        <w:ind w:left="324"/>
        <w:spacing w:after="0" w:line="212" w:lineRule="auto"/>
        <w:rPr>
          <w:sz w:val="20"/>
          <w:szCs w:val="20"/>
          <w:color w:val="auto"/>
        </w:rPr>
      </w:pPr>
      <w:r>
        <w:rPr>
          <w:rFonts w:ascii="Arial" w:cs="Arial" w:eastAsia="Arial" w:hAnsi="Arial"/>
          <w:sz w:val="16"/>
          <w:szCs w:val="16"/>
          <w:color w:val="auto"/>
        </w:rPr>
        <w:t>2018. Certain investments are subject to a LIBOR or Prime interest rate floor.</w:t>
      </w:r>
    </w:p>
    <w:p>
      <w:pPr>
        <w:spacing w:after="0" w:line="1" w:lineRule="exact"/>
        <w:rPr>
          <w:sz w:val="20"/>
          <w:szCs w:val="20"/>
          <w:color w:val="auto"/>
        </w:rPr>
      </w:pPr>
    </w:p>
    <w:p>
      <w:pPr>
        <w:ind w:left="324" w:hanging="324"/>
        <w:spacing w:after="0"/>
        <w:tabs>
          <w:tab w:leader="none" w:pos="324"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the fair value determined utilizing a similar process as the Company in accordance with ASC 820. However, the determination of</w:t>
      </w:r>
    </w:p>
    <w:p>
      <w:pPr>
        <w:spacing w:after="0" w:line="1" w:lineRule="exact"/>
        <w:rPr>
          <w:sz w:val="20"/>
          <w:szCs w:val="20"/>
          <w:color w:val="auto"/>
        </w:rPr>
      </w:pPr>
    </w:p>
    <w:p>
      <w:pPr>
        <w:ind w:left="324"/>
        <w:spacing w:after="0" w:line="211" w:lineRule="auto"/>
        <w:rPr>
          <w:sz w:val="20"/>
          <w:szCs w:val="20"/>
          <w:color w:val="auto"/>
        </w:rPr>
      </w:pPr>
      <w:r>
        <w:rPr>
          <w:rFonts w:ascii="Arial" w:cs="Arial" w:eastAsia="Arial" w:hAnsi="Arial"/>
          <w:sz w:val="16"/>
          <w:szCs w:val="16"/>
          <w:color w:val="auto"/>
        </w:rPr>
        <w:t>such fair value is determined by the Board of Managers of the Joint Venture. It is not included in the Company’s Board of Directors’ valuation process described elsewhere herein.</w:t>
      </w:r>
    </w:p>
    <w:p>
      <w:pPr>
        <w:spacing w:after="0" w:line="1" w:lineRule="exact"/>
        <w:rPr>
          <w:sz w:val="20"/>
          <w:szCs w:val="20"/>
          <w:color w:val="auto"/>
        </w:rPr>
      </w:pPr>
    </w:p>
    <w:p>
      <w:pPr>
        <w:ind w:left="324" w:hanging="324"/>
        <w:spacing w:after="0"/>
        <w:tabs>
          <w:tab w:leader="none" w:pos="3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investment has approximately $0.3 million in an unfunded delayed draw commitment as of March 31, 2018.</w:t>
      </w:r>
    </w:p>
    <w:p>
      <w:pPr>
        <w:spacing w:after="0" w:line="8" w:lineRule="exact"/>
        <w:rPr>
          <w:rFonts w:ascii="Arial" w:cs="Arial" w:eastAsia="Arial" w:hAnsi="Arial"/>
          <w:sz w:val="16"/>
          <w:szCs w:val="16"/>
          <w:color w:val="auto"/>
        </w:rPr>
      </w:pPr>
    </w:p>
    <w:p>
      <w:pPr>
        <w:jc w:val="both"/>
        <w:ind w:left="4" w:right="1940"/>
        <w:spacing w:after="0" w:line="302" w:lineRule="auto"/>
        <w:rPr>
          <w:rFonts w:ascii="Arial" w:cs="Arial" w:eastAsia="Arial" w:hAnsi="Arial"/>
          <w:sz w:val="16"/>
          <w:szCs w:val="16"/>
          <w:color w:val="auto"/>
        </w:rPr>
      </w:pPr>
      <w:r>
        <w:rPr>
          <w:rFonts w:ascii="Arial" w:cs="Arial" w:eastAsia="Arial" w:hAnsi="Arial"/>
          <w:sz w:val="15"/>
          <w:szCs w:val="15"/>
          <w:color w:val="auto"/>
        </w:rPr>
        <w:t>4 The investment has approximately $2.1 million in an unfunded delayed draw commitment as of March 31, 2018. 5 The investment has approximately $0.9 million in an unfunded delayed draw commitment as of March 31, 2018. 6 The investment has approximately $0.3 million in an unfunded delayed draw commitment as of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60972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4"/>
          </w:cols>
          <w:pgMar w:left="1156" w:top="125" w:right="115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I-45 SLF LLC Loan Portfolio as of March 31, 2017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Type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Rate</w:t>
            </w:r>
            <w:r>
              <w:rPr>
                <w:rFonts w:ascii="Arial" w:cs="Arial" w:eastAsia="Arial" w:hAnsi="Arial"/>
                <w:sz w:val="14"/>
                <w:szCs w:val="14"/>
                <w:b w:val="1"/>
                <w:bCs w:val="1"/>
                <w:color w:val="auto"/>
                <w:w w:val="89"/>
                <w:vertAlign w:val="superscript"/>
              </w:rPr>
              <w:t>1</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Ahead, LLC</w:t>
            </w:r>
          </w:p>
        </w:tc>
        <w:tc>
          <w:tcPr>
            <w:tcW w:w="1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Business services</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11/2/2020</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L+ 6.50%</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$4,687,500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$4,585,980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4,640,625</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L+6.50%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American Scaffold Holdings</w:t>
            </w:r>
          </w:p>
        </w:tc>
        <w:tc>
          <w:tcPr>
            <w:tcW w:w="1640" w:type="dxa"/>
            <w:vAlign w:val="bottom"/>
            <w:gridSpan w:val="2"/>
          </w:tcPr>
          <w:p>
            <w:pPr>
              <w:spacing w:after="0"/>
              <w:rPr>
                <w:sz w:val="20"/>
                <w:szCs w:val="20"/>
                <w:color w:val="auto"/>
              </w:rPr>
            </w:pPr>
            <w:r>
              <w:rPr>
                <w:rFonts w:ascii="Arial" w:cs="Arial" w:eastAsia="Arial" w:hAnsi="Arial"/>
                <w:sz w:val="16"/>
                <w:szCs w:val="16"/>
                <w:color w:val="auto"/>
              </w:rPr>
              <w:t>Aerospace &amp; defense</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3/31/2022</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2,925,000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2,887,177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2,910,375</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L+6.50%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American Teleconferencing</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Telecommunications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12/8/2021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5,711,302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5,243,687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5,700,451</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L+9.50%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Second</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6/6/2022</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1,708,571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1,643,620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1,674,400</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L+6.50%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Ansira Partners</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services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12/31/2022</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3,884,092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3,893,523</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L+7.25%</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6"/>
                <w:szCs w:val="16"/>
                <w:color w:val="auto"/>
              </w:rPr>
              <w:t>Technology products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Array Technologies</w:t>
            </w:r>
          </w:p>
        </w:tc>
        <w:tc>
          <w:tcPr>
            <w:tcW w:w="1640" w:type="dxa"/>
            <w:vAlign w:val="bottom"/>
            <w:gridSpan w:val="2"/>
          </w:tcPr>
          <w:p>
            <w:pPr>
              <w:spacing w:after="0"/>
              <w:rPr>
                <w:sz w:val="20"/>
                <w:szCs w:val="20"/>
                <w:color w:val="auto"/>
              </w:rPr>
            </w:pPr>
            <w:r>
              <w:rPr>
                <w:rFonts w:ascii="Arial" w:cs="Arial" w:eastAsia="Arial" w:hAnsi="Arial"/>
                <w:sz w:val="16"/>
                <w:szCs w:val="16"/>
                <w:color w:val="auto"/>
              </w:rPr>
              <w:t>&amp; components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6/22/2021</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4,625,000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4,542,126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4,613,437</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Technology products</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ATX Networks Corp.</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&amp; components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6/12/2021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4,924,812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4,877,593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4,875,564</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Beaver-Visitec International</w:t>
            </w:r>
          </w:p>
        </w:tc>
        <w:tc>
          <w:tcPr>
            <w:tcW w:w="1640" w:type="dxa"/>
            <w:vAlign w:val="bottom"/>
            <w:gridSpan w:val="2"/>
          </w:tcPr>
          <w:p>
            <w:pPr>
              <w:spacing w:after="0"/>
              <w:rPr>
                <w:sz w:val="20"/>
                <w:szCs w:val="20"/>
                <w:color w:val="auto"/>
              </w:rPr>
            </w:pPr>
            <w:r>
              <w:rPr>
                <w:rFonts w:ascii="Arial" w:cs="Arial" w:eastAsia="Arial" w:hAnsi="Arial"/>
                <w:sz w:val="16"/>
                <w:szCs w:val="16"/>
                <w:color w:val="auto"/>
              </w:rPr>
              <w:t>Healthcare products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8/21/2023</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4,975,000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4,928,997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4,975,000</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Food, agriculture &amp;</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California Pizza Kitchen</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beverage</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8/23/2022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6,969,987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6,925,133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6,971,381</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L+6.00%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CMN.com (Higher Education)</w:t>
            </w:r>
          </w:p>
        </w:tc>
        <w:tc>
          <w:tcPr>
            <w:tcW w:w="1640" w:type="dxa"/>
            <w:vAlign w:val="bottom"/>
            <w:gridSpan w:val="2"/>
          </w:tcPr>
          <w:p>
            <w:pPr>
              <w:spacing w:after="0"/>
              <w:rPr>
                <w:sz w:val="20"/>
                <w:szCs w:val="20"/>
                <w:color w:val="auto"/>
              </w:rPr>
            </w:pPr>
            <w:r>
              <w:rPr>
                <w:rFonts w:ascii="Arial" w:cs="Arial" w:eastAsia="Arial" w:hAnsi="Arial"/>
                <w:sz w:val="16"/>
                <w:szCs w:val="16"/>
                <w:color w:val="auto"/>
              </w:rPr>
              <w:t>Consumer services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10/15/2021</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6,912,500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6,785,531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6,785,531</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L+6.50%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Media, marketing &amp;</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Contextmedia</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entertainment</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12/31/2021</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1,787,489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1,975,000</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L+6.50%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6"/>
                <w:szCs w:val="16"/>
                <w:color w:val="auto"/>
              </w:rPr>
              <w:t>Software &amp; IT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Digital River</w:t>
            </w:r>
          </w:p>
        </w:tc>
        <w:tc>
          <w:tcPr>
            <w:tcW w:w="1640" w:type="dxa"/>
            <w:vAlign w:val="bottom"/>
            <w:gridSpan w:val="2"/>
          </w:tcPr>
          <w:p>
            <w:pPr>
              <w:spacing w:after="0"/>
              <w:rPr>
                <w:sz w:val="20"/>
                <w:szCs w:val="20"/>
                <w:color w:val="auto"/>
              </w:rPr>
            </w:pPr>
            <w:r>
              <w:rPr>
                <w:rFonts w:ascii="Arial" w:cs="Arial" w:eastAsia="Arial" w:hAnsi="Arial"/>
                <w:sz w:val="16"/>
                <w:szCs w:val="16"/>
                <w:color w:val="auto"/>
              </w:rPr>
              <w:t>services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2/12/2021</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7,015,452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6,988,236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7,050,529</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L+10.00%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Paper &amp; forest</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Digital Room</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products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5/28/2023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3,924,128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3,924,128</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L+4.25%</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Highline Aftermarket</w:t>
            </w:r>
          </w:p>
        </w:tc>
        <w:tc>
          <w:tcPr>
            <w:tcW w:w="1640" w:type="dxa"/>
            <w:vAlign w:val="bottom"/>
            <w:gridSpan w:val="2"/>
          </w:tcPr>
          <w:p>
            <w:pPr>
              <w:spacing w:after="0"/>
              <w:rPr>
                <w:sz w:val="20"/>
                <w:szCs w:val="20"/>
                <w:color w:val="auto"/>
              </w:rPr>
            </w:pPr>
            <w:r>
              <w:rPr>
                <w:rFonts w:ascii="Arial" w:cs="Arial" w:eastAsia="Arial" w:hAnsi="Arial"/>
                <w:sz w:val="16"/>
                <w:szCs w:val="16"/>
                <w:color w:val="auto"/>
              </w:rPr>
              <w:t>Automobile</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3/17/2024</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2,985,000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3,033,900</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Hunter Defense Technologies</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Aerospace &amp; defense</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8/5/2019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2,703,947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2,697,208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2,514,671</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L+5.75%</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6"/>
                <w:szCs w:val="16"/>
                <w:color w:val="auto"/>
              </w:rPr>
              <w:t>Containers &amp;</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ICSH, Inc.</w:t>
            </w:r>
          </w:p>
        </w:tc>
        <w:tc>
          <w:tcPr>
            <w:tcW w:w="1640" w:type="dxa"/>
            <w:vAlign w:val="bottom"/>
            <w:gridSpan w:val="2"/>
          </w:tcPr>
          <w:p>
            <w:pPr>
              <w:spacing w:after="0"/>
              <w:rPr>
                <w:sz w:val="20"/>
                <w:szCs w:val="20"/>
                <w:color w:val="auto"/>
              </w:rPr>
            </w:pPr>
            <w:r>
              <w:rPr>
                <w:rFonts w:ascii="Arial" w:cs="Arial" w:eastAsia="Arial" w:hAnsi="Arial"/>
                <w:sz w:val="16"/>
                <w:szCs w:val="16"/>
                <w:color w:val="auto"/>
              </w:rPr>
              <w:t>packaging</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12/31/2018</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6,698,007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6,670,865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6,685,051</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iEnergizer</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services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6,567,046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6,217,720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6,542,748</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gridSpan w:val="2"/>
          </w:tcPr>
          <w:p>
            <w:pPr>
              <w:spacing w:after="0"/>
              <w:rPr>
                <w:sz w:val="20"/>
                <w:szCs w:val="20"/>
                <w:color w:val="auto"/>
              </w:rPr>
            </w:pPr>
            <w:r>
              <w:rPr>
                <w:rFonts w:ascii="Arial" w:cs="Arial" w:eastAsia="Arial" w:hAnsi="Arial"/>
                <w:sz w:val="16"/>
                <w:szCs w:val="16"/>
                <w:color w:val="auto"/>
              </w:rPr>
              <w:t>IG Investments Holdings</w:t>
            </w:r>
          </w:p>
        </w:tc>
        <w:tc>
          <w:tcPr>
            <w:tcW w:w="1640" w:type="dxa"/>
            <w:vAlign w:val="bottom"/>
            <w:gridSpan w:val="2"/>
          </w:tcPr>
          <w:p>
            <w:pPr>
              <w:spacing w:after="0"/>
              <w:rPr>
                <w:sz w:val="20"/>
                <w:szCs w:val="20"/>
                <w:color w:val="auto"/>
              </w:rPr>
            </w:pPr>
            <w:r>
              <w:rPr>
                <w:rFonts w:ascii="Arial" w:cs="Arial" w:eastAsia="Arial" w:hAnsi="Arial"/>
                <w:sz w:val="16"/>
                <w:szCs w:val="16"/>
                <w:color w:val="auto"/>
              </w:rPr>
              <w:t>Business services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10/31/2021</w:t>
            </w: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2,480,470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2,469,439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2,507,856</w:t>
            </w:r>
          </w:p>
        </w:tc>
        <w:tc>
          <w:tcPr>
            <w:tcW w:w="0" w:type="dxa"/>
            <w:vAlign w:val="bottom"/>
          </w:tcPr>
          <w:p>
            <w:pPr>
              <w:spacing w:after="0"/>
              <w:rPr>
                <w:sz w:val="1"/>
                <w:szCs w:val="1"/>
                <w:color w:val="auto"/>
              </w:rPr>
            </w:pPr>
          </w:p>
        </w:tc>
      </w:tr>
      <w:tr>
        <w:trPr>
          <w:trHeight w:val="196"/>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L+6.00%</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Media, marketing &amp;</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Imagine! Print Solutions</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entertainment</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3/30/2022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3,565,489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3,526,760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3,610,057</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L+5.50%</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6"/>
                <w:szCs w:val="16"/>
                <w:color w:val="auto"/>
              </w:rPr>
              <w:t>Software &amp; IT</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gridSpan w:val="2"/>
          </w:tcPr>
          <w:p>
            <w:pPr>
              <w:spacing w:after="0"/>
              <w:rPr>
                <w:sz w:val="20"/>
                <w:szCs w:val="20"/>
                <w:color w:val="auto"/>
              </w:rPr>
            </w:pPr>
            <w:r>
              <w:rPr>
                <w:rFonts w:ascii="Arial" w:cs="Arial" w:eastAsia="Arial" w:hAnsi="Arial"/>
                <w:sz w:val="16"/>
                <w:szCs w:val="16"/>
                <w:color w:val="auto"/>
              </w:rPr>
              <w:t>InfoGroup Inc.</w:t>
            </w:r>
          </w:p>
        </w:tc>
        <w:tc>
          <w:tcPr>
            <w:tcW w:w="1640" w:type="dxa"/>
            <w:vAlign w:val="bottom"/>
            <w:gridSpan w:val="2"/>
          </w:tcPr>
          <w:p>
            <w:pPr>
              <w:spacing w:after="0"/>
              <w:rPr>
                <w:sz w:val="20"/>
                <w:szCs w:val="20"/>
                <w:color w:val="auto"/>
              </w:rPr>
            </w:pPr>
            <w:r>
              <w:rPr>
                <w:rFonts w:ascii="Arial" w:cs="Arial" w:eastAsia="Arial" w:hAnsi="Arial"/>
                <w:sz w:val="16"/>
                <w:szCs w:val="16"/>
                <w:color w:val="auto"/>
              </w:rPr>
              <w:t>services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5/28/2018</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1.50%)</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5,913,550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5,813,451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5,907,637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60972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Industry</w:t>
            </w: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xml:space="preserve">Fair Value </w:t>
            </w:r>
            <w:r>
              <w:rPr>
                <w:rFonts w:ascii="Arial" w:cs="Arial" w:eastAsia="Arial" w:hAnsi="Arial"/>
                <w:sz w:val="14"/>
                <w:szCs w:val="14"/>
                <w:b w:val="1"/>
                <w:bCs w:val="1"/>
                <w:color w:val="auto"/>
                <w:w w:val="94"/>
                <w:vertAlign w:val="superscript"/>
              </w:rPr>
              <w:t>2</w:t>
            </w: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Type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xml:space="preserve">Rate </w:t>
            </w:r>
            <w:r>
              <w:rPr>
                <w:rFonts w:ascii="Arial" w:cs="Arial" w:eastAsia="Arial" w:hAnsi="Arial"/>
                <w:sz w:val="14"/>
                <w:szCs w:val="14"/>
                <w:b w:val="1"/>
                <w:bCs w:val="1"/>
                <w:color w:val="auto"/>
                <w:w w:val="91"/>
                <w:vertAlign w:val="superscript"/>
              </w:rPr>
              <w:t>1</w:t>
            </w: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L+5.00%</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2,970,000</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L+5.75%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Integro Parent Inc.</w:t>
            </w:r>
          </w:p>
        </w:tc>
        <w:tc>
          <w:tcPr>
            <w:tcW w:w="1640" w:type="dxa"/>
            <w:vAlign w:val="bottom"/>
            <w:gridSpan w:val="2"/>
          </w:tcPr>
          <w:p>
            <w:pPr>
              <w:spacing w:after="0"/>
              <w:rPr>
                <w:sz w:val="20"/>
                <w:szCs w:val="20"/>
                <w:color w:val="auto"/>
              </w:rPr>
            </w:pPr>
            <w:r>
              <w:rPr>
                <w:rFonts w:ascii="Arial" w:cs="Arial" w:eastAsia="Arial" w:hAnsi="Arial"/>
                <w:sz w:val="16"/>
                <w:szCs w:val="16"/>
                <w:color w:val="auto"/>
              </w:rPr>
              <w:t>Business services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11/2/2022</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4,938,924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4,790,756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4,963,618</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L+5.25%</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iPayment, Inc.</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services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5/8/2017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6,964,029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6,947,920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6,929,209</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L+4.25%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LTI Holdings, Inc.</w:t>
            </w:r>
          </w:p>
        </w:tc>
        <w:tc>
          <w:tcPr>
            <w:tcW w:w="1640" w:type="dxa"/>
            <w:vAlign w:val="bottom"/>
            <w:gridSpan w:val="2"/>
          </w:tcPr>
          <w:p>
            <w:pPr>
              <w:spacing w:after="0"/>
              <w:rPr>
                <w:sz w:val="20"/>
                <w:szCs w:val="20"/>
                <w:color w:val="auto"/>
              </w:rPr>
            </w:pPr>
            <w:r>
              <w:rPr>
                <w:rFonts w:ascii="Arial" w:cs="Arial" w:eastAsia="Arial" w:hAnsi="Arial"/>
                <w:sz w:val="16"/>
                <w:szCs w:val="16"/>
                <w:color w:val="auto"/>
              </w:rPr>
              <w:t>Industrial products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4/17/2022</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1,974,874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1,780,886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1,974,874</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Mood Media Corporation</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Business services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4,503,289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4,427,043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4,483,024</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L+5.50%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MWI Holdings</w:t>
            </w:r>
          </w:p>
        </w:tc>
        <w:tc>
          <w:tcPr>
            <w:tcW w:w="1640" w:type="dxa"/>
            <w:vAlign w:val="bottom"/>
            <w:gridSpan w:val="2"/>
          </w:tcPr>
          <w:p>
            <w:pPr>
              <w:spacing w:after="0"/>
              <w:rPr>
                <w:sz w:val="20"/>
                <w:szCs w:val="20"/>
                <w:color w:val="auto"/>
              </w:rPr>
            </w:pPr>
            <w:r>
              <w:rPr>
                <w:rFonts w:ascii="Arial" w:cs="Arial" w:eastAsia="Arial" w:hAnsi="Arial"/>
                <w:sz w:val="16"/>
                <w:szCs w:val="16"/>
                <w:color w:val="auto"/>
              </w:rPr>
              <w:t>Industrial products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6/29/2020</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4,962,500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4,921,442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5,006,170</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L+6.25%</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Media, marketing &amp;</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Media Holdings II LLC</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entertainment</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6/4/2020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6,901,894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6,886,200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6,867,385</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L+6.25%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6"/>
                <w:szCs w:val="16"/>
                <w:color w:val="auto"/>
              </w:rPr>
              <w:t>Media, marketing &amp;</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Northstar Travel</w:t>
            </w:r>
          </w:p>
        </w:tc>
        <w:tc>
          <w:tcPr>
            <w:tcW w:w="1640" w:type="dxa"/>
            <w:vAlign w:val="bottom"/>
            <w:gridSpan w:val="2"/>
          </w:tcPr>
          <w:p>
            <w:pPr>
              <w:spacing w:after="0"/>
              <w:rPr>
                <w:sz w:val="20"/>
                <w:szCs w:val="20"/>
                <w:color w:val="auto"/>
              </w:rPr>
            </w:pPr>
            <w:r>
              <w:rPr>
                <w:rFonts w:ascii="Arial" w:cs="Arial" w:eastAsia="Arial" w:hAnsi="Arial"/>
                <w:sz w:val="16"/>
                <w:szCs w:val="16"/>
                <w:color w:val="auto"/>
              </w:rPr>
              <w:t>entertainment</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6/7/2022</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4,090,625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4,036,655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4,070,172</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L+5.50%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Consumer products &amp;</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PetValu</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retail</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7/5/2022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4,931,261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4,987,438</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L+8.00%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color w:val="auto"/>
              </w:rPr>
              <w:t>Second</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Pike Corp.</w:t>
            </w:r>
          </w:p>
        </w:tc>
        <w:tc>
          <w:tcPr>
            <w:tcW w:w="1640" w:type="dxa"/>
            <w:vAlign w:val="bottom"/>
            <w:gridSpan w:val="2"/>
          </w:tcPr>
          <w:p>
            <w:pPr>
              <w:spacing w:after="0"/>
              <w:rPr>
                <w:sz w:val="20"/>
                <w:szCs w:val="20"/>
                <w:color w:val="auto"/>
              </w:rPr>
            </w:pPr>
            <w:r>
              <w:rPr>
                <w:rFonts w:ascii="Arial" w:cs="Arial" w:eastAsia="Arial" w:hAnsi="Arial"/>
                <w:sz w:val="16"/>
                <w:szCs w:val="16"/>
                <w:color w:val="auto"/>
              </w:rPr>
              <w:t>Utilities</w:t>
            </w:r>
          </w:p>
        </w:tc>
        <w:tc>
          <w:tcPr>
            <w:tcW w:w="840" w:type="dxa"/>
            <w:vAlign w:val="bottom"/>
            <w:gridSpan w:val="2"/>
          </w:tcPr>
          <w:p>
            <w:pPr>
              <w:spacing w:after="0"/>
              <w:rPr>
                <w:sz w:val="20"/>
                <w:szCs w:val="20"/>
                <w:color w:val="auto"/>
              </w:rPr>
            </w:pPr>
            <w:r>
              <w:rPr>
                <w:rFonts w:ascii="Arial" w:cs="Arial" w:eastAsia="Arial" w:hAnsi="Arial"/>
                <w:sz w:val="16"/>
                <w:szCs w:val="16"/>
                <w:color w:val="auto"/>
              </w:rPr>
              <w:t>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8/30/2024</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990,000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1,017,500</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L+6.50%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Polycom</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Telecommunications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9/27/2023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6,445,833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6,445,833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6,547,678</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L+5.25%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Prepaid Legal Services, Inc.</w:t>
            </w:r>
          </w:p>
        </w:tc>
        <w:tc>
          <w:tcPr>
            <w:tcW w:w="1640" w:type="dxa"/>
            <w:vAlign w:val="bottom"/>
            <w:gridSpan w:val="2"/>
          </w:tcPr>
          <w:p>
            <w:pPr>
              <w:spacing w:after="0"/>
              <w:rPr>
                <w:sz w:val="20"/>
                <w:szCs w:val="20"/>
                <w:color w:val="auto"/>
              </w:rPr>
            </w:pPr>
            <w:r>
              <w:rPr>
                <w:rFonts w:ascii="Arial" w:cs="Arial" w:eastAsia="Arial" w:hAnsi="Arial"/>
                <w:sz w:val="16"/>
                <w:szCs w:val="16"/>
                <w:color w:val="auto"/>
              </w:rPr>
              <w:t>Consumer services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7/1/2019</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1.25%)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4,474,279</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4,470,626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4,507,836</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L+9.00%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7/1/2020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407,349</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L+6.50%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PT Network</w:t>
            </w:r>
          </w:p>
        </w:tc>
        <w:tc>
          <w:tcPr>
            <w:tcW w:w="1640" w:type="dxa"/>
            <w:vAlign w:val="bottom"/>
            <w:gridSpan w:val="2"/>
          </w:tcPr>
          <w:p>
            <w:pPr>
              <w:spacing w:after="0"/>
              <w:rPr>
                <w:sz w:val="20"/>
                <w:szCs w:val="20"/>
                <w:color w:val="auto"/>
              </w:rPr>
            </w:pPr>
            <w:r>
              <w:rPr>
                <w:rFonts w:ascii="Arial" w:cs="Arial" w:eastAsia="Arial" w:hAnsi="Arial"/>
                <w:sz w:val="16"/>
                <w:szCs w:val="16"/>
                <w:color w:val="auto"/>
              </w:rPr>
              <w:t>Healthcare products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11/30/2021</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4,990,972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3,883,735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3,883,735</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L+7.50%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Redbox Automated Retail</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Gaming &amp; leisure</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9/27/2021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5,958,692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6,132,963</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L+5.00%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Safe Guard</w:t>
            </w:r>
          </w:p>
        </w:tc>
        <w:tc>
          <w:tcPr>
            <w:tcW w:w="1640" w:type="dxa"/>
            <w:vAlign w:val="bottom"/>
            <w:gridSpan w:val="2"/>
          </w:tcPr>
          <w:p>
            <w:pPr>
              <w:spacing w:after="0"/>
              <w:rPr>
                <w:sz w:val="20"/>
                <w:szCs w:val="20"/>
                <w:color w:val="auto"/>
              </w:rPr>
            </w:pPr>
            <w:r>
              <w:rPr>
                <w:rFonts w:ascii="Arial" w:cs="Arial" w:eastAsia="Arial" w:hAnsi="Arial"/>
                <w:sz w:val="16"/>
                <w:szCs w:val="16"/>
                <w:color w:val="auto"/>
              </w:rPr>
              <w:t>Automobile</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3/31/2024</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3,250,000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3,152,500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3,225,625</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L+7.50%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Sigma Electric</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Industrial products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8/31/2021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4,886,637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4,886,637</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L+6.50%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SRP Companies</w:t>
            </w:r>
          </w:p>
        </w:tc>
        <w:tc>
          <w:tcPr>
            <w:tcW w:w="1640" w:type="dxa"/>
            <w:vAlign w:val="bottom"/>
            <w:gridSpan w:val="2"/>
          </w:tcPr>
          <w:p>
            <w:pPr>
              <w:spacing w:after="0"/>
              <w:rPr>
                <w:sz w:val="20"/>
                <w:szCs w:val="20"/>
                <w:color w:val="auto"/>
              </w:rPr>
            </w:pPr>
            <w:r>
              <w:rPr>
                <w:rFonts w:ascii="Arial" w:cs="Arial" w:eastAsia="Arial" w:hAnsi="Arial"/>
                <w:sz w:val="16"/>
                <w:szCs w:val="16"/>
                <w:color w:val="auto"/>
              </w:rPr>
              <w:t>Consumer services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9/8/2023</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5,152,273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5,106,492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5,132,212</w:t>
            </w: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4"/>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TaxACT</w:t>
            </w:r>
          </w:p>
        </w:tc>
        <w:tc>
          <w:tcPr>
            <w:tcW w:w="1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Financial services</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8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12/31/2022</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1,269,915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1,238,463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1,269,915</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4"/>
              </w:rPr>
              <w:t>L+6.25%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spacing w:after="0"/>
              <w:rPr>
                <w:sz w:val="20"/>
                <w:szCs w:val="20"/>
                <w:color w:val="auto"/>
              </w:rPr>
            </w:pPr>
            <w:r>
              <w:rPr>
                <w:rFonts w:ascii="Arial" w:cs="Arial" w:eastAsia="Arial" w:hAnsi="Arial"/>
                <w:sz w:val="16"/>
                <w:szCs w:val="16"/>
                <w:color w:val="auto"/>
              </w:rPr>
              <w:t>Terra Millennium</w:t>
            </w:r>
          </w:p>
        </w:tc>
        <w:tc>
          <w:tcPr>
            <w:tcW w:w="1640" w:type="dxa"/>
            <w:vAlign w:val="bottom"/>
            <w:gridSpan w:val="2"/>
          </w:tcPr>
          <w:p>
            <w:pPr>
              <w:spacing w:after="0"/>
              <w:rPr>
                <w:sz w:val="20"/>
                <w:szCs w:val="20"/>
                <w:color w:val="auto"/>
              </w:rPr>
            </w:pPr>
            <w:r>
              <w:rPr>
                <w:rFonts w:ascii="Arial" w:cs="Arial" w:eastAsia="Arial" w:hAnsi="Arial"/>
                <w:sz w:val="16"/>
                <w:szCs w:val="16"/>
                <w:color w:val="auto"/>
              </w:rPr>
              <w:t>Industrial products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11/23/2022</w:t>
            </w:r>
          </w:p>
        </w:tc>
        <w:tc>
          <w:tcPr>
            <w:tcW w:w="14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4"/>
              </w:rPr>
              <w:t>1.00%)</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6,956,250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6,889,423</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6,956,250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60972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0"/>
          </w:cols>
          <w:pgMar w:left="1160" w:top="125" w:right="1159" w:bottom="1440" w:gutter="0" w:footer="0" w:header="0"/>
        </w:sectPr>
      </w:pPr>
    </w:p>
    <w:bookmarkStart w:id="116" w:name="page117"/>
    <w:bookmarkEnd w:id="116"/>
    <w:p>
      <w:pPr>
        <w:ind w:left="4"/>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Maturity</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Current</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5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Interest</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11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9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71"/>
        </w:trPr>
        <w:tc>
          <w:tcPr>
            <w:tcW w:w="242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Type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xml:space="preserve">Rate </w:t>
            </w:r>
            <w:r>
              <w:rPr>
                <w:rFonts w:ascii="Arial" w:cs="Arial" w:eastAsia="Arial" w:hAnsi="Arial"/>
                <w:sz w:val="14"/>
                <w:szCs w:val="14"/>
                <w:b w:val="1"/>
                <w:bCs w:val="1"/>
                <w:color w:val="auto"/>
                <w:w w:val="91"/>
                <w:vertAlign w:val="superscript"/>
              </w:rPr>
              <w:t>1</w:t>
            </w:r>
          </w:p>
        </w:tc>
        <w:tc>
          <w:tcPr>
            <w:tcW w:w="9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L+5.00%</w:t>
            </w: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Time Manufacturing</w:t>
            </w: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Equipment</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2/10/2022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3,000,000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2,985,343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2,985,343</w:t>
            </w: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L+6.00%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gridSpan w:val="3"/>
          </w:tcPr>
          <w:p>
            <w:pPr>
              <w:spacing w:after="0"/>
              <w:rPr>
                <w:sz w:val="20"/>
                <w:szCs w:val="20"/>
                <w:color w:val="auto"/>
              </w:rPr>
            </w:pPr>
            <w:r>
              <w:rPr>
                <w:rFonts w:ascii="Arial" w:cs="Arial" w:eastAsia="Arial" w:hAnsi="Arial"/>
                <w:sz w:val="16"/>
                <w:szCs w:val="16"/>
                <w:color w:val="auto"/>
              </w:rPr>
              <w:t>Turning Point Brands</w:t>
            </w:r>
          </w:p>
        </w:tc>
        <w:tc>
          <w:tcPr>
            <w:tcW w:w="1500" w:type="dxa"/>
            <w:vAlign w:val="bottom"/>
            <w:gridSpan w:val="2"/>
          </w:tcPr>
          <w:p>
            <w:pPr>
              <w:spacing w:after="0"/>
              <w:rPr>
                <w:sz w:val="20"/>
                <w:szCs w:val="20"/>
                <w:color w:val="auto"/>
              </w:rPr>
            </w:pPr>
            <w:r>
              <w:rPr>
                <w:rFonts w:ascii="Arial" w:cs="Arial" w:eastAsia="Arial" w:hAnsi="Arial"/>
                <w:sz w:val="16"/>
                <w:szCs w:val="16"/>
                <w:color w:val="auto"/>
              </w:rPr>
              <w:t>Retail</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12/31/2021</w:t>
            </w:r>
          </w:p>
        </w:tc>
        <w:tc>
          <w:tcPr>
            <w:tcW w:w="78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5"/>
              </w:rPr>
              <w:t>5,000,000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4,950,846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4,950,846</w:t>
            </w: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7"/>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Media, marketing &amp;</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Tweddle Group</w:t>
            </w: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entertainment</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9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2"/>
              </w:rPr>
              <w:t>10/24/2022</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2,506,731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2,459,763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2,525,531</w:t>
            </w: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L+6.00%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6"/>
                <w:szCs w:val="16"/>
                <w:color w:val="auto"/>
              </w:rPr>
              <w:t>Transportation &amp;</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gridSpan w:val="3"/>
          </w:tcPr>
          <w:p>
            <w:pPr>
              <w:spacing w:after="0"/>
              <w:rPr>
                <w:sz w:val="20"/>
                <w:szCs w:val="20"/>
                <w:color w:val="auto"/>
              </w:rPr>
            </w:pPr>
            <w:r>
              <w:rPr>
                <w:rFonts w:ascii="Arial" w:cs="Arial" w:eastAsia="Arial" w:hAnsi="Arial"/>
                <w:sz w:val="16"/>
                <w:szCs w:val="16"/>
                <w:color w:val="auto"/>
              </w:rPr>
              <w:t>US Joiner (IMECO and RAACI)</w:t>
            </w:r>
          </w:p>
        </w:tc>
        <w:tc>
          <w:tcPr>
            <w:tcW w:w="1500" w:type="dxa"/>
            <w:vAlign w:val="bottom"/>
            <w:gridSpan w:val="2"/>
          </w:tcPr>
          <w:p>
            <w:pPr>
              <w:spacing w:after="0"/>
              <w:rPr>
                <w:sz w:val="20"/>
                <w:szCs w:val="20"/>
                <w:color w:val="auto"/>
              </w:rPr>
            </w:pPr>
            <w:r>
              <w:rPr>
                <w:rFonts w:ascii="Arial" w:cs="Arial" w:eastAsia="Arial" w:hAnsi="Arial"/>
                <w:sz w:val="16"/>
                <w:szCs w:val="16"/>
                <w:color w:val="auto"/>
              </w:rPr>
              <w:t>logistics</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4/16/2020</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5"/>
              </w:rPr>
              <w:t>4,791,601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4,737,062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4,767,643</w:t>
            </w: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7"/>
              </w:rPr>
              <w:t>L+6.00%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Hotel, gaming &amp;</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VIP Cinema</w:t>
            </w:r>
          </w:p>
        </w:tc>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leisure</w:t>
            </w: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3/31/2023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5,000,000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4,975,275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5,059,500</w:t>
            </w: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color w:val="auto"/>
                <w:w w:val="97"/>
              </w:rPr>
              <w:t>L+4.75%</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Arial" w:cs="Arial" w:eastAsia="Arial" w:hAnsi="Arial"/>
                <w:sz w:val="16"/>
                <w:szCs w:val="16"/>
                <w:color w:val="auto"/>
              </w:rPr>
              <w:t>Consumer products</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20" w:type="dxa"/>
            <w:vAlign w:val="bottom"/>
            <w:gridSpan w:val="3"/>
          </w:tcPr>
          <w:p>
            <w:pPr>
              <w:spacing w:after="0"/>
              <w:rPr>
                <w:sz w:val="20"/>
                <w:szCs w:val="20"/>
                <w:color w:val="auto"/>
              </w:rPr>
            </w:pPr>
            <w:r>
              <w:rPr>
                <w:rFonts w:ascii="Arial" w:cs="Arial" w:eastAsia="Arial" w:hAnsi="Arial"/>
                <w:sz w:val="16"/>
                <w:szCs w:val="16"/>
                <w:color w:val="auto"/>
              </w:rPr>
              <w:t>Water Pik, Inc.</w:t>
            </w:r>
          </w:p>
        </w:tc>
        <w:tc>
          <w:tcPr>
            <w:tcW w:w="1500" w:type="dxa"/>
            <w:vAlign w:val="bottom"/>
            <w:gridSpan w:val="2"/>
          </w:tcPr>
          <w:p>
            <w:pPr>
              <w:spacing w:after="0"/>
              <w:rPr>
                <w:sz w:val="20"/>
                <w:szCs w:val="20"/>
                <w:color w:val="auto"/>
              </w:rPr>
            </w:pPr>
            <w:r>
              <w:rPr>
                <w:rFonts w:ascii="Arial" w:cs="Arial" w:eastAsia="Arial" w:hAnsi="Arial"/>
                <w:sz w:val="16"/>
                <w:szCs w:val="16"/>
                <w:color w:val="auto"/>
              </w:rPr>
              <w:t>&amp; retail</w:t>
            </w:r>
          </w:p>
        </w:tc>
        <w:tc>
          <w:tcPr>
            <w:tcW w:w="84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7/8/2020</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0"/>
              </w:rPr>
              <w:t>1.00%)</w:t>
            </w:r>
          </w:p>
        </w:tc>
        <w:tc>
          <w:tcPr>
            <w:tcW w:w="1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Arial" w:cs="Arial" w:eastAsia="Arial" w:hAnsi="Arial"/>
                <w:sz w:val="16"/>
                <w:szCs w:val="16"/>
                <w:color w:val="auto"/>
                <w:w w:val="95"/>
              </w:rPr>
              <w:t>1,137,090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1,135,097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1,139,478</w:t>
            </w: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7"/>
              </w:rPr>
              <w:t>L+8.75%</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(Floor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Lien</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1/8/2021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1,789,474</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1,756,683</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1,802,895</w:t>
            </w:r>
          </w:p>
        </w:tc>
        <w:tc>
          <w:tcPr>
            <w:tcW w:w="0" w:type="dxa"/>
            <w:vAlign w:val="bottom"/>
          </w:tcPr>
          <w:p>
            <w:pPr>
              <w:spacing w:after="0"/>
              <w:rPr>
                <w:sz w:val="1"/>
                <w:szCs w:val="1"/>
                <w:color w:val="auto"/>
              </w:rPr>
            </w:pPr>
          </w:p>
        </w:tc>
      </w:tr>
      <w:tr>
        <w:trPr>
          <w:trHeight w:val="203"/>
        </w:trPr>
        <w:tc>
          <w:tcPr>
            <w:tcW w:w="2420" w:type="dxa"/>
            <w:vAlign w:val="bottom"/>
            <w:gridSpan w:val="3"/>
          </w:tcPr>
          <w:p>
            <w:pPr>
              <w:spacing w:after="0"/>
              <w:rPr>
                <w:sz w:val="20"/>
                <w:szCs w:val="20"/>
                <w:color w:val="auto"/>
              </w:rPr>
            </w:pPr>
            <w:r>
              <w:rPr>
                <w:rFonts w:ascii="Arial" w:cs="Arial" w:eastAsia="Arial" w:hAnsi="Arial"/>
                <w:sz w:val="16"/>
                <w:szCs w:val="16"/>
                <w:b w:val="1"/>
                <w:bCs w:val="1"/>
                <w:color w:val="auto"/>
              </w:rPr>
              <w:t>Total Investments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197,494,528</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200,242,690</w:t>
            </w:r>
          </w:p>
        </w:tc>
        <w:tc>
          <w:tcPr>
            <w:tcW w:w="0" w:type="dxa"/>
            <w:vAlign w:val="bottom"/>
          </w:tcPr>
          <w:p>
            <w:pPr>
              <w:spacing w:after="0"/>
              <w:rPr>
                <w:sz w:val="1"/>
                <w:szCs w:val="1"/>
                <w:color w:val="auto"/>
              </w:rPr>
            </w:pPr>
          </w:p>
        </w:tc>
      </w:tr>
      <w:tr>
        <w:trPr>
          <w:trHeight w:val="108"/>
        </w:trPr>
        <w:tc>
          <w:tcPr>
            <w:tcW w:w="2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4" w:hanging="324"/>
        <w:spacing w:after="0" w:line="248" w:lineRule="auto"/>
        <w:tabs>
          <w:tab w:leader="none" w:pos="3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the interest rate as of March 31, 2017. All interest rates are payable in cash, unless otherwise noted. The majority of investments bear interest at a rate that may be determined by reference to London Interbank Offered Rate (“LIBOR” or “L”) or Prime (“Prime”) which reset daily, monthly, quarterly, or semiannually. For each the Company has provided the spread over LIBOR or Prime in effect at March 31,</w:t>
      </w:r>
    </w:p>
    <w:p>
      <w:pPr>
        <w:ind w:left="324"/>
        <w:spacing w:after="0" w:line="212" w:lineRule="auto"/>
        <w:rPr>
          <w:sz w:val="20"/>
          <w:szCs w:val="20"/>
          <w:color w:val="auto"/>
        </w:rPr>
      </w:pPr>
      <w:r>
        <w:rPr>
          <w:rFonts w:ascii="Arial" w:cs="Arial" w:eastAsia="Arial" w:hAnsi="Arial"/>
          <w:sz w:val="16"/>
          <w:szCs w:val="16"/>
          <w:color w:val="auto"/>
        </w:rPr>
        <w:t>2017. Certain investments are subject to a LIBOR or Prime interest rate floor</w:t>
      </w:r>
    </w:p>
    <w:p>
      <w:pPr>
        <w:spacing w:after="0" w:line="1" w:lineRule="exact"/>
        <w:rPr>
          <w:sz w:val="20"/>
          <w:szCs w:val="20"/>
          <w:color w:val="auto"/>
        </w:rPr>
      </w:pPr>
    </w:p>
    <w:p>
      <w:pPr>
        <w:jc w:val="both"/>
        <w:ind w:left="324" w:hanging="324"/>
        <w:spacing w:after="0" w:line="224" w:lineRule="auto"/>
        <w:tabs>
          <w:tab w:leader="none" w:pos="32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Represents the fair value determined utilizing a similar process as the Company in accordance with ASC 820. However, the fair value is determined by the Board of Managers of the Joint Venture. It is not included in the Company’s Board of Directors’ valuation process described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60972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584"/>
          </w:cols>
          <w:pgMar w:left="1156" w:top="125" w:right="115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At March 31, 2018, our investment in I-45 SLF LLC exceeded the 10% threshold in at least one of the tests under Rule 4-08(g) of Regulation S-X. At March 31, 2018, our investment in I-45 SLF LLC did not exceed the 20% threshold in at least one of the tests under Rule 3-09. However, our investment in I-45 SLF LLC did exceed the 20% threshold in at least one of the tests under Rule 3-09 as of March 31, 2017. Accordingly, we have included as an exhibit to this Form 10-K the financial statements of I-45 SLF LLC. Below is certain summarized financial information for I-45 SLF LLC as of March 31, 2018 and 2017 and for the years ended March 31, 2018 and 2017 and for the period from September 3, 2015 (the date of incorporation) to March 31, 2016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March 31, 2018</w:t>
            </w:r>
          </w:p>
        </w:tc>
        <w:tc>
          <w:tcPr>
            <w:tcW w:w="140" w:type="dxa"/>
            <w:vAlign w:val="bottom"/>
          </w:tcPr>
          <w:p>
            <w:pPr>
              <w:spacing w:after="0"/>
              <w:rPr>
                <w:sz w:val="14"/>
                <w:szCs w:val="14"/>
                <w:color w:val="auto"/>
              </w:rPr>
            </w:pPr>
          </w:p>
        </w:tc>
        <w:tc>
          <w:tcPr>
            <w:tcW w:w="104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w w:val="94"/>
              </w:rPr>
              <w:t>March 31, 2017</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Selected Balance Sheet Information:</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w w:val="91"/>
              </w:rPr>
              <w:t>Investments, at fair value (cost $218,674 and $197,495)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220,807</w:t>
            </w:r>
          </w:p>
        </w:tc>
        <w:tc>
          <w:tcPr>
            <w:tcW w:w="36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7"/>
              <w:spacing w:after="0"/>
              <w:rPr>
                <w:sz w:val="20"/>
                <w:szCs w:val="20"/>
                <w:color w:val="auto"/>
              </w:rPr>
            </w:pPr>
            <w:r>
              <w:rPr>
                <w:rFonts w:ascii="Arial" w:cs="Arial" w:eastAsia="Arial" w:hAnsi="Arial"/>
                <w:sz w:val="18"/>
                <w:szCs w:val="18"/>
                <w:color w:val="auto"/>
              </w:rPr>
              <w:t>200,243</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9,317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12,093</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Due from broker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7"/>
              <w:spacing w:after="0"/>
              <w:rPr>
                <w:sz w:val="20"/>
                <w:szCs w:val="20"/>
                <w:color w:val="auto"/>
              </w:rPr>
            </w:pPr>
            <w:r>
              <w:rPr>
                <w:rFonts w:ascii="Arial" w:cs="Arial" w:eastAsia="Arial" w:hAnsi="Arial"/>
                <w:sz w:val="18"/>
                <w:szCs w:val="18"/>
                <w:color w:val="auto"/>
              </w:rPr>
              <w:t>1,732</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1,659</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receivable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rPr>
              <w:t>474</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233,378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216,201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credit facility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143,000</w:t>
            </w:r>
          </w:p>
        </w:tc>
        <w:tc>
          <w:tcPr>
            <w:tcW w:w="36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122,000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Payable for unsettled transactions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3,213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7"/>
              <w:spacing w:after="0"/>
              <w:rPr>
                <w:sz w:val="20"/>
                <w:szCs w:val="20"/>
                <w:color w:val="auto"/>
              </w:rPr>
            </w:pPr>
            <w:r>
              <w:rPr>
                <w:rFonts w:ascii="Arial" w:cs="Arial" w:eastAsia="Arial" w:hAnsi="Arial"/>
                <w:sz w:val="18"/>
                <w:szCs w:val="18"/>
                <w:color w:val="auto"/>
              </w:rPr>
              <w:t>11,795</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3,119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2,988</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149,332</w:t>
            </w:r>
          </w:p>
        </w:tc>
        <w:tc>
          <w:tcPr>
            <w:tcW w:w="14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7"/>
              <w:spacing w:after="0"/>
              <w:rPr>
                <w:sz w:val="20"/>
                <w:szCs w:val="20"/>
                <w:color w:val="auto"/>
              </w:rPr>
            </w:pPr>
            <w:r>
              <w:rPr>
                <w:rFonts w:ascii="Arial" w:cs="Arial" w:eastAsia="Arial" w:hAnsi="Arial"/>
                <w:sz w:val="18"/>
                <w:szCs w:val="18"/>
                <w:color w:val="auto"/>
              </w:rPr>
              <w:t>136,783</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84,046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79,418</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Total liabilities and net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233,378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rPr>
              <w:t>216,201</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jc w:val="right"/>
              <w:ind w:right="46"/>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2"/>
                <w:szCs w:val="12"/>
                <w:color w:val="auto"/>
              </w:rPr>
            </w:pPr>
          </w:p>
        </w:tc>
        <w:tc>
          <w:tcPr>
            <w:tcW w:w="15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September 3, 2015</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(date of incorporation)</w:t>
            </w:r>
          </w:p>
        </w:tc>
        <w:tc>
          <w:tcPr>
            <w:tcW w:w="0" w:type="dxa"/>
            <w:vAlign w:val="bottom"/>
          </w:tcPr>
          <w:p>
            <w:pPr>
              <w:spacing w:after="0"/>
              <w:rPr>
                <w:sz w:val="1"/>
                <w:szCs w:val="1"/>
                <w:color w:val="auto"/>
              </w:rPr>
            </w:pPr>
          </w:p>
        </w:tc>
      </w:t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Selected Statement of Operations Information:</w:t>
            </w:r>
          </w:p>
        </w:tc>
        <w:tc>
          <w:tcPr>
            <w:tcW w:w="10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w w:val="94"/>
              </w:rPr>
              <w:t>March 31, 2017</w:t>
            </w:r>
          </w:p>
        </w:tc>
        <w:tc>
          <w:tcPr>
            <w:tcW w:w="2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to March 31, 2016</w:t>
            </w:r>
          </w:p>
        </w:tc>
        <w:tc>
          <w:tcPr>
            <w:tcW w:w="0" w:type="dxa"/>
            <w:vAlign w:val="bottom"/>
          </w:tcPr>
          <w:p>
            <w:pPr>
              <w:spacing w:after="0"/>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820" w:type="dxa"/>
            <w:vAlign w:val="bottom"/>
            <w:tcBorders>
              <w:right w:val="single" w:sz="8" w:color="CCEEFF"/>
            </w:tcBorders>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6,613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4,400</w:t>
            </w:r>
          </w:p>
        </w:tc>
        <w:tc>
          <w:tcPr>
            <w:tcW w:w="2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Net unrealized appreciation (depreciation)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Net increase in members’ equity resulting from operations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13,165</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SCHEDULE 12-14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of</w:t>
            </w: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or Dividends</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Type of Investment (1)</w:t>
            </w:r>
          </w:p>
        </w:tc>
        <w:tc>
          <w:tcPr>
            <w:tcW w:w="9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Credited in</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at March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Additions</w:t>
            </w:r>
          </w:p>
        </w:tc>
        <w:tc>
          <w:tcPr>
            <w:tcW w:w="80" w:type="dxa"/>
            <w:vAlign w:val="bottom"/>
          </w:tcPr>
          <w:p>
            <w:pPr>
              <w:spacing w:after="0"/>
              <w:rPr>
                <w:sz w:val="12"/>
                <w:szCs w:val="12"/>
                <w:color w:val="auto"/>
              </w:rPr>
            </w:pPr>
          </w:p>
        </w:tc>
        <w:tc>
          <w:tcPr>
            <w:tcW w:w="76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Income (2)</w:t>
            </w:r>
          </w:p>
        </w:tc>
        <w:tc>
          <w:tcPr>
            <w:tcW w:w="120" w:type="dxa"/>
            <w:vAlign w:val="bottom"/>
          </w:tcPr>
          <w:p>
            <w:pPr>
              <w:spacing w:after="0"/>
              <w:rPr>
                <w:sz w:val="14"/>
                <w:szCs w:val="14"/>
                <w:color w:val="auto"/>
              </w:rPr>
            </w:pPr>
          </w:p>
        </w:tc>
        <w:tc>
          <w:tcPr>
            <w:tcW w:w="68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Control Investments</w:t>
            </w: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I-45 SLF LLC</w:t>
            </w:r>
          </w:p>
        </w:tc>
        <w:tc>
          <w:tcPr>
            <w:tcW w:w="192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80% LLC equity</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8,973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63,395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67,113</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Prism Spectrum</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20"/>
              <w:spacing w:after="0"/>
              <w:rPr>
                <w:sz w:val="20"/>
                <w:szCs w:val="20"/>
                <w:color w:val="auto"/>
              </w:rPr>
            </w:pPr>
            <w:r>
              <w:rPr>
                <w:rFonts w:ascii="Arial" w:cs="Arial" w:eastAsia="Arial" w:hAnsi="Arial"/>
                <w:sz w:val="18"/>
                <w:szCs w:val="18"/>
                <w:b w:val="1"/>
                <w:bCs w:val="1"/>
                <w:color w:val="auto"/>
              </w:rPr>
              <w:t>Holdings, LLC</w:t>
            </w: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First lien</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Revolving loan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57.25 Class A units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19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7"/>
              </w:rPr>
              <w:t>800,000 shares Series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A Convertible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convertible into</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800,000 shares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3"/>
          </w:tcPr>
          <w:p>
            <w:pPr>
              <w:ind w:left="120"/>
              <w:spacing w:after="0"/>
              <w:rPr>
                <w:sz w:val="20"/>
                <w:szCs w:val="20"/>
                <w:color w:val="auto"/>
              </w:rPr>
            </w:pPr>
            <w:r>
              <w:rPr>
                <w:rFonts w:ascii="Arial" w:cs="Arial" w:eastAsia="Arial" w:hAnsi="Arial"/>
                <w:sz w:val="18"/>
                <w:szCs w:val="18"/>
                <w:b w:val="1"/>
                <w:bCs w:val="1"/>
                <w:color w:val="auto"/>
              </w:rPr>
              <w:t xml:space="preserve">Media Recovery, Inc. </w:t>
            </w: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5,590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4,000,002 shares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1,189,609 shares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Series B convertible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TitanLiner</w:t>
            </w: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shd w:val="clear" w:color="auto" w:fill="CCEEFF"/>
          </w:tcPr>
          <w:p>
            <w:pPr>
              <w:spacing w:after="0"/>
              <w:rPr>
                <w:sz w:val="20"/>
                <w:szCs w:val="20"/>
                <w:color w:val="auto"/>
              </w:rPr>
            </w:pP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PIK)</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19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7"/>
              </w:rPr>
              <w:t>339,277 shares Series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A convertible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11,928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11,928</w:t>
            </w:r>
          </w:p>
        </w:tc>
        <w:tc>
          <w:tcPr>
            <w:tcW w:w="0" w:type="dxa"/>
            <w:vAlign w:val="bottom"/>
          </w:tcPr>
          <w:p>
            <w:pPr>
              <w:spacing w:after="0"/>
              <w:rPr>
                <w:sz w:val="1"/>
                <w:szCs w:val="1"/>
                <w:color w:val="auto"/>
              </w:rPr>
            </w:pPr>
          </w:p>
        </w:tc>
      </w:tr>
      <w:tr>
        <w:trPr>
          <w:trHeight w:val="178"/>
        </w:trPr>
        <w:tc>
          <w:tcPr>
            <w:tcW w:w="1720" w:type="dxa"/>
            <w:vAlign w:val="bottom"/>
            <w:tcBorders>
              <w:top w:val="single" w:sz="8" w:color="CCEEFF"/>
            </w:tcBorders>
            <w:shd w:val="clear" w:color="auto" w:fill="CCEEFF"/>
          </w:tcPr>
          <w:p>
            <w:pPr>
              <w:ind w:left="120"/>
              <w:spacing w:after="0" w:line="178" w:lineRule="exact"/>
              <w:rPr>
                <w:sz w:val="20"/>
                <w:szCs w:val="20"/>
                <w:color w:val="auto"/>
              </w:rPr>
            </w:pPr>
            <w:r>
              <w:rPr>
                <w:rFonts w:ascii="Arial" w:cs="Arial" w:eastAsia="Arial" w:hAnsi="Arial"/>
                <w:sz w:val="18"/>
                <w:szCs w:val="18"/>
                <w:b w:val="1"/>
                <w:bCs w:val="1"/>
                <w:color w:val="auto"/>
              </w:rPr>
              <w:t>Total Control</w:t>
            </w:r>
          </w:p>
        </w:tc>
        <w:tc>
          <w:tcPr>
            <w:tcW w:w="17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Investments</w:t>
            </w:r>
          </w:p>
        </w:tc>
        <w:tc>
          <w:tcPr>
            <w:tcW w:w="1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104,011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25,347</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10,590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139,948</w:t>
            </w:r>
          </w:p>
        </w:tc>
        <w:tc>
          <w:tcPr>
            <w:tcW w:w="0" w:type="dxa"/>
            <w:vAlign w:val="bottom"/>
          </w:tcPr>
          <w:p>
            <w:pPr>
              <w:spacing w:after="0"/>
              <w:rPr>
                <w:sz w:val="1"/>
                <w:szCs w:val="1"/>
                <w:color w:val="auto"/>
              </w:rPr>
            </w:pPr>
          </w:p>
        </w:tc>
      </w:tr>
      <w:tr>
        <w:trPr>
          <w:trHeight w:val="864"/>
        </w:trPr>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117</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Amount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Amount of</w:t>
            </w:r>
          </w:p>
        </w:tc>
        <w:tc>
          <w:tcPr>
            <w:tcW w:w="16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Fair Value at</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w w:val="99"/>
              </w:rPr>
              <w:t>or Dividends</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Credited in</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 March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Realized</w:t>
            </w:r>
          </w:p>
        </w:tc>
        <w:tc>
          <w:tcPr>
            <w:tcW w:w="16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Additions</w:t>
            </w:r>
          </w:p>
        </w:tc>
        <w:tc>
          <w:tcPr>
            <w:tcW w:w="80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Type of Investment (1)</w:t>
            </w: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Income (2)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Gain/(Loss)</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Gain/(Loss)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Affiliate Investments</w:t>
            </w:r>
          </w:p>
        </w:tc>
        <w:tc>
          <w:tcPr>
            <w:tcW w:w="1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Chandler Signs, LP</w:t>
            </w:r>
          </w:p>
        </w:tc>
        <w:tc>
          <w:tcPr>
            <w:tcW w:w="1820" w:type="dxa"/>
            <w:vAlign w:val="bottom"/>
          </w:tcPr>
          <w:p>
            <w:pPr>
              <w:ind w:left="100"/>
              <w:spacing w:after="0" w:line="201" w:lineRule="exact"/>
              <w:rPr>
                <w:sz w:val="20"/>
                <w:szCs w:val="20"/>
                <w:color w:val="auto"/>
              </w:rPr>
            </w:pPr>
            <w:r>
              <w:rPr>
                <w:rFonts w:ascii="Arial" w:cs="Arial" w:eastAsia="Arial" w:hAnsi="Arial"/>
                <w:sz w:val="18"/>
                <w:szCs w:val="18"/>
                <w:color w:val="auto"/>
              </w:rPr>
              <w:t>Senior subordinated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vMerge w:val="continue"/>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debt (12.00% cash)</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4,477</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2"/>
        </w:trPr>
        <w:tc>
          <w:tcPr>
            <w:tcW w:w="1900" w:type="dxa"/>
            <w:vAlign w:val="bottom"/>
            <w:shd w:val="clear" w:color="auto" w:fill="CCEEFF"/>
          </w:tcPr>
          <w:p>
            <w:pPr>
              <w:spacing w:after="0"/>
              <w:rPr>
                <w:sz w:val="17"/>
                <w:szCs w:val="17"/>
                <w:color w:val="auto"/>
              </w:rPr>
            </w:pPr>
          </w:p>
        </w:tc>
        <w:tc>
          <w:tcPr>
            <w:tcW w:w="1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1,500,000 units of</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A-1 common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Elite SEM, Inc.</w:t>
            </w: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First lien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1,089 Preferred units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0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ITA Holdings Group,</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120"/>
              <w:spacing w:after="0"/>
              <w:rPr>
                <w:sz w:val="20"/>
                <w:szCs w:val="20"/>
                <w:color w:val="auto"/>
              </w:rPr>
            </w:pPr>
            <w:r>
              <w:rPr>
                <w:rFonts w:ascii="Arial" w:cs="Arial" w:eastAsia="Arial" w:hAnsi="Arial"/>
                <w:sz w:val="18"/>
                <w:szCs w:val="18"/>
                <w:b w:val="1"/>
                <w:bCs w:val="1"/>
                <w:color w:val="auto"/>
              </w:rPr>
              <w:t>LLC</w:t>
            </w:r>
          </w:p>
        </w:tc>
        <w:tc>
          <w:tcPr>
            <w:tcW w:w="1820" w:type="dxa"/>
            <w:vAlign w:val="bottom"/>
          </w:tcPr>
          <w:p>
            <w:pPr>
              <w:ind w:left="100"/>
              <w:spacing w:after="0"/>
              <w:rPr>
                <w:sz w:val="20"/>
                <w:szCs w:val="20"/>
                <w:color w:val="auto"/>
              </w:rPr>
            </w:pPr>
            <w:r>
              <w:rPr>
                <w:rFonts w:ascii="Arial" w:cs="Arial" w:eastAsia="Arial" w:hAnsi="Arial"/>
                <w:sz w:val="18"/>
                <w:szCs w:val="18"/>
                <w:color w:val="auto"/>
              </w:rPr>
              <w:t>First lien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9,314</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Revolving loan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00" w:type="dxa"/>
            <w:vAlign w:val="bottom"/>
          </w:tcPr>
          <w:p>
            <w:pPr>
              <w:spacing w:after="0"/>
              <w:rPr>
                <w:sz w:val="17"/>
                <w:szCs w:val="17"/>
                <w:color w:val="auto"/>
              </w:rPr>
            </w:pPr>
          </w:p>
        </w:tc>
        <w:tc>
          <w:tcPr>
            <w:tcW w:w="1820" w:type="dxa"/>
            <w:vAlign w:val="bottom"/>
          </w:tcPr>
          <w:p>
            <w:pPr>
              <w:ind w:left="100"/>
              <w:spacing w:after="0" w:line="201" w:lineRule="exact"/>
              <w:rPr>
                <w:sz w:val="20"/>
                <w:szCs w:val="20"/>
                <w:color w:val="auto"/>
              </w:rPr>
            </w:pPr>
            <w:r>
              <w:rPr>
                <w:rFonts w:ascii="Arial" w:cs="Arial" w:eastAsia="Arial" w:hAnsi="Arial"/>
                <w:sz w:val="18"/>
                <w:szCs w:val="18"/>
                <w:color w:val="auto"/>
              </w:rPr>
              <w:t>Delayed draw term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loan</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2"/>
        </w:trPr>
        <w:tc>
          <w:tcPr>
            <w:tcW w:w="1900" w:type="dxa"/>
            <w:vAlign w:val="bottom"/>
            <w:shd w:val="clear" w:color="auto" w:fill="CCEEFF"/>
          </w:tcPr>
          <w:p>
            <w:pPr>
              <w:spacing w:after="0"/>
              <w:rPr>
                <w:sz w:val="17"/>
                <w:szCs w:val="17"/>
                <w:color w:val="auto"/>
              </w:rPr>
            </w:pPr>
          </w:p>
        </w:tc>
        <w:tc>
          <w:tcPr>
            <w:tcW w:w="1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9.25% Class A</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membership interest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Zenfolio Inc.</w:t>
            </w: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First lien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13,200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20" w:type="dxa"/>
            <w:vAlign w:val="bottom"/>
          </w:tcPr>
          <w:p>
            <w:pPr>
              <w:ind w:left="100"/>
              <w:spacing w:after="0"/>
              <w:rPr>
                <w:sz w:val="20"/>
                <w:szCs w:val="20"/>
                <w:color w:val="auto"/>
              </w:rPr>
            </w:pPr>
            <w:r>
              <w:rPr>
                <w:rFonts w:ascii="Arial" w:cs="Arial" w:eastAsia="Arial" w:hAnsi="Arial"/>
                <w:sz w:val="18"/>
                <w:szCs w:val="18"/>
                <w:color w:val="auto"/>
              </w:rPr>
              <w:t>Revolving loan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00" w:type="dxa"/>
            <w:vAlign w:val="bottom"/>
            <w:shd w:val="clear" w:color="auto" w:fill="CCEEFF"/>
          </w:tcPr>
          <w:p>
            <w:pPr>
              <w:spacing w:after="0"/>
              <w:rPr>
                <w:sz w:val="17"/>
                <w:szCs w:val="17"/>
                <w:color w:val="auto"/>
              </w:rPr>
            </w:pPr>
          </w:p>
        </w:tc>
        <w:tc>
          <w:tcPr>
            <w:tcW w:w="1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190 shares of common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b w:val="1"/>
                <w:bCs w:val="1"/>
                <w:color w:val="auto"/>
                <w:w w:val="97"/>
              </w:rPr>
              <w:t>Investments not held</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at the end of the</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period</w:t>
            </w: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90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0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00" w:type="dxa"/>
            <w:vAlign w:val="bottom"/>
            <w:shd w:val="clear" w:color="auto" w:fill="CCEEFF"/>
          </w:tcPr>
          <w:p>
            <w:pPr>
              <w:ind w:left="120"/>
              <w:spacing w:after="0" w:line="178" w:lineRule="exact"/>
              <w:rPr>
                <w:sz w:val="20"/>
                <w:szCs w:val="20"/>
                <w:color w:val="auto"/>
              </w:rPr>
            </w:pPr>
            <w:r>
              <w:rPr>
                <w:rFonts w:ascii="Arial" w:cs="Arial" w:eastAsia="Arial" w:hAnsi="Arial"/>
                <w:sz w:val="18"/>
                <w:szCs w:val="18"/>
                <w:b w:val="1"/>
                <w:bCs w:val="1"/>
                <w:color w:val="auto"/>
              </w:rPr>
              <w:t>Total Affiliate</w:t>
            </w:r>
          </w:p>
        </w:tc>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Investments</w:t>
            </w: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90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45,723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53,198</w:t>
            </w:r>
          </w:p>
        </w:tc>
        <w:tc>
          <w:tcPr>
            <w:tcW w:w="0" w:type="dxa"/>
            <w:vAlign w:val="bottom"/>
          </w:tcPr>
          <w:p>
            <w:pPr>
              <w:spacing w:after="0"/>
              <w:rPr>
                <w:sz w:val="1"/>
                <w:szCs w:val="1"/>
                <w:color w:val="auto"/>
              </w:rPr>
            </w:pPr>
          </w:p>
        </w:tc>
      </w:tr>
      <w:tr>
        <w:trPr>
          <w:trHeight w:val="20"/>
        </w:trPr>
        <w:tc>
          <w:tcPr>
            <w:tcW w:w="1900" w:type="dxa"/>
            <w:vAlign w:val="bottom"/>
            <w:vMerge w:val="restart"/>
          </w:tcPr>
          <w:p>
            <w:pPr>
              <w:ind w:left="120"/>
              <w:spacing w:after="0" w:line="198" w:lineRule="exact"/>
              <w:rPr>
                <w:sz w:val="20"/>
                <w:szCs w:val="20"/>
                <w:color w:val="auto"/>
              </w:rPr>
            </w:pPr>
            <w:r>
              <w:rPr>
                <w:rFonts w:ascii="Arial" w:cs="Arial" w:eastAsia="Arial" w:hAnsi="Arial"/>
                <w:sz w:val="18"/>
                <w:szCs w:val="18"/>
                <w:b w:val="1"/>
                <w:bCs w:val="1"/>
                <w:color w:val="auto"/>
              </w:rPr>
              <w:t>Total Control &amp;</w:t>
            </w: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vMerge w:val="restart"/>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15,976</w:t>
            </w: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6"/>
              </w:rPr>
              <w:t>111,149</w:t>
            </w:r>
          </w:p>
        </w:tc>
        <w:tc>
          <w:tcPr>
            <w:tcW w:w="240" w:type="dxa"/>
            <w:vAlign w:val="bottom"/>
            <w:gridSpan w:val="2"/>
            <w:vMerge w:val="restart"/>
          </w:tcPr>
          <w:p>
            <w:pPr>
              <w:ind w:left="160"/>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ind w:left="420"/>
              <w:spacing w:after="0"/>
              <w:rPr>
                <w:sz w:val="20"/>
                <w:szCs w:val="20"/>
                <w:color w:val="auto"/>
              </w:rPr>
            </w:pPr>
            <w:r>
              <w:rPr>
                <w:rFonts w:ascii="Arial" w:cs="Arial" w:eastAsia="Arial" w:hAnsi="Arial"/>
                <w:sz w:val="18"/>
                <w:szCs w:val="18"/>
                <w:color w:val="auto"/>
                <w:w w:val="99"/>
              </w:rPr>
              <w:t>90</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25,684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56,313</w:t>
            </w:r>
          </w:p>
        </w:tc>
        <w:tc>
          <w:tcPr>
            <w:tcW w:w="14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193,146</w:t>
            </w:r>
          </w:p>
        </w:tc>
        <w:tc>
          <w:tcPr>
            <w:tcW w:w="0" w:type="dxa"/>
            <w:vAlign w:val="bottom"/>
          </w:tcPr>
          <w:p>
            <w:pPr>
              <w:spacing w:after="0"/>
              <w:rPr>
                <w:sz w:val="1"/>
                <w:szCs w:val="1"/>
                <w:color w:val="auto"/>
              </w:rPr>
            </w:pPr>
          </w:p>
        </w:tc>
      </w:tr>
      <w:tr>
        <w:trPr>
          <w:trHeight w:val="221"/>
        </w:trPr>
        <w:tc>
          <w:tcPr>
            <w:tcW w:w="1900" w:type="dxa"/>
            <w:vAlign w:val="bottom"/>
          </w:tcPr>
          <w:p>
            <w:pPr>
              <w:ind w:left="120"/>
              <w:spacing w:after="0"/>
              <w:rPr>
                <w:sz w:val="20"/>
                <w:szCs w:val="20"/>
                <w:color w:val="auto"/>
              </w:rPr>
            </w:pPr>
            <w:r>
              <w:rPr>
                <w:rFonts w:ascii="Arial" w:cs="Arial" w:eastAsia="Arial" w:hAnsi="Arial"/>
                <w:sz w:val="18"/>
                <w:szCs w:val="18"/>
                <w:b w:val="1"/>
                <w:bCs w:val="1"/>
                <w:color w:val="auto"/>
                <w:w w:val="99"/>
              </w:rPr>
              <w:t>Affiliate Investments</w:t>
            </w:r>
          </w:p>
        </w:tc>
        <w:tc>
          <w:tcPr>
            <w:tcW w:w="18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schedule should be read in conjunction with our Consolidated Financial Statements, including the Consolidated Schedules of Investments and Notes to Consolidated Financial Statements.</w:t>
      </w:r>
    </w:p>
    <w:p>
      <w:pPr>
        <w:spacing w:after="0" w:line="154" w:lineRule="exact"/>
        <w:rPr>
          <w:sz w:val="20"/>
          <w:szCs w:val="20"/>
          <w:color w:val="auto"/>
        </w:rPr>
      </w:pPr>
    </w:p>
    <w:p>
      <w:pPr>
        <w:ind w:left="320" w:hanging="317"/>
        <w:spacing w:after="0"/>
        <w:tabs>
          <w:tab w:leader="none" w:pos="3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principal amount and ownership detail as shown in the Consolidated Schedules of Investments.</w:t>
      </w:r>
    </w:p>
    <w:p>
      <w:pPr>
        <w:ind w:left="320" w:hanging="317"/>
        <w:spacing w:after="0" w:line="211" w:lineRule="auto"/>
        <w:tabs>
          <w:tab w:leader="none" w:pos="3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the total amount of interest or dividends credited to income for the portion of the year an investment was included in the Control or Affiliate categories, respectively.</w:t>
      </w:r>
    </w:p>
    <w:p>
      <w:pPr>
        <w:jc w:val="both"/>
        <w:ind w:left="320" w:hanging="317"/>
        <w:spacing w:after="0" w:line="225" w:lineRule="auto"/>
        <w:tabs>
          <w:tab w:leader="none" w:pos="320" w:val="left"/>
        </w:tabs>
        <w:numPr>
          <w:ilvl w:val="0"/>
          <w:numId w:val="102"/>
        </w:numPr>
        <w:rPr>
          <w:rFonts w:ascii="Arial" w:cs="Arial" w:eastAsia="Arial" w:hAnsi="Arial"/>
          <w:sz w:val="18"/>
          <w:szCs w:val="18"/>
          <w:color w:val="auto"/>
        </w:rPr>
      </w:pPr>
      <w:r>
        <w:rPr>
          <w:rFonts w:ascii="Arial" w:cs="Arial" w:eastAsia="Arial" w:hAnsi="Arial"/>
          <w:sz w:val="16"/>
          <w:szCs w:val="16"/>
          <w:color w:val="auto"/>
        </w:rPr>
        <w:t>Gross additions include increases in the cost basis of investments resulting from new portfolio investments, follow-on investments, accrued PIK interest, and accretion of OID. Gross additions also include movement of an existing portfolio company into this category and out of a different category</w:t>
      </w:r>
      <w:r>
        <w:rPr>
          <w:rFonts w:ascii="Arial" w:cs="Arial" w:eastAsia="Arial" w:hAnsi="Arial"/>
          <w:sz w:val="18"/>
          <w:szCs w:val="18"/>
          <w:color w:val="auto"/>
        </w:rPr>
        <w:t>.</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that are designed to provide reasonable assurance that information required to be disclosed in our filings and submissions under the Exchange Act is recorded, processed, summarized and reported within the periods specified in the rules and forms of the SEC and that such information is accumulated and communicated to our management, including our Chief Executive Officer and Chief Financial Officer, as appropriate, to allow timely discussions regarding the required disclosure.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completed an evaluation under the supervision and with participation of management, including the Chief Executive Officer and Chief Financial Officer, of the effectiveness of the design and operation of our disclosure controls and procedures as of March 31, 2018. Based upon this evaluation, the Chief Executive Officer and Chief Financial Officer have concluded that as of March 31, 2018, our disclosure controls and procedures were effective to provide the reasonable assurance described above. We note that the design of any system of controls is based in part upon certain assumptions about the likelihood of future events, and there can be no assurance that any design will succeed in achieving the stated goals under all potential future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Exchange Act Rules 13a-15(f). Under the supervision and with the participation of management, including the Chief Executive Officer and Chief Financial Officer, we conducted an evaluation of the effectiveness of our internal control over financial reporting based on the criteria established in the 2013 Internal Control — Integrated Framework issued by the Committee of Sponsoring Organizations of the Treadway Commission (COSO). Based on our evaluation under the framework in the 2013 Internal Control — Integrated Framework, management concluded that our internal control over financial reporting was effective as of March 31, 2018. RSM US, LLP, our independent registered public accounting firm, has audited the effectiveness of the Company’s internal control over financial reporting as of March 31, 2018, as stated in its report which is included in Item 8 of Part II of this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of the Exchange Act) during the three months ended March 31, 2018 that have materially affected, or are reasonably likely to materially affect,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of its inherent limitations, management does not expect that our disclosure controls and our internal controls over financial reporting will prevent or detect all misstatements. Also, projections of any evaluation of effectiveness to future periods are subject to the risk that controls may become inadequate because of changes in conditions or that the degree of compliance with policies and procedures may deteriorate. Any control system, no matter how well designed and operated, is based upon certain assumptions and can only provide reasonable, not absolute, assurance that its objectives will be met. Further, no evaluation of controls can provide absolute assurance that misstatements due to errors or fraud will not occur or that all control issues and instances of fraud, if any within the Company, have been detected.</w:t>
      </w:r>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10 will be contained in the definitive proxy statement relating to our 2018 annual meeting of shareholders to be filed with the SEC no later than 120 days after the close of our fiscal year ended March 31, 2018, and is incorporated herein by reference.</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11 will be contained in the definitive proxy statement relating to our 2018 annual meeting of shareholders to be filed with the SEC no later than 120 days after the close of our fiscal year ended March 31, 2018, and is incorporated herein by reference.</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12 will be contained in the definitive proxy statement relating to our 2018 annual meeting of shareholders to be filed with the SEC no later than 120 days after the close of our fiscal year ended March 31, 2018, and is incorporated herein by reference.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below sets forth certain information as of March 31, 2018 regarding the shares of our common stock available for grant or granted under stock compensation plans that (1) were approved by our shareholders, and (2) were not approved by our shareholders.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4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4400" w:type="dxa"/>
            <w:vAlign w:val="bottom"/>
            <w:gridSpan w:val="4"/>
            <w:vMerge w:val="restart"/>
          </w:tcPr>
          <w:p>
            <w:pPr>
              <w:ind w:left="920"/>
              <w:spacing w:after="0"/>
              <w:rPr>
                <w:sz w:val="20"/>
                <w:szCs w:val="20"/>
                <w:color w:val="auto"/>
              </w:rPr>
            </w:pPr>
            <w:r>
              <w:rPr>
                <w:rFonts w:ascii="Arial" w:cs="Arial" w:eastAsia="Arial" w:hAnsi="Arial"/>
                <w:sz w:val="14"/>
                <w:szCs w:val="14"/>
                <w:b w:val="1"/>
                <w:bCs w:val="1"/>
                <w:color w:val="auto"/>
              </w:rPr>
              <w:t>Plan Category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40" w:type="dxa"/>
            <w:vAlign w:val="bottom"/>
          </w:tcPr>
          <w:p>
            <w:pPr>
              <w:spacing w:after="0"/>
              <w:rPr>
                <w:sz w:val="12"/>
                <w:szCs w:val="12"/>
                <w:color w:val="auto"/>
              </w:rPr>
            </w:pPr>
          </w:p>
        </w:tc>
        <w:tc>
          <w:tcPr>
            <w:tcW w:w="13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71"/>
        </w:trPr>
        <w:tc>
          <w:tcPr>
            <w:tcW w:w="4400" w:type="dxa"/>
            <w:vAlign w:val="bottom"/>
            <w:gridSpan w:val="4"/>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and Rights</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33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shareholders (1)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3480" w:type="dxa"/>
            <w:vAlign w:val="bottom"/>
            <w:gridSpan w:val="3"/>
          </w:tcPr>
          <w:p>
            <w:pPr>
              <w:spacing w:after="0" w:line="201" w:lineRule="exact"/>
              <w:rPr>
                <w:sz w:val="20"/>
                <w:szCs w:val="20"/>
                <w:color w:val="auto"/>
              </w:rPr>
            </w:pPr>
            <w:r>
              <w:rPr>
                <w:rFonts w:ascii="Arial" w:cs="Arial" w:eastAsia="Arial" w:hAnsi="Arial"/>
                <w:sz w:val="18"/>
                <w:szCs w:val="18"/>
                <w:color w:val="auto"/>
                <w:w w:val="99"/>
              </w:rPr>
              <w:t>Equity compensation plans not approved by</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4"/>
          </w:tcPr>
          <w:p>
            <w:pPr>
              <w:ind w:left="920"/>
              <w:spacing w:after="0"/>
              <w:rPr>
                <w:sz w:val="20"/>
                <w:szCs w:val="20"/>
                <w:color w:val="auto"/>
              </w:rPr>
            </w:pPr>
            <w:r>
              <w:rPr>
                <w:rFonts w:ascii="Arial" w:cs="Arial" w:eastAsia="Arial" w:hAnsi="Arial"/>
                <w:sz w:val="18"/>
                <w:szCs w:val="18"/>
                <w:color w:val="auto"/>
              </w:rPr>
              <w:t>shareholders (2)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8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right="720" w:hanging="317"/>
        <w:spacing w:after="0" w:line="289" w:lineRule="auto"/>
        <w:tabs>
          <w:tab w:leader="none" w:pos="3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Includes the 1999 Stock Option Plan, 2009 Stock Incentive Plan and 2010 Restricted Stock Award Plan. For a description of all plans, please refer to Notes 8 and 9 contained in our consolidated financial statements.</w:t>
      </w:r>
    </w:p>
    <w:p>
      <w:pPr>
        <w:spacing w:after="0" w:line="83" w:lineRule="exact"/>
        <w:rPr>
          <w:rFonts w:ascii="Arial" w:cs="Arial" w:eastAsia="Arial" w:hAnsi="Arial"/>
          <w:sz w:val="16"/>
          <w:szCs w:val="16"/>
          <w:color w:val="auto"/>
        </w:rPr>
      </w:pPr>
    </w:p>
    <w:p>
      <w:pPr>
        <w:ind w:left="320" w:hanging="317"/>
        <w:spacing w:after="0"/>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have no equity compensation plans that were not approved by shareholders.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13 will be contained in the definitive proxy statement relating to our 2018 annual meeting of shareholders under the headings of “Certain Relationships and Related Transactions” and “Corporate Governance” to be filed with the Securities and Exchange Commission no later than 120 days after the close of our fiscal year ended March 31, 2018,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information required by this Item 14 will be contained in the definitive proxy statement relating to our 2018 annual meeting of shareholders under the heading of “Ratification and Appointment of Independent Registered Public Accounting Firm for the Year Ended March 31, 2018” to be filed with the Securities and Exchange Commission no later than 120 days after the close of our fiscal year ended March 31, 2018,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incorporated by reference as part of this Annual Report:</w:t>
      </w:r>
    </w:p>
    <w:p>
      <w:pPr>
        <w:spacing w:after="0" w:line="225" w:lineRule="exact"/>
        <w:rPr>
          <w:sz w:val="20"/>
          <w:szCs w:val="20"/>
          <w:color w:val="auto"/>
        </w:rPr>
      </w:pPr>
    </w:p>
    <w:p>
      <w:pPr>
        <w:ind w:left="580" w:hanging="577"/>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17"/>
            <w:vMerge w:val="restart"/>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Reports of Independent Registered Public Accounting Firm</w:t>
              </w:r>
            </w:hyperlink>
          </w:p>
        </w:tc>
        <w:tc>
          <w:tcPr>
            <w:tcW w:w="1440" w:type="dxa"/>
            <w:vAlign w:val="bottom"/>
            <w:gridSpan w:val="14"/>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700" w:type="dxa"/>
            <w:vAlign w:val="bottom"/>
            <w:gridSpan w:val="17"/>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60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Consolidated Statements of Assets and Liabilities as of March 31, 2018 and 2017</w:t>
              </w:r>
            </w:hyperlink>
          </w:p>
        </w:tc>
        <w:tc>
          <w:tcPr>
            <w:tcW w:w="840" w:type="dxa"/>
            <w:vAlign w:val="bottom"/>
            <w:gridSpan w:val="4"/>
          </w:tcPr>
          <w:p>
            <w:pPr>
              <w:spacing w:after="0"/>
              <w:rPr>
                <w:sz w:val="18"/>
                <w:szCs w:val="18"/>
                <w:color w:val="auto"/>
              </w:rPr>
            </w:pPr>
          </w:p>
        </w:tc>
        <w:tc>
          <w:tcPr>
            <w:tcW w:w="5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00" w:type="dxa"/>
            <w:vAlign w:val="bottom"/>
            <w:gridSpan w:val="17"/>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Consolidated Statements of Operations for Years Ended March 31, 2018, 2017 and 2016</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5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Changes in Net Assets for Years Ended March 31, 2018, 2017</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0" w:type="dxa"/>
            <w:vAlign w:val="bottom"/>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and 2016</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00" w:type="dxa"/>
            <w:vAlign w:val="bottom"/>
            <w:gridSpan w:val="17"/>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Consolidated Statements of Cash Flows for Years Ended March 31, 2018, 2017 and 2016</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Schedules of Investments as of March 31, 2018 and 2017</w:t>
              </w:r>
            </w:hyperlink>
          </w:p>
        </w:tc>
        <w:tc>
          <w:tcPr>
            <w:tcW w:w="1300" w:type="dxa"/>
            <w:vAlign w:val="bottom"/>
            <w:tcBorders>
              <w:top w:val="single" w:sz="8" w:color="0000EE"/>
            </w:tcBorders>
            <w:gridSpan w:val="3"/>
          </w:tcPr>
          <w:p>
            <w:pPr>
              <w:spacing w:after="0"/>
              <w:rPr>
                <w:sz w:val="17"/>
                <w:szCs w:val="17"/>
                <w:color w:val="auto"/>
              </w:rPr>
            </w:pPr>
          </w:p>
        </w:tc>
        <w:tc>
          <w:tcPr>
            <w:tcW w:w="280" w:type="dxa"/>
            <w:vAlign w:val="bottom"/>
            <w:gridSpan w:val="2"/>
          </w:tcPr>
          <w:p>
            <w:pPr>
              <w:spacing w:after="0"/>
              <w:rPr>
                <w:sz w:val="17"/>
                <w:szCs w:val="17"/>
                <w:color w:val="auto"/>
              </w:rPr>
            </w:pPr>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00" w:type="dxa"/>
            <w:vAlign w:val="bottom"/>
            <w:gridSpan w:val="1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54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9"/>
              </w:rPr>
              <w:t>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7240" w:type="dxa"/>
            <w:vAlign w:val="bottom"/>
            <w:gridSpan w:val="20"/>
          </w:tcPr>
          <w:p>
            <w:pPr>
              <w:ind w:left="260"/>
              <w:spacing w:after="0"/>
              <w:rPr>
                <w:sz w:val="20"/>
                <w:szCs w:val="20"/>
                <w:color w:val="auto"/>
              </w:rPr>
            </w:pPr>
            <w:r>
              <w:rPr>
                <w:rFonts w:ascii="Arial" w:cs="Arial" w:eastAsia="Arial" w:hAnsi="Arial"/>
                <w:sz w:val="18"/>
                <w:szCs w:val="18"/>
                <w:color w:val="auto"/>
              </w:rPr>
              <w:t>Consolidated Financial Statement Schedule</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17"/>
            <w:vMerge w:val="restart"/>
          </w:tcPr>
          <w:p>
            <w:pPr>
              <w:spacing w:after="0"/>
              <w:rPr>
                <w:rFonts w:ascii="Arial" w:cs="Arial" w:eastAsia="Arial" w:hAnsi="Arial"/>
                <w:sz w:val="18"/>
                <w:szCs w:val="18"/>
                <w:color w:val="0000EE"/>
                <w:w w:val="93"/>
              </w:rPr>
            </w:pPr>
            <w:hyperlink w:anchor="page119">
              <w:r>
                <w:rPr>
                  <w:rFonts w:ascii="Arial" w:cs="Arial" w:eastAsia="Arial" w:hAnsi="Arial"/>
                  <w:sz w:val="18"/>
                  <w:szCs w:val="18"/>
                  <w:color w:val="0000EE"/>
                  <w:w w:val="93"/>
                </w:rPr>
                <w:t>Schedule of Investments in and Advances to Affiliates for the Year Ended March 31, 2018</w:t>
              </w:r>
            </w:hyperlink>
          </w:p>
        </w:tc>
        <w:tc>
          <w:tcPr>
            <w:tcW w:w="1440" w:type="dxa"/>
            <w:vAlign w:val="bottom"/>
            <w:gridSpan w:val="14"/>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700" w:type="dxa"/>
            <w:vAlign w:val="bottom"/>
            <w:gridSpan w:val="17"/>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w w:val="97"/>
              </w:rPr>
              <w:t>117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1500" w:type="dxa"/>
            <w:vAlign w:val="bottom"/>
            <w:gridSpan w:val="6"/>
          </w:tcPr>
          <w:p>
            <w:pPr>
              <w:ind w:left="260"/>
              <w:spacing w:after="0"/>
              <w:rPr>
                <w:sz w:val="20"/>
                <w:szCs w:val="20"/>
                <w:color w:val="auto"/>
              </w:rPr>
            </w:pPr>
            <w:r>
              <w:rPr>
                <w:rFonts w:ascii="Arial" w:cs="Arial" w:eastAsia="Arial" w:hAnsi="Arial"/>
                <w:sz w:val="18"/>
                <w:szCs w:val="18"/>
                <w:color w:val="auto"/>
              </w:rPr>
              <w:t>Exhibits</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380" w:type="dxa"/>
            <w:vAlign w:val="bottom"/>
          </w:tcPr>
          <w:p>
            <w:pPr>
              <w:spacing w:after="0"/>
              <w:rPr>
                <w:sz w:val="24"/>
                <w:szCs w:val="24"/>
                <w:color w:val="auto"/>
              </w:rPr>
            </w:pPr>
          </w:p>
        </w:tc>
        <w:tc>
          <w:tcPr>
            <w:tcW w:w="1500" w:type="dxa"/>
            <w:vAlign w:val="bottom"/>
            <w:gridSpan w:val="6"/>
          </w:tcPr>
          <w:p>
            <w:pPr>
              <w:ind w:left="280"/>
              <w:spacing w:after="0"/>
              <w:rPr>
                <w:sz w:val="20"/>
                <w:szCs w:val="20"/>
                <w:color w:val="auto"/>
              </w:rPr>
            </w:pPr>
            <w:r>
              <w:rPr>
                <w:rFonts w:ascii="Arial" w:cs="Arial" w:eastAsia="Arial" w:hAnsi="Arial"/>
                <w:sz w:val="16"/>
                <w:szCs w:val="16"/>
                <w:color w:val="auto"/>
              </w:rPr>
              <w:t>Exhibit No.</w:t>
            </w:r>
          </w:p>
        </w:tc>
        <w:tc>
          <w:tcPr>
            <w:tcW w:w="5740" w:type="dxa"/>
            <w:vAlign w:val="bottom"/>
            <w:gridSpan w:val="14"/>
          </w:tcPr>
          <w:p>
            <w:pPr>
              <w:spacing w:after="0"/>
              <w:rPr>
                <w:sz w:val="20"/>
                <w:szCs w:val="20"/>
                <w:color w:val="auto"/>
              </w:rPr>
            </w:pPr>
            <w:r>
              <w:rPr>
                <w:rFonts w:ascii="Arial" w:cs="Arial" w:eastAsia="Arial" w:hAnsi="Arial"/>
                <w:sz w:val="16"/>
                <w:szCs w:val="16"/>
                <w:color w:val="auto"/>
              </w:rPr>
              <w:t>Description</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jc w:val="right"/>
              <w:spacing w:after="0" w:line="158" w:lineRule="exact"/>
              <w:rPr>
                <w:rFonts w:ascii="Arial" w:cs="Arial" w:eastAsia="Arial" w:hAnsi="Arial"/>
                <w:sz w:val="16"/>
                <w:szCs w:val="16"/>
                <w:color w:val="0000EE"/>
                <w:w w:val="71"/>
              </w:rPr>
            </w:pPr>
            <w:hyperlink r:id="rId129">
              <w:r>
                <w:rPr>
                  <w:rFonts w:ascii="Arial" w:cs="Arial" w:eastAsia="Arial" w:hAnsi="Arial"/>
                  <w:sz w:val="16"/>
                  <w:szCs w:val="16"/>
                  <w:color w:val="0000EE"/>
                  <w:w w:val="71"/>
                </w:rPr>
                <w:t>2.</w:t>
              </w:r>
              <w:r>
                <w:rPr>
                  <w:rFonts w:ascii="Arial" w:cs="Arial" w:eastAsia="Arial" w:hAnsi="Arial"/>
                  <w:sz w:val="16"/>
                  <w:szCs w:val="16"/>
                  <w:u w:val="single" w:color="auto"/>
                  <w:color w:val="0000EE"/>
                  <w:w w:val="71"/>
                </w:rPr>
                <w:t>1</w:t>
              </w:r>
            </w:hyperlink>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180" w:type="dxa"/>
            <w:vAlign w:val="bottom"/>
            <w:tcBorders>
              <w:top w:val="single" w:sz="8" w:color="auto"/>
            </w:tcBorders>
            <w:gridSpan w:val="28"/>
          </w:tcPr>
          <w:p>
            <w:pPr>
              <w:spacing w:after="0" w:line="158" w:lineRule="exact"/>
              <w:rPr>
                <w:rFonts w:ascii="Arial" w:cs="Arial" w:eastAsia="Arial" w:hAnsi="Arial"/>
                <w:sz w:val="16"/>
                <w:szCs w:val="16"/>
                <w:color w:val="0000EE"/>
              </w:rPr>
            </w:pPr>
            <w:hyperlink r:id="rId129">
              <w:r>
                <w:rPr>
                  <w:rFonts w:ascii="Arial" w:cs="Arial" w:eastAsia="Arial" w:hAnsi="Arial"/>
                  <w:sz w:val="16"/>
                  <w:szCs w:val="16"/>
                  <w:color w:val="0000EE"/>
                </w:rPr>
                <w:t>Distribution Agreement, dated September 8, 2015, between the Company and CSW Industrials, Inc.</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8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20" w:type="dxa"/>
            <w:vAlign w:val="bottom"/>
            <w:tcBorders>
              <w:bottom w:val="single" w:sz="8" w:color="0000EE"/>
            </w:tcBorders>
            <w:gridSpan w:val="20"/>
          </w:tcPr>
          <w:p>
            <w:pPr>
              <w:spacing w:after="0" w:line="183" w:lineRule="exact"/>
              <w:rPr>
                <w:rFonts w:ascii="Arial" w:cs="Arial" w:eastAsia="Arial" w:hAnsi="Arial"/>
                <w:sz w:val="16"/>
                <w:szCs w:val="16"/>
                <w:color w:val="0000EE"/>
                <w:w w:val="91"/>
              </w:rPr>
            </w:pPr>
            <w:hyperlink r:id="rId129">
              <w:r>
                <w:rPr>
                  <w:rFonts w:ascii="Arial" w:cs="Arial" w:eastAsia="Arial" w:hAnsi="Arial"/>
                  <w:sz w:val="16"/>
                  <w:szCs w:val="16"/>
                  <w:color w:val="0000EE"/>
                  <w:w w:val="91"/>
                </w:rPr>
                <w:t>(incorporated by reference to Exhibit 2.1 to Form 8-K (File No. 814-00061) filed on September 14, 2015).</w:t>
              </w:r>
            </w:hyperlink>
          </w:p>
        </w:tc>
        <w:tc>
          <w:tcPr>
            <w:tcW w:w="3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480" w:type="dxa"/>
            <w:vAlign w:val="bottom"/>
            <w:gridSpan w:val="2"/>
          </w:tcPr>
          <w:p>
            <w:pPr>
              <w:jc w:val="right"/>
              <w:spacing w:after="0"/>
              <w:rPr>
                <w:rFonts w:ascii="Arial" w:cs="Arial" w:eastAsia="Arial" w:hAnsi="Arial"/>
                <w:sz w:val="16"/>
                <w:szCs w:val="16"/>
                <w:color w:val="0000EE"/>
              </w:rPr>
            </w:pPr>
            <w:hyperlink r:id="rId130">
              <w:r>
                <w:rPr>
                  <w:rFonts w:ascii="Arial" w:cs="Arial" w:eastAsia="Arial" w:hAnsi="Arial"/>
                  <w:sz w:val="16"/>
                  <w:szCs w:val="16"/>
                  <w:color w:val="0000EE"/>
                </w:rPr>
                <w:t>3.</w:t>
              </w:r>
              <w:r>
                <w:rPr>
                  <w:rFonts w:ascii="Arial" w:cs="Arial" w:eastAsia="Arial" w:hAnsi="Arial"/>
                  <w:sz w:val="16"/>
                  <w:szCs w:val="16"/>
                  <w:u w:val="single" w:color="auto"/>
                  <w:color w:val="0000EE"/>
                </w:rPr>
                <w:t>1</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28"/>
          </w:tcPr>
          <w:p>
            <w:pPr>
              <w:spacing w:after="0"/>
              <w:rPr>
                <w:rFonts w:ascii="Arial" w:cs="Arial" w:eastAsia="Arial" w:hAnsi="Arial"/>
                <w:sz w:val="16"/>
                <w:szCs w:val="16"/>
                <w:color w:val="0000EE"/>
                <w:w w:val="95"/>
              </w:rPr>
            </w:pPr>
            <w:hyperlink r:id="rId130">
              <w:r>
                <w:rPr>
                  <w:rFonts w:ascii="Arial" w:cs="Arial" w:eastAsia="Arial" w:hAnsi="Arial"/>
                  <w:sz w:val="16"/>
                  <w:szCs w:val="16"/>
                  <w:color w:val="0000EE"/>
                  <w:w w:val="95"/>
                </w:rPr>
                <w:t>Articles of Incorporation, dated April 19, 1961, including amendments dated June 30, 1969, July 20, 1987,</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180" w:type="dxa"/>
            <w:vAlign w:val="bottom"/>
            <w:gridSpan w:val="28"/>
          </w:tcPr>
          <w:p>
            <w:pPr>
              <w:spacing w:after="0" w:line="183" w:lineRule="exact"/>
              <w:rPr>
                <w:rFonts w:ascii="Arial" w:cs="Arial" w:eastAsia="Arial" w:hAnsi="Arial"/>
                <w:sz w:val="16"/>
                <w:szCs w:val="16"/>
                <w:color w:val="0000EE"/>
                <w:w w:val="93"/>
              </w:rPr>
            </w:pPr>
            <w:hyperlink r:id="rId130">
              <w:r>
                <w:rPr>
                  <w:rFonts w:ascii="Arial" w:cs="Arial" w:eastAsia="Arial" w:hAnsi="Arial"/>
                  <w:sz w:val="16"/>
                  <w:szCs w:val="16"/>
                  <w:color w:val="0000EE"/>
                  <w:w w:val="93"/>
                </w:rPr>
                <w:t>April 23, 2007 and July 15, 2013 (incorporated by reference to Exhibit (a) to Registration Statement on Form</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2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89"/>
              </w:rPr>
            </w:pPr>
            <w:hyperlink r:id="rId130">
              <w:r>
                <w:rPr>
                  <w:rFonts w:ascii="Arial" w:cs="Arial" w:eastAsia="Arial" w:hAnsi="Arial"/>
                  <w:sz w:val="16"/>
                  <w:szCs w:val="16"/>
                  <w:color w:val="0000EE"/>
                  <w:w w:val="89"/>
                </w:rPr>
                <w:t>N-2 (Reg. No. 333-220385) filed on September 8, 2017).</w:t>
              </w:r>
            </w:hyperlink>
          </w:p>
        </w:tc>
        <w:tc>
          <w:tcPr>
            <w:tcW w:w="2120" w:type="dxa"/>
            <w:vAlign w:val="bottom"/>
            <w:tcBorders>
              <w:top w:val="single" w:sz="8" w:color="0000EE"/>
            </w:tcBorders>
            <w:gridSpan w:val="6"/>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480" w:type="dxa"/>
            <w:vAlign w:val="bottom"/>
            <w:gridSpan w:val="2"/>
          </w:tcPr>
          <w:p>
            <w:pPr>
              <w:jc w:val="right"/>
              <w:spacing w:after="0"/>
              <w:rPr>
                <w:rFonts w:ascii="Arial" w:cs="Arial" w:eastAsia="Arial" w:hAnsi="Arial"/>
                <w:sz w:val="16"/>
                <w:szCs w:val="16"/>
                <w:color w:val="0000EE"/>
              </w:rPr>
            </w:pPr>
            <w:hyperlink r:id="rId131">
              <w:r>
                <w:rPr>
                  <w:rFonts w:ascii="Arial" w:cs="Arial" w:eastAsia="Arial" w:hAnsi="Arial"/>
                  <w:sz w:val="16"/>
                  <w:szCs w:val="16"/>
                  <w:color w:val="0000EE"/>
                </w:rPr>
                <w:t>3.</w:t>
              </w:r>
              <w:r>
                <w:rPr>
                  <w:rFonts w:ascii="Arial" w:cs="Arial" w:eastAsia="Arial" w:hAnsi="Arial"/>
                  <w:sz w:val="16"/>
                  <w:szCs w:val="16"/>
                  <w:u w:val="single" w:color="auto"/>
                  <w:color w:val="0000EE"/>
                </w:rPr>
                <w:t>2</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28"/>
          </w:tcPr>
          <w:p>
            <w:pPr>
              <w:spacing w:after="0"/>
              <w:rPr>
                <w:rFonts w:ascii="Arial" w:cs="Arial" w:eastAsia="Arial" w:hAnsi="Arial"/>
                <w:sz w:val="16"/>
                <w:szCs w:val="16"/>
                <w:color w:val="0000EE"/>
                <w:w w:val="92"/>
              </w:rPr>
            </w:pPr>
            <w:hyperlink r:id="rId131">
              <w:r>
                <w:rPr>
                  <w:rFonts w:ascii="Arial" w:cs="Arial" w:eastAsia="Arial" w:hAnsi="Arial"/>
                  <w:sz w:val="16"/>
                  <w:szCs w:val="16"/>
                  <w:color w:val="0000EE"/>
                  <w:w w:val="92"/>
                </w:rPr>
                <w:t>Second Amended and Restated Bylaws (incorporated by reference to Exhibit 3.2 to Form 10-Q (File No. 814-</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r:id="rId131">
              <w:r>
                <w:rPr>
                  <w:rFonts w:ascii="Arial" w:cs="Arial" w:eastAsia="Arial" w:hAnsi="Arial"/>
                  <w:sz w:val="16"/>
                  <w:szCs w:val="16"/>
                  <w:color w:val="0000EE"/>
                </w:rPr>
                <w:t>00061) filed on November 7, 2017).</w:t>
              </w:r>
            </w:hyperlink>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1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0" w:type="dxa"/>
            <w:vAlign w:val="bottom"/>
          </w:tcPr>
          <w:p>
            <w:pPr>
              <w:spacing w:after="0"/>
              <w:rPr>
                <w:sz w:val="24"/>
                <w:szCs w:val="24"/>
                <w:color w:val="auto"/>
              </w:rPr>
            </w:pPr>
          </w:p>
        </w:tc>
        <w:tc>
          <w:tcPr>
            <w:tcW w:w="480" w:type="dxa"/>
            <w:vAlign w:val="bottom"/>
            <w:gridSpan w:val="2"/>
          </w:tcPr>
          <w:p>
            <w:pPr>
              <w:jc w:val="right"/>
              <w:spacing w:after="0"/>
              <w:rPr>
                <w:rFonts w:ascii="Arial" w:cs="Arial" w:eastAsia="Arial" w:hAnsi="Arial"/>
                <w:sz w:val="16"/>
                <w:szCs w:val="16"/>
                <w:color w:val="0000EE"/>
              </w:rPr>
            </w:pPr>
            <w:hyperlink r:id="rId132">
              <w:r>
                <w:rPr>
                  <w:rFonts w:ascii="Arial" w:cs="Arial" w:eastAsia="Arial" w:hAnsi="Arial"/>
                  <w:sz w:val="16"/>
                  <w:szCs w:val="16"/>
                  <w:color w:val="0000EE"/>
                </w:rPr>
                <w:t>4.</w:t>
              </w:r>
              <w:r>
                <w:rPr>
                  <w:rFonts w:ascii="Arial" w:cs="Arial" w:eastAsia="Arial" w:hAnsi="Arial"/>
                  <w:sz w:val="16"/>
                  <w:szCs w:val="16"/>
                  <w:u w:val="single" w:color="auto"/>
                  <w:color w:val="0000EE"/>
                </w:rPr>
                <w:t>1</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28"/>
          </w:tcPr>
          <w:p>
            <w:pPr>
              <w:spacing w:after="0"/>
              <w:rPr>
                <w:rFonts w:ascii="Arial" w:cs="Arial" w:eastAsia="Arial" w:hAnsi="Arial"/>
                <w:sz w:val="16"/>
                <w:szCs w:val="16"/>
                <w:color w:val="0000EE"/>
                <w:w w:val="93"/>
              </w:rPr>
            </w:pPr>
            <w:hyperlink r:id="rId132">
              <w:r>
                <w:rPr>
                  <w:rFonts w:ascii="Arial" w:cs="Arial" w:eastAsia="Arial" w:hAnsi="Arial"/>
                  <w:sz w:val="16"/>
                  <w:szCs w:val="16"/>
                  <w:color w:val="0000EE"/>
                  <w:w w:val="93"/>
                </w:rPr>
                <w:t>Specimen of Common Stock certificate (incorporated by reference to Exhibit 4.1 to Form 10-K (File No. 811-</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7"/>
              </w:rPr>
            </w:pPr>
            <w:hyperlink r:id="rId132">
              <w:r>
                <w:rPr>
                  <w:rFonts w:ascii="Arial" w:cs="Arial" w:eastAsia="Arial" w:hAnsi="Arial"/>
                  <w:sz w:val="16"/>
                  <w:szCs w:val="16"/>
                  <w:color w:val="0000EE"/>
                  <w:w w:val="87"/>
                </w:rPr>
                <w:t>01056) filed on June 14, 2002).</w:t>
              </w:r>
            </w:hyperlink>
          </w:p>
        </w:tc>
        <w:tc>
          <w:tcPr>
            <w:tcW w:w="3780" w:type="dxa"/>
            <w:vAlign w:val="bottom"/>
            <w:tcBorders>
              <w:top w:val="single" w:sz="8" w:color="0000EE"/>
            </w:tcBorders>
            <w:gridSpan w:val="12"/>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480" w:type="dxa"/>
            <w:vAlign w:val="bottom"/>
            <w:gridSpan w:val="2"/>
          </w:tcPr>
          <w:p>
            <w:pPr>
              <w:jc w:val="right"/>
              <w:spacing w:after="0"/>
              <w:rPr>
                <w:rFonts w:ascii="Arial" w:cs="Arial" w:eastAsia="Arial" w:hAnsi="Arial"/>
                <w:sz w:val="16"/>
                <w:szCs w:val="16"/>
                <w:color w:val="0000EE"/>
              </w:rPr>
            </w:pPr>
            <w:hyperlink r:id="rId133">
              <w:r>
                <w:rPr>
                  <w:rFonts w:ascii="Arial" w:cs="Arial" w:eastAsia="Arial" w:hAnsi="Arial"/>
                  <w:sz w:val="16"/>
                  <w:szCs w:val="16"/>
                  <w:color w:val="0000EE"/>
                </w:rPr>
                <w:t>4.</w:t>
              </w:r>
              <w:r>
                <w:rPr>
                  <w:rFonts w:ascii="Arial" w:cs="Arial" w:eastAsia="Arial" w:hAnsi="Arial"/>
                  <w:sz w:val="16"/>
                  <w:szCs w:val="16"/>
                  <w:u w:val="single" w:color="auto"/>
                  <w:color w:val="0000EE"/>
                </w:rPr>
                <w:t>2</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28"/>
          </w:tcPr>
          <w:p>
            <w:pPr>
              <w:spacing w:after="0"/>
              <w:rPr>
                <w:rFonts w:ascii="Arial" w:cs="Arial" w:eastAsia="Arial" w:hAnsi="Arial"/>
                <w:sz w:val="16"/>
                <w:szCs w:val="16"/>
                <w:color w:val="0000EE"/>
                <w:w w:val="97"/>
              </w:rPr>
            </w:pPr>
            <w:hyperlink r:id="rId133">
              <w:r>
                <w:rPr>
                  <w:rFonts w:ascii="Arial" w:cs="Arial" w:eastAsia="Arial" w:hAnsi="Arial"/>
                  <w:sz w:val="16"/>
                  <w:szCs w:val="16"/>
                  <w:color w:val="0000EE"/>
                  <w:w w:val="97"/>
                </w:rPr>
                <w:t>Indenture, dated October 23, 2017, between the Company and U.S. Bank National Association, Trustee</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120" w:type="dxa"/>
            <w:vAlign w:val="bottom"/>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180" w:type="dxa"/>
            <w:vAlign w:val="bottom"/>
            <w:gridSpan w:val="28"/>
          </w:tcPr>
          <w:p>
            <w:pPr>
              <w:spacing w:after="0" w:line="183" w:lineRule="exact"/>
              <w:rPr>
                <w:rFonts w:ascii="Arial" w:cs="Arial" w:eastAsia="Arial" w:hAnsi="Arial"/>
                <w:sz w:val="16"/>
                <w:szCs w:val="16"/>
                <w:color w:val="0000EE"/>
                <w:w w:val="95"/>
              </w:rPr>
            </w:pPr>
            <w:hyperlink r:id="rId133">
              <w:r>
                <w:rPr>
                  <w:rFonts w:ascii="Arial" w:cs="Arial" w:eastAsia="Arial" w:hAnsi="Arial"/>
                  <w:sz w:val="16"/>
                  <w:szCs w:val="16"/>
                  <w:color w:val="0000EE"/>
                  <w:w w:val="95"/>
                </w:rPr>
                <w:t>(incorporated by reference to Exhibit (d)(2) to Registration Statement on Form N-2 (Reg. No. 333-220385)</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r:id="rId133">
              <w:r>
                <w:rPr>
                  <w:rFonts w:ascii="Arial" w:cs="Arial" w:eastAsia="Arial" w:hAnsi="Arial"/>
                  <w:sz w:val="16"/>
                  <w:szCs w:val="16"/>
                  <w:color w:val="0000EE"/>
                </w:rPr>
                <w:t>filed on October 23, 2017).</w:t>
              </w:r>
            </w:hyperlink>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0" w:type="dxa"/>
            <w:vAlign w:val="bottom"/>
          </w:tcPr>
          <w:p>
            <w:pPr>
              <w:spacing w:after="0"/>
              <w:rPr>
                <w:sz w:val="24"/>
                <w:szCs w:val="24"/>
                <w:color w:val="auto"/>
              </w:rPr>
            </w:pPr>
          </w:p>
        </w:tc>
        <w:tc>
          <w:tcPr>
            <w:tcW w:w="480" w:type="dxa"/>
            <w:vAlign w:val="bottom"/>
            <w:gridSpan w:val="2"/>
          </w:tcPr>
          <w:p>
            <w:pPr>
              <w:jc w:val="right"/>
              <w:spacing w:after="0"/>
              <w:rPr>
                <w:rFonts w:ascii="Arial" w:cs="Arial" w:eastAsia="Arial" w:hAnsi="Arial"/>
                <w:sz w:val="16"/>
                <w:szCs w:val="16"/>
                <w:color w:val="0000EE"/>
              </w:rPr>
            </w:pPr>
            <w:hyperlink r:id="rId134">
              <w:r>
                <w:rPr>
                  <w:rFonts w:ascii="Arial" w:cs="Arial" w:eastAsia="Arial" w:hAnsi="Arial"/>
                  <w:sz w:val="16"/>
                  <w:szCs w:val="16"/>
                  <w:color w:val="0000EE"/>
                </w:rPr>
                <w:t>4.</w:t>
              </w:r>
              <w:r>
                <w:rPr>
                  <w:rFonts w:ascii="Arial" w:cs="Arial" w:eastAsia="Arial" w:hAnsi="Arial"/>
                  <w:sz w:val="16"/>
                  <w:szCs w:val="16"/>
                  <w:u w:val="single" w:color="auto"/>
                  <w:color w:val="0000EE"/>
                </w:rPr>
                <w:t>3</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28"/>
          </w:tcPr>
          <w:p>
            <w:pPr>
              <w:spacing w:after="0"/>
              <w:rPr>
                <w:rFonts w:ascii="Arial" w:cs="Arial" w:eastAsia="Arial" w:hAnsi="Arial"/>
                <w:sz w:val="16"/>
                <w:szCs w:val="16"/>
                <w:color w:val="0000EE"/>
                <w:w w:val="96"/>
              </w:rPr>
            </w:pPr>
            <w:hyperlink r:id="rId134">
              <w:r>
                <w:rPr>
                  <w:rFonts w:ascii="Arial" w:cs="Arial" w:eastAsia="Arial" w:hAnsi="Arial"/>
                  <w:sz w:val="16"/>
                  <w:szCs w:val="16"/>
                  <w:color w:val="0000EE"/>
                  <w:w w:val="96"/>
                </w:rPr>
                <w:t>First Supplemental Indenture, dated December 15, 2017, between the Company and U.S. Bank National</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160" w:type="dxa"/>
            <w:vAlign w:val="bottom"/>
            <w:gridSpan w:val="12"/>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180" w:type="dxa"/>
            <w:vAlign w:val="bottom"/>
            <w:gridSpan w:val="28"/>
          </w:tcPr>
          <w:p>
            <w:pPr>
              <w:spacing w:after="0" w:line="183" w:lineRule="exact"/>
              <w:rPr>
                <w:rFonts w:ascii="Arial" w:cs="Arial" w:eastAsia="Arial" w:hAnsi="Arial"/>
                <w:sz w:val="16"/>
                <w:szCs w:val="16"/>
                <w:color w:val="0000EE"/>
                <w:w w:val="92"/>
              </w:rPr>
            </w:pPr>
            <w:hyperlink r:id="rId134">
              <w:r>
                <w:rPr>
                  <w:rFonts w:ascii="Arial" w:cs="Arial" w:eastAsia="Arial" w:hAnsi="Arial"/>
                  <w:sz w:val="16"/>
                  <w:szCs w:val="16"/>
                  <w:color w:val="0000EE"/>
                  <w:w w:val="92"/>
                </w:rPr>
                <w:t>Association, Trustee (incorporated by reference to Exhibit (d)(4) to Registration Statement on Form N-2 (Reg.</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No. 333-220385) filed on December 15, 2017).</w:t>
              </w:r>
            </w:hyperlink>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6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0" w:type="dxa"/>
            <w:vAlign w:val="bottom"/>
          </w:tcPr>
          <w:p>
            <w:pPr>
              <w:spacing w:after="0"/>
              <w:rPr>
                <w:sz w:val="24"/>
                <w:szCs w:val="24"/>
                <w:color w:val="auto"/>
              </w:rPr>
            </w:pPr>
          </w:p>
        </w:tc>
        <w:tc>
          <w:tcPr>
            <w:tcW w:w="480" w:type="dxa"/>
            <w:vAlign w:val="bottom"/>
            <w:gridSpan w:val="2"/>
          </w:tcPr>
          <w:p>
            <w:pPr>
              <w:jc w:val="right"/>
              <w:spacing w:after="0"/>
              <w:rPr>
                <w:rFonts w:ascii="Arial" w:cs="Arial" w:eastAsia="Arial" w:hAnsi="Arial"/>
                <w:sz w:val="16"/>
                <w:szCs w:val="16"/>
                <w:color w:val="0000EE"/>
              </w:rPr>
            </w:pPr>
            <w:hyperlink r:id="rId134">
              <w:r>
                <w:rPr>
                  <w:rFonts w:ascii="Arial" w:cs="Arial" w:eastAsia="Arial" w:hAnsi="Arial"/>
                  <w:sz w:val="16"/>
                  <w:szCs w:val="16"/>
                  <w:color w:val="0000EE"/>
                </w:rPr>
                <w:t>4.</w:t>
              </w:r>
              <w:r>
                <w:rPr>
                  <w:rFonts w:ascii="Arial" w:cs="Arial" w:eastAsia="Arial" w:hAnsi="Arial"/>
                  <w:sz w:val="16"/>
                  <w:szCs w:val="16"/>
                  <w:u w:val="single" w:color="auto"/>
                  <w:color w:val="0000EE"/>
                </w:rPr>
                <w:t>4</w:t>
              </w:r>
            </w:hyperlink>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gridSpan w:val="28"/>
          </w:tcPr>
          <w:p>
            <w:pPr>
              <w:spacing w:after="0"/>
              <w:rPr>
                <w:rFonts w:ascii="Arial" w:cs="Arial" w:eastAsia="Arial" w:hAnsi="Arial"/>
                <w:sz w:val="16"/>
                <w:szCs w:val="16"/>
                <w:color w:val="0000EE"/>
                <w:w w:val="91"/>
              </w:rPr>
            </w:pPr>
            <w:hyperlink r:id="rId134">
              <w:r>
                <w:rPr>
                  <w:rFonts w:ascii="Arial" w:cs="Arial" w:eastAsia="Arial" w:hAnsi="Arial"/>
                  <w:sz w:val="16"/>
                  <w:szCs w:val="16"/>
                  <w:color w:val="0000EE"/>
                  <w:w w:val="91"/>
                </w:rPr>
                <w:t>Form of 5.95% Notes due 2022 (incorporated by reference Exhibit (d)(5) to Registration Statement on Form N-</w:t>
              </w:r>
            </w:hyperlink>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740" w:type="dxa"/>
            <w:vAlign w:val="bottom"/>
            <w:tcBorders>
              <w:top w:val="single" w:sz="8" w:color="0000EE"/>
            </w:tcBorders>
            <w:gridSpan w:val="14"/>
          </w:tcPr>
          <w:p>
            <w:pPr>
              <w:spacing w:after="0" w:line="183" w:lineRule="exact"/>
              <w:rPr>
                <w:rFonts w:ascii="Arial" w:cs="Arial" w:eastAsia="Arial" w:hAnsi="Arial"/>
                <w:sz w:val="16"/>
                <w:szCs w:val="16"/>
                <w:color w:val="0000EE"/>
              </w:rPr>
            </w:pPr>
            <w:hyperlink r:id="rId134">
              <w:r>
                <w:rPr>
                  <w:rFonts w:ascii="Arial" w:cs="Arial" w:eastAsia="Arial" w:hAnsi="Arial"/>
                  <w:sz w:val="16"/>
                  <w:szCs w:val="16"/>
                  <w:color w:val="0000EE"/>
                </w:rPr>
                <w:t>2 (Reg. No. 333-220385) filed on December 15, 2017).</w:t>
              </w:r>
            </w:hyperlink>
          </w:p>
        </w:tc>
        <w:tc>
          <w:tcPr>
            <w:tcW w:w="1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1"/>
        </w:trPr>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Borders>
              <w:top w:val="single" w:sz="8" w:color="0000EE"/>
            </w:tcBorders>
            <w:gridSpan w:val="5"/>
          </w:tcPr>
          <w:p>
            <w:pPr>
              <w:jc w:val="right"/>
              <w:ind w:right="200"/>
              <w:spacing w:after="0"/>
              <w:rPr>
                <w:sz w:val="20"/>
                <w:szCs w:val="20"/>
                <w:color w:val="auto"/>
              </w:rPr>
            </w:pPr>
            <w:r>
              <w:rPr>
                <w:rFonts w:ascii="Arial" w:cs="Arial" w:eastAsia="Arial" w:hAnsi="Arial"/>
                <w:sz w:val="18"/>
                <w:szCs w:val="18"/>
                <w:color w:val="auto"/>
              </w:rPr>
              <w:t>122</w:t>
            </w: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1160" w:type="dxa"/>
            <w:vAlign w:val="bottom"/>
            <w:gridSpan w:val="6"/>
          </w:tcPr>
          <w:p>
            <w:pPr>
              <w:spacing w:after="0"/>
              <w:rPr>
                <w:sz w:val="20"/>
                <w:szCs w:val="20"/>
                <w:color w:val="auto"/>
              </w:rPr>
            </w:pPr>
            <w:r>
              <w:rPr>
                <w:rFonts w:ascii="Arial" w:cs="Arial" w:eastAsia="Arial" w:hAnsi="Arial"/>
                <w:sz w:val="16"/>
                <w:szCs w:val="16"/>
                <w:color w:val="auto"/>
              </w:rPr>
              <w:t>Exhibit No.</w:t>
            </w:r>
          </w:p>
        </w:tc>
        <w:tc>
          <w:tcPr>
            <w:tcW w:w="7240" w:type="dxa"/>
            <w:vAlign w:val="bottom"/>
            <w:gridSpan w:val="34"/>
          </w:tcPr>
          <w:p>
            <w:pPr>
              <w:spacing w:after="0"/>
              <w:rPr>
                <w:sz w:val="20"/>
                <w:szCs w:val="20"/>
                <w:color w:val="auto"/>
              </w:rPr>
            </w:pPr>
            <w:r>
              <w:rPr>
                <w:rFonts w:ascii="Arial" w:cs="Arial" w:eastAsia="Arial" w:hAnsi="Arial"/>
                <w:sz w:val="16"/>
                <w:szCs w:val="16"/>
                <w:color w:val="auto"/>
              </w:rPr>
              <w:t>Description</w:t>
            </w:r>
          </w:p>
        </w:tc>
      </w:tr>
      <w:tr>
        <w:trPr>
          <w:trHeight w:val="159"/>
        </w:trPr>
        <w:tc>
          <w:tcPr>
            <w:tcW w:w="20" w:type="dxa"/>
            <w:vAlign w:val="bottom"/>
            <w:tcBorders>
              <w:bottom w:val="single" w:sz="8" w:color="0000EE"/>
            </w:tcBorders>
          </w:tcPr>
          <w:p>
            <w:pPr>
              <w:spacing w:after="0"/>
              <w:rPr>
                <w:sz w:val="13"/>
                <w:szCs w:val="13"/>
                <w:color w:val="auto"/>
              </w:rPr>
            </w:pPr>
          </w:p>
        </w:tc>
        <w:tc>
          <w:tcPr>
            <w:tcW w:w="180" w:type="dxa"/>
            <w:vAlign w:val="bottom"/>
            <w:tcBorders>
              <w:top w:val="single" w:sz="8" w:color="auto"/>
              <w:bottom w:val="single" w:sz="8" w:color="0000EE"/>
            </w:tcBorders>
          </w:tcPr>
          <w:p>
            <w:pPr>
              <w:spacing w:after="0" w:line="158" w:lineRule="exact"/>
              <w:rPr>
                <w:rFonts w:ascii="Arial" w:cs="Arial" w:eastAsia="Arial" w:hAnsi="Arial"/>
                <w:sz w:val="16"/>
                <w:szCs w:val="16"/>
                <w:color w:val="0000EE"/>
                <w:w w:val="71"/>
              </w:rPr>
            </w:pPr>
            <w:hyperlink r:id="rId135">
              <w:r>
                <w:rPr>
                  <w:rFonts w:ascii="Arial" w:cs="Arial" w:eastAsia="Arial" w:hAnsi="Arial"/>
                  <w:sz w:val="16"/>
                  <w:szCs w:val="16"/>
                  <w:color w:val="0000EE"/>
                  <w:w w:val="71"/>
                </w:rPr>
                <w:t>4.</w:t>
              </w:r>
              <w:r>
                <w:rPr>
                  <w:rFonts w:ascii="Arial" w:cs="Arial" w:eastAsia="Arial" w:hAnsi="Arial"/>
                  <w:sz w:val="16"/>
                  <w:szCs w:val="16"/>
                  <w:u w:val="single" w:color="auto"/>
                  <w:color w:val="0000EE"/>
                  <w:w w:val="71"/>
                </w:rPr>
                <w:t>5</w:t>
              </w:r>
            </w:hyperlink>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940" w:type="dxa"/>
            <w:vAlign w:val="bottom"/>
            <w:tcBorders>
              <w:top w:val="single" w:sz="8" w:color="auto"/>
              <w:bottom w:val="single" w:sz="8" w:color="0000EE"/>
            </w:tcBorders>
            <w:gridSpan w:val="23"/>
          </w:tcPr>
          <w:p>
            <w:pPr>
              <w:spacing w:after="0" w:line="158" w:lineRule="exact"/>
              <w:rPr>
                <w:rFonts w:ascii="Arial" w:cs="Arial" w:eastAsia="Arial" w:hAnsi="Arial"/>
                <w:sz w:val="16"/>
                <w:szCs w:val="16"/>
                <w:color w:val="0000EE"/>
                <w:w w:val="92"/>
              </w:rPr>
            </w:pPr>
            <w:hyperlink r:id="rId135">
              <w:r>
                <w:rPr>
                  <w:rFonts w:ascii="Arial" w:cs="Arial" w:eastAsia="Arial" w:hAnsi="Arial"/>
                  <w:sz w:val="16"/>
                  <w:szCs w:val="16"/>
                  <w:color w:val="0000EE"/>
                  <w:w w:val="92"/>
                </w:rPr>
                <w:t>Dividend Reinvestment Plan (incorporated by reference Exhibit (e) to Registration Statement on Form N-2</w:t>
              </w:r>
            </w:hyperlink>
          </w:p>
        </w:tc>
        <w:tc>
          <w:tcPr>
            <w:tcW w:w="300" w:type="dxa"/>
            <w:vAlign w:val="bottom"/>
            <w:tcBorders>
              <w:top w:val="single" w:sz="8" w:color="auto"/>
            </w:tcBorders>
            <w:gridSpan w:val="11"/>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rPr>
            </w:pPr>
            <w:hyperlink r:id="rId135">
              <w:r>
                <w:rPr>
                  <w:rFonts w:ascii="Arial" w:cs="Arial" w:eastAsia="Arial" w:hAnsi="Arial"/>
                  <w:sz w:val="16"/>
                  <w:szCs w:val="16"/>
                  <w:color w:val="0000EE"/>
                </w:rPr>
                <w:t>(Reg. No. 333-220385) filed on September 8, 2017).</w:t>
              </w:r>
            </w:hyperlink>
          </w:p>
        </w:tc>
      </w:tr>
      <w:tr>
        <w:trPr>
          <w:trHeight w:val="20"/>
        </w:trPr>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Borders>
              <w:bottom w:val="single" w:sz="8" w:color="0000EE"/>
            </w:tcBorders>
            <w:gridSpan w:val="3"/>
          </w:tcPr>
          <w:p>
            <w:pPr>
              <w:spacing w:after="0"/>
              <w:rPr>
                <w:rFonts w:ascii="Arial" w:cs="Arial" w:eastAsia="Arial" w:hAnsi="Arial"/>
                <w:sz w:val="16"/>
                <w:szCs w:val="16"/>
                <w:color w:val="0000EE"/>
                <w:w w:val="83"/>
              </w:rPr>
            </w:pPr>
            <w:hyperlink r:id="rId136">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40" w:type="dxa"/>
            <w:vAlign w:val="bottom"/>
            <w:tcBorders>
              <w:bottom w:val="single" w:sz="8" w:color="0000EE"/>
            </w:tcBorders>
            <w:gridSpan w:val="30"/>
          </w:tcPr>
          <w:p>
            <w:pPr>
              <w:spacing w:after="0"/>
              <w:rPr>
                <w:rFonts w:ascii="Arial" w:cs="Arial" w:eastAsia="Arial" w:hAnsi="Arial"/>
                <w:sz w:val="16"/>
                <w:szCs w:val="16"/>
                <w:color w:val="0000EE"/>
                <w:w w:val="91"/>
              </w:rPr>
            </w:pPr>
            <w:hyperlink r:id="rId136">
              <w:r>
                <w:rPr>
                  <w:rFonts w:ascii="Arial" w:cs="Arial" w:eastAsia="Arial" w:hAnsi="Arial"/>
                  <w:sz w:val="16"/>
                  <w:szCs w:val="16"/>
                  <w:color w:val="0000EE"/>
                  <w:w w:val="91"/>
                </w:rPr>
                <w:t>Capital Southwest Corporation and Its Affiliates 2009 Restoration of Retirement Income Plan as amended and</w:t>
              </w:r>
            </w:hyperlink>
          </w:p>
        </w:tc>
        <w:tc>
          <w:tcPr>
            <w:tcW w:w="10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w w:val="97"/>
              </w:rPr>
            </w:pPr>
            <w:hyperlink r:id="rId136">
              <w:r>
                <w:rPr>
                  <w:rFonts w:ascii="Arial" w:cs="Arial" w:eastAsia="Arial" w:hAnsi="Arial"/>
                  <w:sz w:val="16"/>
                  <w:szCs w:val="16"/>
                  <w:color w:val="0000EE"/>
                  <w:w w:val="97"/>
                </w:rPr>
                <w:t>restated effective January 1, 2008 (incorporated by reference to Exhibit 10.3 to Form 10-K (File No. 814-</w:t>
              </w:r>
            </w:hyperlink>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3"/>
              </w:rPr>
            </w:pPr>
            <w:hyperlink r:id="rId136">
              <w:r>
                <w:rPr>
                  <w:rFonts w:ascii="Arial" w:cs="Arial" w:eastAsia="Arial" w:hAnsi="Arial"/>
                  <w:sz w:val="16"/>
                  <w:szCs w:val="16"/>
                  <w:color w:val="0000EE"/>
                  <w:w w:val="93"/>
                </w:rPr>
                <w:t>00061) filed on May 29, 2009).</w:t>
              </w:r>
            </w:hyperlink>
          </w:p>
        </w:tc>
        <w:tc>
          <w:tcPr>
            <w:tcW w:w="4780" w:type="dxa"/>
            <w:vAlign w:val="bottom"/>
            <w:tcBorders>
              <w:top w:val="single" w:sz="8" w:color="0000EE"/>
            </w:tcBorders>
            <w:gridSpan w:val="17"/>
          </w:tcPr>
          <w:p>
            <w:pPr>
              <w:spacing w:after="0"/>
              <w:rPr>
                <w:sz w:val="15"/>
                <w:szCs w:val="15"/>
                <w:color w:val="auto"/>
              </w:rPr>
            </w:pPr>
          </w:p>
        </w:tc>
        <w:tc>
          <w:tcPr>
            <w:tcW w:w="420" w:type="dxa"/>
            <w:vAlign w:val="bottom"/>
            <w:gridSpan w:val="14"/>
          </w:tcPr>
          <w:p>
            <w:pPr>
              <w:spacing w:after="0"/>
              <w:rPr>
                <w:sz w:val="15"/>
                <w:szCs w:val="15"/>
                <w:color w:val="auto"/>
              </w:rPr>
            </w:pPr>
          </w:p>
        </w:tc>
      </w:tr>
      <w:tr>
        <w:trPr>
          <w:trHeight w:val="385"/>
        </w:trPr>
        <w:tc>
          <w:tcPr>
            <w:tcW w:w="360" w:type="dxa"/>
            <w:vAlign w:val="bottom"/>
            <w:tcBorders>
              <w:bottom w:val="single" w:sz="8" w:color="0000EE"/>
            </w:tcBorders>
            <w:gridSpan w:val="3"/>
          </w:tcPr>
          <w:p>
            <w:pPr>
              <w:spacing w:after="0"/>
              <w:rPr>
                <w:rFonts w:ascii="Arial" w:cs="Arial" w:eastAsia="Arial" w:hAnsi="Arial"/>
                <w:sz w:val="16"/>
                <w:szCs w:val="16"/>
                <w:color w:val="0000EE"/>
                <w:w w:val="83"/>
              </w:rPr>
            </w:pPr>
            <w:hyperlink r:id="rId137">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40" w:type="dxa"/>
            <w:vAlign w:val="bottom"/>
            <w:tcBorders>
              <w:bottom w:val="single" w:sz="8" w:color="0000EE"/>
            </w:tcBorders>
            <w:gridSpan w:val="27"/>
          </w:tcPr>
          <w:p>
            <w:pPr>
              <w:spacing w:after="0"/>
              <w:rPr>
                <w:rFonts w:ascii="Arial" w:cs="Arial" w:eastAsia="Arial" w:hAnsi="Arial"/>
                <w:sz w:val="16"/>
                <w:szCs w:val="16"/>
                <w:color w:val="0000EE"/>
                <w:w w:val="93"/>
              </w:rPr>
            </w:pPr>
            <w:hyperlink r:id="rId137">
              <w:r>
                <w:rPr>
                  <w:rFonts w:ascii="Arial" w:cs="Arial" w:eastAsia="Arial" w:hAnsi="Arial"/>
                  <w:sz w:val="16"/>
                  <w:szCs w:val="16"/>
                  <w:color w:val="0000EE"/>
                  <w:w w:val="93"/>
                </w:rPr>
                <w:t>Form of Director and Officer Indemnification Agreement (incorporated by reference to Exhibit 10.1 to Form</w:t>
              </w:r>
            </w:hyperlink>
          </w:p>
        </w:tc>
        <w:tc>
          <w:tcPr>
            <w:tcW w:w="200" w:type="dxa"/>
            <w:vAlign w:val="bottom"/>
            <w:gridSpan w:val="7"/>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rPr>
            </w:pPr>
            <w:hyperlink r:id="rId137">
              <w:r>
                <w:rPr>
                  <w:rFonts w:ascii="Arial" w:cs="Arial" w:eastAsia="Arial" w:hAnsi="Arial"/>
                  <w:sz w:val="16"/>
                  <w:szCs w:val="16"/>
                  <w:color w:val="0000EE"/>
                </w:rPr>
                <w:t>10-Q (File No. 814-00061) filed on November 7, 2017).</w:t>
              </w:r>
            </w:hyperlink>
          </w:p>
        </w:tc>
      </w:tr>
      <w:tr>
        <w:trPr>
          <w:trHeight w:val="20"/>
        </w:trPr>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Borders>
              <w:bottom w:val="single" w:sz="8" w:color="0000EE"/>
            </w:tcBorders>
            <w:gridSpan w:val="3"/>
          </w:tcPr>
          <w:p>
            <w:pPr>
              <w:spacing w:after="0"/>
              <w:rPr>
                <w:rFonts w:ascii="Arial" w:cs="Arial" w:eastAsia="Arial" w:hAnsi="Arial"/>
                <w:sz w:val="16"/>
                <w:szCs w:val="16"/>
                <w:color w:val="0000EE"/>
                <w:w w:val="83"/>
              </w:rPr>
            </w:pPr>
            <w:hyperlink r:id="rId138">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tcBorders>
              <w:bottom w:val="single" w:sz="8" w:color="0000EE"/>
            </w:tcBorders>
            <w:gridSpan w:val="34"/>
          </w:tcPr>
          <w:p>
            <w:pPr>
              <w:spacing w:after="0"/>
              <w:rPr>
                <w:rFonts w:ascii="Arial" w:cs="Arial" w:eastAsia="Arial" w:hAnsi="Arial"/>
                <w:sz w:val="16"/>
                <w:szCs w:val="16"/>
                <w:color w:val="0000EE"/>
                <w:w w:val="92"/>
              </w:rPr>
            </w:pPr>
            <w:hyperlink r:id="rId138">
              <w:r>
                <w:rPr>
                  <w:rFonts w:ascii="Arial" w:cs="Arial" w:eastAsia="Arial" w:hAnsi="Arial"/>
                  <w:sz w:val="16"/>
                  <w:szCs w:val="16"/>
                  <w:color w:val="0000EE"/>
                  <w:w w:val="92"/>
                </w:rPr>
                <w:t>Capital Southwest Corporation 1999 Stock Option Plan (incorporated by reference to Exhibit 10.10 to Form 10-</w:t>
              </w:r>
            </w:hyperlink>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Borders>
              <w:bottom w:val="single" w:sz="8" w:color="0000EE"/>
            </w:tcBorders>
            <w:gridSpan w:val="7"/>
          </w:tcPr>
          <w:p>
            <w:pPr>
              <w:spacing w:after="0" w:line="183" w:lineRule="exact"/>
              <w:rPr>
                <w:rFonts w:ascii="Arial" w:cs="Arial" w:eastAsia="Arial" w:hAnsi="Arial"/>
                <w:sz w:val="16"/>
                <w:szCs w:val="16"/>
                <w:color w:val="0000EE"/>
                <w:w w:val="92"/>
              </w:rPr>
            </w:pPr>
            <w:hyperlink r:id="rId138">
              <w:r>
                <w:rPr>
                  <w:rFonts w:ascii="Arial" w:cs="Arial" w:eastAsia="Arial" w:hAnsi="Arial"/>
                  <w:sz w:val="16"/>
                  <w:szCs w:val="16"/>
                  <w:color w:val="0000EE"/>
                  <w:w w:val="92"/>
                </w:rPr>
                <w:t>K (File No. 811-01056) filed on June 16, 2000).</w:t>
              </w:r>
            </w:hyperlink>
          </w:p>
        </w:tc>
        <w:tc>
          <w:tcPr>
            <w:tcW w:w="4140" w:type="dxa"/>
            <w:vAlign w:val="bottom"/>
            <w:gridSpan w:val="27"/>
          </w:tcPr>
          <w:p>
            <w:pPr>
              <w:spacing w:after="0"/>
              <w:rPr>
                <w:sz w:val="15"/>
                <w:szCs w:val="15"/>
                <w:color w:val="auto"/>
              </w:rPr>
            </w:pPr>
          </w:p>
        </w:tc>
      </w:tr>
      <w:tr>
        <w:trPr>
          <w:trHeight w:val="385"/>
        </w:trPr>
        <w:tc>
          <w:tcPr>
            <w:tcW w:w="360" w:type="dxa"/>
            <w:vAlign w:val="bottom"/>
            <w:gridSpan w:val="3"/>
          </w:tcPr>
          <w:p>
            <w:pPr>
              <w:spacing w:after="0"/>
              <w:rPr>
                <w:rFonts w:ascii="Arial" w:cs="Arial" w:eastAsia="Arial" w:hAnsi="Arial"/>
                <w:sz w:val="16"/>
                <w:szCs w:val="16"/>
                <w:color w:val="0000EE"/>
                <w:w w:val="83"/>
              </w:rPr>
            </w:pPr>
            <w:hyperlink r:id="rId139">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4+</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34"/>
          </w:tcPr>
          <w:p>
            <w:pPr>
              <w:spacing w:after="0"/>
              <w:rPr>
                <w:rFonts w:ascii="Arial" w:cs="Arial" w:eastAsia="Arial" w:hAnsi="Arial"/>
                <w:sz w:val="16"/>
                <w:szCs w:val="16"/>
                <w:color w:val="0000EE"/>
                <w:w w:val="94"/>
              </w:rPr>
            </w:pPr>
            <w:hyperlink r:id="rId139">
              <w:r>
                <w:rPr>
                  <w:rFonts w:ascii="Arial" w:cs="Arial" w:eastAsia="Arial" w:hAnsi="Arial"/>
                  <w:sz w:val="16"/>
                  <w:szCs w:val="16"/>
                  <w:color w:val="0000EE"/>
                  <w:w w:val="94"/>
                </w:rPr>
                <w:t>Severance Pay Agreement with William M. Ashbaugh (incorporated by reference to Exhibit 10.1 to Form 8-K</w:t>
              </w:r>
            </w:hyperlink>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20" w:type="dxa"/>
            <w:vAlign w:val="bottom"/>
            <w:tcBorders>
              <w:top w:val="single" w:sz="8" w:color="0000EE"/>
            </w:tcBorders>
            <w:gridSpan w:val="29"/>
          </w:tcPr>
          <w:p>
            <w:pPr>
              <w:spacing w:after="0" w:line="183" w:lineRule="exact"/>
              <w:rPr>
                <w:rFonts w:ascii="Arial" w:cs="Arial" w:eastAsia="Arial" w:hAnsi="Arial"/>
                <w:sz w:val="16"/>
                <w:szCs w:val="16"/>
                <w:color w:val="0000EE"/>
              </w:rPr>
            </w:pPr>
            <w:hyperlink r:id="rId139">
              <w:r>
                <w:rPr>
                  <w:rFonts w:ascii="Arial" w:cs="Arial" w:eastAsia="Arial" w:hAnsi="Arial"/>
                  <w:sz w:val="16"/>
                  <w:szCs w:val="16"/>
                  <w:color w:val="0000EE"/>
                </w:rPr>
                <w:t>(File No. 811-01056) filed on July 19, 2005).</w:t>
              </w:r>
            </w:hyperlink>
          </w:p>
        </w:tc>
        <w:tc>
          <w:tcPr>
            <w:tcW w:w="120" w:type="dxa"/>
            <w:vAlign w:val="bottom"/>
            <w:gridSpan w:val="5"/>
          </w:tcPr>
          <w:p>
            <w:pPr>
              <w:spacing w:after="0"/>
              <w:rPr>
                <w:sz w:val="15"/>
                <w:szCs w:val="15"/>
                <w:color w:val="auto"/>
              </w:rPr>
            </w:pPr>
          </w:p>
        </w:tc>
      </w:tr>
      <w:tr>
        <w:trPr>
          <w:trHeight w:val="20"/>
        </w:trPr>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360" w:type="dxa"/>
            <w:vAlign w:val="bottom"/>
            <w:tcBorders>
              <w:bottom w:val="single" w:sz="8" w:color="0000EE"/>
            </w:tcBorders>
            <w:gridSpan w:val="3"/>
          </w:tcPr>
          <w:p>
            <w:pPr>
              <w:spacing w:after="0"/>
              <w:rPr>
                <w:rFonts w:ascii="Arial" w:cs="Arial" w:eastAsia="Arial" w:hAnsi="Arial"/>
                <w:sz w:val="16"/>
                <w:szCs w:val="16"/>
                <w:color w:val="0000EE"/>
                <w:w w:val="83"/>
              </w:rPr>
            </w:pPr>
            <w:hyperlink r:id="rId140">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5+</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80" w:type="dxa"/>
            <w:vAlign w:val="bottom"/>
            <w:tcBorders>
              <w:bottom w:val="single" w:sz="8" w:color="0000EE"/>
            </w:tcBorders>
            <w:gridSpan w:val="25"/>
          </w:tcPr>
          <w:p>
            <w:pPr>
              <w:spacing w:after="0"/>
              <w:rPr>
                <w:rFonts w:ascii="Arial" w:cs="Arial" w:eastAsia="Arial" w:hAnsi="Arial"/>
                <w:sz w:val="16"/>
                <w:szCs w:val="16"/>
                <w:color w:val="0000EE"/>
                <w:w w:val="91"/>
              </w:rPr>
            </w:pPr>
            <w:hyperlink r:id="rId140">
              <w:r>
                <w:rPr>
                  <w:rFonts w:ascii="Arial" w:cs="Arial" w:eastAsia="Arial" w:hAnsi="Arial"/>
                  <w:sz w:val="16"/>
                  <w:szCs w:val="16"/>
                  <w:color w:val="0000EE"/>
                  <w:w w:val="91"/>
                </w:rPr>
                <w:t>Retirement Plan for Employees of Capital Southwest Corporation and its Affiliates as amended and restated</w:t>
              </w:r>
            </w:hyperlink>
          </w:p>
        </w:tc>
        <w:tc>
          <w:tcPr>
            <w:tcW w:w="260" w:type="dxa"/>
            <w:vAlign w:val="bottom"/>
            <w:gridSpan w:val="9"/>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0" w:type="dxa"/>
            <w:vAlign w:val="bottom"/>
            <w:tcBorders>
              <w:bottom w:val="single" w:sz="8" w:color="0000EE"/>
            </w:tcBorders>
            <w:gridSpan w:val="33"/>
          </w:tcPr>
          <w:p>
            <w:pPr>
              <w:spacing w:after="0" w:line="183" w:lineRule="exact"/>
              <w:rPr>
                <w:rFonts w:ascii="Arial" w:cs="Arial" w:eastAsia="Arial" w:hAnsi="Arial"/>
                <w:sz w:val="16"/>
                <w:szCs w:val="16"/>
                <w:color w:val="0000EE"/>
                <w:w w:val="93"/>
              </w:rPr>
            </w:pPr>
            <w:hyperlink r:id="rId140">
              <w:r>
                <w:rPr>
                  <w:rFonts w:ascii="Arial" w:cs="Arial" w:eastAsia="Arial" w:hAnsi="Arial"/>
                  <w:sz w:val="16"/>
                  <w:szCs w:val="16"/>
                  <w:color w:val="0000EE"/>
                  <w:w w:val="93"/>
                </w:rPr>
                <w:t>effective April 1, 2011 (incorporated by reference to Exhibit 10.15 to Form 10-K (File No. 814-00061) filed on</w:t>
              </w:r>
            </w:hyperlink>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0000EE"/>
            </w:tcBorders>
          </w:tcPr>
          <w:p>
            <w:pPr>
              <w:spacing w:after="0" w:line="183" w:lineRule="exact"/>
              <w:rPr>
                <w:rFonts w:ascii="Arial" w:cs="Arial" w:eastAsia="Arial" w:hAnsi="Arial"/>
                <w:sz w:val="16"/>
                <w:szCs w:val="16"/>
                <w:color w:val="0000EE"/>
                <w:w w:val="85"/>
              </w:rPr>
            </w:pPr>
            <w:hyperlink r:id="rId140">
              <w:r>
                <w:rPr>
                  <w:rFonts w:ascii="Arial" w:cs="Arial" w:eastAsia="Arial" w:hAnsi="Arial"/>
                  <w:sz w:val="16"/>
                  <w:szCs w:val="16"/>
                  <w:color w:val="0000EE"/>
                  <w:w w:val="85"/>
                </w:rPr>
                <w:t>June 1, 2012).</w:t>
              </w:r>
            </w:hyperlink>
          </w:p>
        </w:tc>
        <w:tc>
          <w:tcPr>
            <w:tcW w:w="6340" w:type="dxa"/>
            <w:vAlign w:val="bottom"/>
            <w:gridSpan w:val="33"/>
          </w:tcPr>
          <w:p>
            <w:pPr>
              <w:spacing w:after="0"/>
              <w:rPr>
                <w:sz w:val="15"/>
                <w:szCs w:val="15"/>
                <w:color w:val="auto"/>
              </w:rPr>
            </w:pPr>
          </w:p>
        </w:tc>
      </w:tr>
      <w:tr>
        <w:trPr>
          <w:trHeight w:val="385"/>
        </w:trPr>
        <w:tc>
          <w:tcPr>
            <w:tcW w:w="360" w:type="dxa"/>
            <w:vAlign w:val="bottom"/>
            <w:tcBorders>
              <w:bottom w:val="single" w:sz="8" w:color="0000EE"/>
            </w:tcBorders>
            <w:gridSpan w:val="3"/>
          </w:tcPr>
          <w:p>
            <w:pPr>
              <w:spacing w:after="0"/>
              <w:rPr>
                <w:rFonts w:ascii="Arial" w:cs="Arial" w:eastAsia="Arial" w:hAnsi="Arial"/>
                <w:sz w:val="16"/>
                <w:szCs w:val="16"/>
                <w:color w:val="0000EE"/>
                <w:w w:val="83"/>
              </w:rPr>
            </w:pPr>
            <w:hyperlink r:id="rId141">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6+</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60" w:type="dxa"/>
            <w:vAlign w:val="bottom"/>
            <w:tcBorders>
              <w:bottom w:val="single" w:sz="8" w:color="0000EE"/>
            </w:tcBorders>
            <w:gridSpan w:val="21"/>
          </w:tcPr>
          <w:p>
            <w:pPr>
              <w:spacing w:after="0"/>
              <w:rPr>
                <w:rFonts w:ascii="Arial" w:cs="Arial" w:eastAsia="Arial" w:hAnsi="Arial"/>
                <w:sz w:val="16"/>
                <w:szCs w:val="16"/>
                <w:color w:val="0000EE"/>
                <w:w w:val="92"/>
              </w:rPr>
            </w:pPr>
            <w:hyperlink r:id="rId141">
              <w:r>
                <w:rPr>
                  <w:rFonts w:ascii="Arial" w:cs="Arial" w:eastAsia="Arial" w:hAnsi="Arial"/>
                  <w:sz w:val="16"/>
                  <w:szCs w:val="16"/>
                  <w:color w:val="0000EE"/>
                  <w:w w:val="92"/>
                </w:rPr>
                <w:t>Amendment One to Retirement Plan for Employees of Capital Southwest Corporation and its Affiliates as</w:t>
              </w:r>
            </w:hyperlink>
          </w:p>
        </w:tc>
        <w:tc>
          <w:tcPr>
            <w:tcW w:w="380" w:type="dxa"/>
            <w:vAlign w:val="bottom"/>
            <w:gridSpan w:val="1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40" w:type="dxa"/>
            <w:vAlign w:val="bottom"/>
            <w:tcBorders>
              <w:bottom w:val="single" w:sz="8" w:color="0000EE"/>
            </w:tcBorders>
            <w:gridSpan w:val="27"/>
          </w:tcPr>
          <w:p>
            <w:pPr>
              <w:spacing w:after="0" w:line="183" w:lineRule="exact"/>
              <w:rPr>
                <w:rFonts w:ascii="Arial" w:cs="Arial" w:eastAsia="Arial" w:hAnsi="Arial"/>
                <w:sz w:val="16"/>
                <w:szCs w:val="16"/>
                <w:color w:val="0000EE"/>
                <w:w w:val="92"/>
              </w:rPr>
            </w:pPr>
            <w:hyperlink r:id="rId141">
              <w:r>
                <w:rPr>
                  <w:rFonts w:ascii="Arial" w:cs="Arial" w:eastAsia="Arial" w:hAnsi="Arial"/>
                  <w:sz w:val="16"/>
                  <w:szCs w:val="16"/>
                  <w:color w:val="0000EE"/>
                  <w:w w:val="92"/>
                </w:rPr>
                <w:t>amended and restated effective April 1, 2011 (incorporated by reference to Exhibit 10.16 to Form 10-K (File</w:t>
              </w:r>
            </w:hyperlink>
          </w:p>
        </w:tc>
        <w:tc>
          <w:tcPr>
            <w:tcW w:w="200" w:type="dxa"/>
            <w:vAlign w:val="bottom"/>
            <w:gridSpan w:val="7"/>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tcBorders>
              <w:bottom w:val="single" w:sz="8" w:color="0000EE"/>
            </w:tcBorders>
            <w:gridSpan w:val="5"/>
          </w:tcPr>
          <w:p>
            <w:pPr>
              <w:spacing w:after="0" w:line="183" w:lineRule="exact"/>
              <w:rPr>
                <w:rFonts w:ascii="Arial" w:cs="Arial" w:eastAsia="Arial" w:hAnsi="Arial"/>
                <w:sz w:val="16"/>
                <w:szCs w:val="16"/>
                <w:color w:val="0000EE"/>
                <w:w w:val="92"/>
              </w:rPr>
            </w:pPr>
            <w:hyperlink r:id="rId141">
              <w:r>
                <w:rPr>
                  <w:rFonts w:ascii="Arial" w:cs="Arial" w:eastAsia="Arial" w:hAnsi="Arial"/>
                  <w:sz w:val="16"/>
                  <w:szCs w:val="16"/>
                  <w:color w:val="0000EE"/>
                  <w:w w:val="92"/>
                </w:rPr>
                <w:t>No. 814-00061) filed on May 31, 2013).</w:t>
              </w:r>
            </w:hyperlink>
          </w:p>
        </w:tc>
        <w:tc>
          <w:tcPr>
            <w:tcW w:w="4640" w:type="dxa"/>
            <w:vAlign w:val="bottom"/>
            <w:gridSpan w:val="29"/>
          </w:tcPr>
          <w:p>
            <w:pPr>
              <w:spacing w:after="0"/>
              <w:rPr>
                <w:sz w:val="15"/>
                <w:szCs w:val="15"/>
                <w:color w:val="auto"/>
              </w:rPr>
            </w:pPr>
          </w:p>
        </w:tc>
      </w:tr>
      <w:tr>
        <w:trPr>
          <w:trHeight w:val="385"/>
        </w:trPr>
        <w:tc>
          <w:tcPr>
            <w:tcW w:w="360" w:type="dxa"/>
            <w:vAlign w:val="bottom"/>
            <w:gridSpan w:val="3"/>
          </w:tcPr>
          <w:p>
            <w:pPr>
              <w:spacing w:after="0"/>
              <w:rPr>
                <w:rFonts w:ascii="Arial" w:cs="Arial" w:eastAsia="Arial" w:hAnsi="Arial"/>
                <w:sz w:val="16"/>
                <w:szCs w:val="16"/>
                <w:color w:val="0000EE"/>
                <w:w w:val="83"/>
              </w:rPr>
            </w:pPr>
            <w:hyperlink r:id="rId142">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7+</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34"/>
          </w:tcPr>
          <w:p>
            <w:pPr>
              <w:spacing w:after="0"/>
              <w:rPr>
                <w:rFonts w:ascii="Arial" w:cs="Arial" w:eastAsia="Arial" w:hAnsi="Arial"/>
                <w:sz w:val="16"/>
                <w:szCs w:val="16"/>
                <w:color w:val="0000EE"/>
                <w:w w:val="96"/>
              </w:rPr>
            </w:pPr>
            <w:hyperlink r:id="rId142">
              <w:r>
                <w:rPr>
                  <w:rFonts w:ascii="Arial" w:cs="Arial" w:eastAsia="Arial" w:hAnsi="Arial"/>
                  <w:sz w:val="16"/>
                  <w:szCs w:val="16"/>
                  <w:color w:val="0000EE"/>
                  <w:w w:val="96"/>
                </w:rPr>
                <w:t>Amendment Four to Retirement Plan for Employees of Capital Southwest Corporation and its Affiliates as</w:t>
              </w:r>
            </w:hyperlink>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60" w:type="dxa"/>
            <w:vAlign w:val="bottom"/>
            <w:tcBorders>
              <w:bottom w:val="single" w:sz="8" w:color="0000EE"/>
            </w:tcBorders>
            <w:gridSpan w:val="31"/>
          </w:tcPr>
          <w:p>
            <w:pPr>
              <w:spacing w:after="0" w:line="183" w:lineRule="exact"/>
              <w:rPr>
                <w:rFonts w:ascii="Arial" w:cs="Arial" w:eastAsia="Arial" w:hAnsi="Arial"/>
                <w:sz w:val="16"/>
                <w:szCs w:val="16"/>
                <w:color w:val="0000EE"/>
                <w:w w:val="92"/>
              </w:rPr>
            </w:pPr>
            <w:hyperlink r:id="rId142">
              <w:r>
                <w:rPr>
                  <w:rFonts w:ascii="Arial" w:cs="Arial" w:eastAsia="Arial" w:hAnsi="Arial"/>
                  <w:sz w:val="16"/>
                  <w:szCs w:val="16"/>
                  <w:color w:val="0000EE"/>
                  <w:w w:val="92"/>
                </w:rPr>
                <w:t>amended and restated effective April 1, 2011 (incorporated by reference to Exhibit 10.1 to Form 8-K (File No.</w:t>
              </w:r>
            </w:hyperlink>
          </w:p>
        </w:tc>
        <w:tc>
          <w:tcPr>
            <w:tcW w:w="8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rPr>
            </w:pPr>
            <w:hyperlink r:id="rId142">
              <w:r>
                <w:rPr>
                  <w:rFonts w:ascii="Arial" w:cs="Arial" w:eastAsia="Arial" w:hAnsi="Arial"/>
                  <w:sz w:val="16"/>
                  <w:szCs w:val="16"/>
                  <w:color w:val="0000EE"/>
                </w:rPr>
                <w:t>814-00061) filed on August 6, 2015).</w:t>
              </w:r>
            </w:hyperlink>
          </w:p>
        </w:tc>
      </w:tr>
      <w:tr>
        <w:trPr>
          <w:trHeight w:val="20"/>
        </w:trPr>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6"/>
                <w:szCs w:val="16"/>
                <w:color w:val="0000EE"/>
                <w:w w:val="83"/>
              </w:rPr>
            </w:pPr>
            <w:hyperlink r:id="rId143">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8+</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34"/>
          </w:tcPr>
          <w:p>
            <w:pPr>
              <w:spacing w:after="0"/>
              <w:rPr>
                <w:rFonts w:ascii="Arial" w:cs="Arial" w:eastAsia="Arial" w:hAnsi="Arial"/>
                <w:sz w:val="16"/>
                <w:szCs w:val="16"/>
                <w:color w:val="0000EE"/>
                <w:w w:val="95"/>
              </w:rPr>
            </w:pPr>
            <w:hyperlink r:id="rId143">
              <w:r>
                <w:rPr>
                  <w:rFonts w:ascii="Arial" w:cs="Arial" w:eastAsia="Arial" w:hAnsi="Arial"/>
                  <w:sz w:val="16"/>
                  <w:szCs w:val="16"/>
                  <w:color w:val="0000EE"/>
                  <w:w w:val="95"/>
                </w:rPr>
                <w:t>Joseph B. Armes Revised Offer Letter (incorporated by reference to Exhibit 99.2 to Form 8-K (File No. 814-</w:t>
              </w:r>
            </w:hyperlink>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2"/>
              </w:rPr>
            </w:pPr>
            <w:hyperlink r:id="rId143">
              <w:r>
                <w:rPr>
                  <w:rFonts w:ascii="Arial" w:cs="Arial" w:eastAsia="Arial" w:hAnsi="Arial"/>
                  <w:sz w:val="16"/>
                  <w:szCs w:val="16"/>
                  <w:color w:val="0000EE"/>
                  <w:w w:val="92"/>
                </w:rPr>
                <w:t>00061) filed on May 17, 2013).</w:t>
              </w:r>
            </w:hyperlink>
          </w:p>
        </w:tc>
        <w:tc>
          <w:tcPr>
            <w:tcW w:w="5020" w:type="dxa"/>
            <w:vAlign w:val="bottom"/>
            <w:tcBorders>
              <w:top w:val="single" w:sz="8" w:color="0000EE"/>
            </w:tcBorders>
            <w:gridSpan w:val="25"/>
          </w:tcPr>
          <w:p>
            <w:pPr>
              <w:spacing w:after="0"/>
              <w:rPr>
                <w:sz w:val="15"/>
                <w:szCs w:val="15"/>
                <w:color w:val="auto"/>
              </w:rPr>
            </w:pPr>
          </w:p>
        </w:tc>
        <w:tc>
          <w:tcPr>
            <w:tcW w:w="200" w:type="dxa"/>
            <w:vAlign w:val="bottom"/>
            <w:gridSpan w:val="7"/>
          </w:tcPr>
          <w:p>
            <w:pPr>
              <w:spacing w:after="0"/>
              <w:rPr>
                <w:sz w:val="15"/>
                <w:szCs w:val="15"/>
                <w:color w:val="auto"/>
              </w:rPr>
            </w:pPr>
          </w:p>
        </w:tc>
      </w:tr>
      <w:tr>
        <w:trPr>
          <w:trHeight w:val="385"/>
        </w:trPr>
        <w:tc>
          <w:tcPr>
            <w:tcW w:w="360" w:type="dxa"/>
            <w:vAlign w:val="bottom"/>
            <w:tcBorders>
              <w:bottom w:val="single" w:sz="8" w:color="0000EE"/>
            </w:tcBorders>
            <w:gridSpan w:val="3"/>
          </w:tcPr>
          <w:p>
            <w:pPr>
              <w:spacing w:after="0"/>
              <w:rPr>
                <w:rFonts w:ascii="Arial" w:cs="Arial" w:eastAsia="Arial" w:hAnsi="Arial"/>
                <w:sz w:val="16"/>
                <w:szCs w:val="16"/>
                <w:color w:val="0000EE"/>
                <w:w w:val="83"/>
              </w:rPr>
            </w:pPr>
            <w:hyperlink r:id="rId144">
              <w:r>
                <w:rPr>
                  <w:rFonts w:ascii="Arial" w:cs="Arial" w:eastAsia="Arial" w:hAnsi="Arial"/>
                  <w:sz w:val="16"/>
                  <w:szCs w:val="16"/>
                  <w:color w:val="0000EE"/>
                  <w:w w:val="83"/>
                </w:rPr>
                <w:t>10.</w:t>
              </w:r>
              <w:r>
                <w:rPr>
                  <w:rFonts w:ascii="Arial" w:cs="Arial" w:eastAsia="Arial" w:hAnsi="Arial"/>
                  <w:sz w:val="16"/>
                  <w:szCs w:val="16"/>
                  <w:u w:val="single" w:color="auto"/>
                  <w:color w:val="0000EE"/>
                  <w:w w:val="83"/>
                </w:rPr>
                <w:t>9+</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60" w:type="dxa"/>
            <w:vAlign w:val="bottom"/>
            <w:tcBorders>
              <w:bottom w:val="single" w:sz="8" w:color="0000EE"/>
            </w:tcBorders>
            <w:gridSpan w:val="28"/>
          </w:tcPr>
          <w:p>
            <w:pPr>
              <w:spacing w:after="0"/>
              <w:rPr>
                <w:rFonts w:ascii="Arial" w:cs="Arial" w:eastAsia="Arial" w:hAnsi="Arial"/>
                <w:sz w:val="16"/>
                <w:szCs w:val="16"/>
                <w:color w:val="0000EE"/>
                <w:w w:val="92"/>
              </w:rPr>
            </w:pPr>
            <w:hyperlink r:id="rId144">
              <w:r>
                <w:rPr>
                  <w:rFonts w:ascii="Arial" w:cs="Arial" w:eastAsia="Arial" w:hAnsi="Arial"/>
                  <w:sz w:val="16"/>
                  <w:szCs w:val="16"/>
                  <w:color w:val="0000EE"/>
                  <w:w w:val="92"/>
                </w:rPr>
                <w:t>Capital Southwest Corporation 2009 Stock Incentive Plan (incorporated by reference to Exhibit 10.1 to Form</w:t>
              </w:r>
            </w:hyperlink>
          </w:p>
        </w:tc>
        <w:tc>
          <w:tcPr>
            <w:tcW w:w="180" w:type="dxa"/>
            <w:vAlign w:val="bottom"/>
            <w:gridSpan w:val="6"/>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tcBorders>
              <w:bottom w:val="single" w:sz="8" w:color="0000EE"/>
            </w:tcBorders>
            <w:gridSpan w:val="9"/>
          </w:tcPr>
          <w:p>
            <w:pPr>
              <w:spacing w:after="0" w:line="183" w:lineRule="exact"/>
              <w:rPr>
                <w:rFonts w:ascii="Arial" w:cs="Arial" w:eastAsia="Arial" w:hAnsi="Arial"/>
                <w:sz w:val="16"/>
                <w:szCs w:val="16"/>
                <w:color w:val="0000EE"/>
                <w:w w:val="92"/>
              </w:rPr>
            </w:pPr>
            <w:hyperlink r:id="rId144">
              <w:r>
                <w:rPr>
                  <w:rFonts w:ascii="Arial" w:cs="Arial" w:eastAsia="Arial" w:hAnsi="Arial"/>
                  <w:sz w:val="16"/>
                  <w:szCs w:val="16"/>
                  <w:color w:val="0000EE"/>
                  <w:w w:val="92"/>
                </w:rPr>
                <w:t>10-Q (File No. 814-00061) filed on August 5, 2011).</w:t>
              </w:r>
            </w:hyperlink>
          </w:p>
        </w:tc>
        <w:tc>
          <w:tcPr>
            <w:tcW w:w="3840" w:type="dxa"/>
            <w:vAlign w:val="bottom"/>
            <w:gridSpan w:val="25"/>
          </w:tcPr>
          <w:p>
            <w:pPr>
              <w:spacing w:after="0"/>
              <w:rPr>
                <w:sz w:val="15"/>
                <w:szCs w:val="15"/>
                <w:color w:val="auto"/>
              </w:rPr>
            </w:pPr>
          </w:p>
        </w:tc>
      </w:tr>
      <w:tr>
        <w:trPr>
          <w:trHeight w:val="385"/>
        </w:trPr>
        <w:tc>
          <w:tcPr>
            <w:tcW w:w="440" w:type="dxa"/>
            <w:vAlign w:val="bottom"/>
            <w:tcBorders>
              <w:bottom w:val="single" w:sz="8" w:color="0000EE"/>
            </w:tcBorders>
            <w:gridSpan w:val="4"/>
          </w:tcPr>
          <w:p>
            <w:pPr>
              <w:spacing w:after="0"/>
              <w:rPr>
                <w:rFonts w:ascii="Arial" w:cs="Arial" w:eastAsia="Arial" w:hAnsi="Arial"/>
                <w:sz w:val="16"/>
                <w:szCs w:val="16"/>
                <w:color w:val="0000EE"/>
                <w:w w:val="84"/>
              </w:rPr>
            </w:pPr>
            <w:hyperlink r:id="rId145">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10+</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tcBorders>
              <w:bottom w:val="single" w:sz="8" w:color="0000EE"/>
            </w:tcBorders>
            <w:gridSpan w:val="34"/>
          </w:tcPr>
          <w:p>
            <w:pPr>
              <w:spacing w:after="0"/>
              <w:rPr>
                <w:rFonts w:ascii="Arial" w:cs="Arial" w:eastAsia="Arial" w:hAnsi="Arial"/>
                <w:sz w:val="16"/>
                <w:szCs w:val="16"/>
                <w:color w:val="0000EE"/>
                <w:w w:val="91"/>
              </w:rPr>
            </w:pPr>
            <w:hyperlink r:id="rId145">
              <w:r>
                <w:rPr>
                  <w:rFonts w:ascii="Arial" w:cs="Arial" w:eastAsia="Arial" w:hAnsi="Arial"/>
                  <w:sz w:val="16"/>
                  <w:szCs w:val="16"/>
                  <w:color w:val="0000EE"/>
                  <w:w w:val="91"/>
                </w:rPr>
                <w:t>First Amendment to the Capital Southwest Corporation 2009 Stock Incentive Plan (incorporated by reference to</w:t>
              </w:r>
            </w:hyperlink>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rPr>
            </w:pPr>
            <w:hyperlink r:id="rId145">
              <w:r>
                <w:rPr>
                  <w:rFonts w:ascii="Arial" w:cs="Arial" w:eastAsia="Arial" w:hAnsi="Arial"/>
                  <w:sz w:val="16"/>
                  <w:szCs w:val="16"/>
                  <w:color w:val="0000EE"/>
                </w:rPr>
                <w:t>Exhibit 10.1 to Form 10-Q (File No. 814-00061) filed on November 7, 2014).</w:t>
              </w:r>
            </w:hyperlink>
          </w:p>
        </w:tc>
      </w:tr>
      <w:tr>
        <w:trPr>
          <w:trHeight w:val="20"/>
        </w:trPr>
        <w:tc>
          <w:tcPr>
            <w:tcW w:w="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440" w:type="dxa"/>
            <w:vAlign w:val="bottom"/>
            <w:tcBorders>
              <w:bottom w:val="single" w:sz="8" w:color="0000EE"/>
            </w:tcBorders>
            <w:gridSpan w:val="4"/>
          </w:tcPr>
          <w:p>
            <w:pPr>
              <w:spacing w:after="0"/>
              <w:rPr>
                <w:rFonts w:ascii="Arial" w:cs="Arial" w:eastAsia="Arial" w:hAnsi="Arial"/>
                <w:sz w:val="16"/>
                <w:szCs w:val="16"/>
                <w:color w:val="0000EE"/>
                <w:w w:val="84"/>
              </w:rPr>
            </w:pPr>
            <w:hyperlink r:id="rId146">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11+</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20" w:type="dxa"/>
            <w:vAlign w:val="bottom"/>
            <w:tcBorders>
              <w:bottom w:val="single" w:sz="8" w:color="0000EE"/>
            </w:tcBorders>
            <w:gridSpan w:val="19"/>
          </w:tcPr>
          <w:p>
            <w:pPr>
              <w:spacing w:after="0"/>
              <w:rPr>
                <w:rFonts w:ascii="Arial" w:cs="Arial" w:eastAsia="Arial" w:hAnsi="Arial"/>
                <w:sz w:val="16"/>
                <w:szCs w:val="16"/>
                <w:color w:val="0000EE"/>
                <w:w w:val="91"/>
              </w:rPr>
            </w:pPr>
            <w:hyperlink r:id="rId146">
              <w:r>
                <w:rPr>
                  <w:rFonts w:ascii="Arial" w:cs="Arial" w:eastAsia="Arial" w:hAnsi="Arial"/>
                  <w:sz w:val="16"/>
                  <w:szCs w:val="16"/>
                  <w:color w:val="0000EE"/>
                  <w:w w:val="91"/>
                </w:rPr>
                <w:t>Second Amendment to the Capital Southwest Corporation 2009 Stock Incentive Plan (incorporated by</w:t>
              </w:r>
            </w:hyperlink>
          </w:p>
        </w:tc>
        <w:tc>
          <w:tcPr>
            <w:tcW w:w="620" w:type="dxa"/>
            <w:vAlign w:val="bottom"/>
            <w:gridSpan w:val="15"/>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20" w:type="dxa"/>
            <w:vAlign w:val="bottom"/>
            <w:tcBorders>
              <w:bottom w:val="single" w:sz="8" w:color="0000EE"/>
            </w:tcBorders>
            <w:gridSpan w:val="15"/>
          </w:tcPr>
          <w:p>
            <w:pPr>
              <w:spacing w:after="0" w:line="183" w:lineRule="exact"/>
              <w:rPr>
                <w:rFonts w:ascii="Arial" w:cs="Arial" w:eastAsia="Arial" w:hAnsi="Arial"/>
                <w:sz w:val="16"/>
                <w:szCs w:val="16"/>
                <w:color w:val="0000EE"/>
                <w:w w:val="93"/>
              </w:rPr>
            </w:pPr>
            <w:hyperlink r:id="rId146">
              <w:r>
                <w:rPr>
                  <w:rFonts w:ascii="Arial" w:cs="Arial" w:eastAsia="Arial" w:hAnsi="Arial"/>
                  <w:sz w:val="16"/>
                  <w:szCs w:val="16"/>
                  <w:color w:val="0000EE"/>
                  <w:w w:val="93"/>
                </w:rPr>
                <w:t>reference to Exhibit 10.1 to Form 8-K (File No. 814-00061) filed on August 12, 2015).</w:t>
              </w:r>
            </w:hyperlink>
          </w:p>
        </w:tc>
        <w:tc>
          <w:tcPr>
            <w:tcW w:w="1620" w:type="dxa"/>
            <w:vAlign w:val="bottom"/>
            <w:gridSpan w:val="19"/>
          </w:tcPr>
          <w:p>
            <w:pPr>
              <w:spacing w:after="0"/>
              <w:rPr>
                <w:sz w:val="15"/>
                <w:szCs w:val="15"/>
                <w:color w:val="auto"/>
              </w:rPr>
            </w:pPr>
          </w:p>
        </w:tc>
      </w:tr>
      <w:tr>
        <w:trPr>
          <w:trHeight w:val="385"/>
        </w:trPr>
        <w:tc>
          <w:tcPr>
            <w:tcW w:w="440" w:type="dxa"/>
            <w:vAlign w:val="bottom"/>
            <w:tcBorders>
              <w:bottom w:val="single" w:sz="8" w:color="0000EE"/>
            </w:tcBorders>
            <w:gridSpan w:val="4"/>
          </w:tcPr>
          <w:p>
            <w:pPr>
              <w:spacing w:after="0"/>
              <w:rPr>
                <w:rFonts w:ascii="Arial" w:cs="Arial" w:eastAsia="Arial" w:hAnsi="Arial"/>
                <w:sz w:val="16"/>
                <w:szCs w:val="16"/>
                <w:color w:val="0000EE"/>
                <w:w w:val="84"/>
              </w:rPr>
            </w:pPr>
            <w:hyperlink r:id="rId147">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12+</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60" w:type="dxa"/>
            <w:vAlign w:val="bottom"/>
            <w:tcBorders>
              <w:bottom w:val="single" w:sz="8" w:color="0000EE"/>
            </w:tcBorders>
            <w:gridSpan w:val="31"/>
          </w:tcPr>
          <w:p>
            <w:pPr>
              <w:spacing w:after="0"/>
              <w:rPr>
                <w:rFonts w:ascii="Arial" w:cs="Arial" w:eastAsia="Arial" w:hAnsi="Arial"/>
                <w:sz w:val="16"/>
                <w:szCs w:val="16"/>
                <w:color w:val="0000EE"/>
                <w:w w:val="92"/>
              </w:rPr>
            </w:pPr>
            <w:hyperlink r:id="rId147">
              <w:r>
                <w:rPr>
                  <w:rFonts w:ascii="Arial" w:cs="Arial" w:eastAsia="Arial" w:hAnsi="Arial"/>
                  <w:sz w:val="16"/>
                  <w:szCs w:val="16"/>
                  <w:color w:val="0000EE"/>
                  <w:w w:val="92"/>
                </w:rPr>
                <w:t>Third Amendment to the Capital Southwest Corporation 2009 Stock Incentive Plan (incorporated by reference</w:t>
              </w:r>
            </w:hyperlink>
          </w:p>
        </w:tc>
        <w:tc>
          <w:tcPr>
            <w:tcW w:w="80" w:type="dxa"/>
            <w:vAlign w:val="bottom"/>
            <w:gridSpan w:val="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rPr>
            </w:pPr>
            <w:hyperlink r:id="rId147">
              <w:r>
                <w:rPr>
                  <w:rFonts w:ascii="Arial" w:cs="Arial" w:eastAsia="Arial" w:hAnsi="Arial"/>
                  <w:sz w:val="16"/>
                  <w:szCs w:val="16"/>
                  <w:color w:val="0000EE"/>
                </w:rPr>
                <w:t>to Exhibit 10.4 to Form 10-Q (File No. 814-00061) filed on November 7, 2017).</w:t>
              </w:r>
            </w:hyperlink>
          </w:p>
        </w:tc>
      </w:tr>
      <w:tr>
        <w:trPr>
          <w:trHeight w:val="20"/>
        </w:trPr>
        <w:tc>
          <w:tcPr>
            <w:tcW w:w="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0" w:type="dxa"/>
            <w:vAlign w:val="bottom"/>
            <w:gridSpan w:val="11"/>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440" w:type="dxa"/>
            <w:vAlign w:val="bottom"/>
            <w:gridSpan w:val="4"/>
          </w:tcPr>
          <w:p>
            <w:pPr>
              <w:spacing w:after="0"/>
              <w:rPr>
                <w:rFonts w:ascii="Arial" w:cs="Arial" w:eastAsia="Arial" w:hAnsi="Arial"/>
                <w:sz w:val="16"/>
                <w:szCs w:val="16"/>
                <w:color w:val="0000EE"/>
                <w:w w:val="84"/>
              </w:rPr>
            </w:pPr>
            <w:hyperlink r:id="rId148">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13+</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34"/>
          </w:tcPr>
          <w:p>
            <w:pPr>
              <w:spacing w:after="0"/>
              <w:rPr>
                <w:rFonts w:ascii="Arial" w:cs="Arial" w:eastAsia="Arial" w:hAnsi="Arial"/>
                <w:sz w:val="16"/>
                <w:szCs w:val="16"/>
                <w:color w:val="0000EE"/>
                <w:w w:val="92"/>
              </w:rPr>
            </w:pPr>
            <w:hyperlink r:id="rId148">
              <w:r>
                <w:rPr>
                  <w:rFonts w:ascii="Arial" w:cs="Arial" w:eastAsia="Arial" w:hAnsi="Arial"/>
                  <w:sz w:val="16"/>
                  <w:szCs w:val="16"/>
                  <w:color w:val="0000EE"/>
                  <w:w w:val="92"/>
                </w:rPr>
                <w:t>Capital Southwest Corporation 2010 Restricted Stock Award Plan (incorporated by reference to Exhibit 10.2 to</w:t>
              </w:r>
            </w:hyperlink>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2"/>
              </w:rPr>
            </w:pPr>
            <w:hyperlink r:id="rId148">
              <w:r>
                <w:rPr>
                  <w:rFonts w:ascii="Arial" w:cs="Arial" w:eastAsia="Arial" w:hAnsi="Arial"/>
                  <w:sz w:val="16"/>
                  <w:szCs w:val="16"/>
                  <w:color w:val="0000EE"/>
                  <w:w w:val="92"/>
                </w:rPr>
                <w:t>Form 10-Q (File No. 814-00061) filed on August 5, 2011).</w:t>
              </w:r>
            </w:hyperlink>
          </w:p>
        </w:tc>
        <w:tc>
          <w:tcPr>
            <w:tcW w:w="3380" w:type="dxa"/>
            <w:vAlign w:val="bottom"/>
            <w:tcBorders>
              <w:top w:val="single" w:sz="8" w:color="0000EE"/>
            </w:tcBorders>
            <w:gridSpan w:val="21"/>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85"/>
        </w:trPr>
        <w:tc>
          <w:tcPr>
            <w:tcW w:w="440" w:type="dxa"/>
            <w:vAlign w:val="bottom"/>
            <w:tcBorders>
              <w:bottom w:val="single" w:sz="8" w:color="0000EE"/>
            </w:tcBorders>
            <w:gridSpan w:val="4"/>
          </w:tcPr>
          <w:p>
            <w:pPr>
              <w:spacing w:after="0"/>
              <w:rPr>
                <w:rFonts w:ascii="Arial" w:cs="Arial" w:eastAsia="Arial" w:hAnsi="Arial"/>
                <w:sz w:val="16"/>
                <w:szCs w:val="16"/>
                <w:color w:val="0000EE"/>
                <w:w w:val="84"/>
              </w:rPr>
            </w:pPr>
            <w:hyperlink r:id="rId149">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14+</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60" w:type="dxa"/>
            <w:vAlign w:val="bottom"/>
            <w:tcBorders>
              <w:bottom w:val="single" w:sz="8" w:color="0000EE"/>
            </w:tcBorders>
            <w:gridSpan w:val="24"/>
          </w:tcPr>
          <w:p>
            <w:pPr>
              <w:spacing w:after="0"/>
              <w:rPr>
                <w:rFonts w:ascii="Arial" w:cs="Arial" w:eastAsia="Arial" w:hAnsi="Arial"/>
                <w:sz w:val="16"/>
                <w:szCs w:val="16"/>
                <w:color w:val="0000EE"/>
                <w:w w:val="91"/>
              </w:rPr>
            </w:pPr>
            <w:hyperlink r:id="rId149">
              <w:r>
                <w:rPr>
                  <w:rFonts w:ascii="Arial" w:cs="Arial" w:eastAsia="Arial" w:hAnsi="Arial"/>
                  <w:sz w:val="16"/>
                  <w:szCs w:val="16"/>
                  <w:color w:val="0000EE"/>
                  <w:w w:val="91"/>
                </w:rPr>
                <w:t>First Amendment to the Capital Southwest Corporation 2010 Restricted Stock Award Plan (incorporated by</w:t>
              </w:r>
            </w:hyperlink>
          </w:p>
        </w:tc>
        <w:tc>
          <w:tcPr>
            <w:tcW w:w="280" w:type="dxa"/>
            <w:vAlign w:val="bottom"/>
            <w:gridSpan w:val="10"/>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40" w:type="dxa"/>
            <w:vAlign w:val="bottom"/>
            <w:tcBorders>
              <w:bottom w:val="single" w:sz="8" w:color="0000EE"/>
            </w:tcBorders>
            <w:gridSpan w:val="17"/>
          </w:tcPr>
          <w:p>
            <w:pPr>
              <w:spacing w:after="0" w:line="183" w:lineRule="exact"/>
              <w:rPr>
                <w:rFonts w:ascii="Arial" w:cs="Arial" w:eastAsia="Arial" w:hAnsi="Arial"/>
                <w:sz w:val="16"/>
                <w:szCs w:val="16"/>
                <w:color w:val="0000EE"/>
                <w:w w:val="92"/>
              </w:rPr>
            </w:pPr>
            <w:hyperlink r:id="rId149">
              <w:r>
                <w:rPr>
                  <w:rFonts w:ascii="Arial" w:cs="Arial" w:eastAsia="Arial" w:hAnsi="Arial"/>
                  <w:sz w:val="16"/>
                  <w:szCs w:val="16"/>
                  <w:color w:val="0000EE"/>
                  <w:w w:val="92"/>
                </w:rPr>
                <w:t>reference to Exhibit 10.2 to Form 10-Q (File No. 814-00061) filed on November 7, 2014).</w:t>
              </w:r>
            </w:hyperlink>
          </w:p>
        </w:tc>
        <w:tc>
          <w:tcPr>
            <w:tcW w:w="1400" w:type="dxa"/>
            <w:vAlign w:val="bottom"/>
            <w:gridSpan w:val="17"/>
          </w:tcPr>
          <w:p>
            <w:pPr>
              <w:spacing w:after="0"/>
              <w:rPr>
                <w:sz w:val="15"/>
                <w:szCs w:val="15"/>
                <w:color w:val="auto"/>
              </w:rPr>
            </w:pPr>
          </w:p>
        </w:tc>
      </w:tr>
      <w:tr>
        <w:trPr>
          <w:trHeight w:val="385"/>
        </w:trPr>
        <w:tc>
          <w:tcPr>
            <w:tcW w:w="440" w:type="dxa"/>
            <w:vAlign w:val="bottom"/>
            <w:tcBorders>
              <w:bottom w:val="single" w:sz="8" w:color="0000EE"/>
            </w:tcBorders>
            <w:gridSpan w:val="4"/>
          </w:tcPr>
          <w:p>
            <w:pPr>
              <w:spacing w:after="0"/>
              <w:rPr>
                <w:rFonts w:ascii="Arial" w:cs="Arial" w:eastAsia="Arial" w:hAnsi="Arial"/>
                <w:sz w:val="16"/>
                <w:szCs w:val="16"/>
                <w:color w:val="0000EE"/>
                <w:w w:val="84"/>
              </w:rPr>
            </w:pPr>
            <w:hyperlink r:id="rId150">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15+</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40" w:type="dxa"/>
            <w:vAlign w:val="bottom"/>
            <w:tcBorders>
              <w:bottom w:val="single" w:sz="8" w:color="0000EE"/>
            </w:tcBorders>
            <w:gridSpan w:val="30"/>
          </w:tcPr>
          <w:p>
            <w:pPr>
              <w:spacing w:after="0"/>
              <w:rPr>
                <w:rFonts w:ascii="Arial" w:cs="Arial" w:eastAsia="Arial" w:hAnsi="Arial"/>
                <w:sz w:val="16"/>
                <w:szCs w:val="16"/>
                <w:color w:val="0000EE"/>
                <w:w w:val="91"/>
              </w:rPr>
            </w:pPr>
            <w:hyperlink r:id="rId150">
              <w:r>
                <w:rPr>
                  <w:rFonts w:ascii="Arial" w:cs="Arial" w:eastAsia="Arial" w:hAnsi="Arial"/>
                  <w:sz w:val="16"/>
                  <w:szCs w:val="16"/>
                  <w:color w:val="0000EE"/>
                  <w:w w:val="91"/>
                </w:rPr>
                <w:t>Second Amendment to the Capital Southwest Corporation 2010 Restricted Stock Award Plan (incorporated by</w:t>
              </w:r>
            </w:hyperlink>
          </w:p>
        </w:tc>
        <w:tc>
          <w:tcPr>
            <w:tcW w:w="10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20" w:type="dxa"/>
            <w:vAlign w:val="bottom"/>
            <w:tcBorders>
              <w:bottom w:val="single" w:sz="8" w:color="0000EE"/>
            </w:tcBorders>
            <w:gridSpan w:val="14"/>
          </w:tcPr>
          <w:p>
            <w:pPr>
              <w:spacing w:after="0" w:line="183" w:lineRule="exact"/>
              <w:rPr>
                <w:rFonts w:ascii="Arial" w:cs="Arial" w:eastAsia="Arial" w:hAnsi="Arial"/>
                <w:sz w:val="16"/>
                <w:szCs w:val="16"/>
                <w:color w:val="0000EE"/>
                <w:w w:val="93"/>
              </w:rPr>
            </w:pPr>
            <w:hyperlink r:id="rId150">
              <w:r>
                <w:rPr>
                  <w:rFonts w:ascii="Arial" w:cs="Arial" w:eastAsia="Arial" w:hAnsi="Arial"/>
                  <w:sz w:val="16"/>
                  <w:szCs w:val="16"/>
                  <w:color w:val="0000EE"/>
                  <w:w w:val="93"/>
                </w:rPr>
                <w:t>reference to Exhibit 10.2 to Form 8-K (File No. 814-00061) filed August 12, 2015).</w:t>
              </w:r>
            </w:hyperlink>
          </w:p>
        </w:tc>
        <w:tc>
          <w:tcPr>
            <w:tcW w:w="1820" w:type="dxa"/>
            <w:vAlign w:val="bottom"/>
            <w:gridSpan w:val="20"/>
          </w:tcPr>
          <w:p>
            <w:pPr>
              <w:spacing w:after="0"/>
              <w:rPr>
                <w:sz w:val="15"/>
                <w:szCs w:val="15"/>
                <w:color w:val="auto"/>
              </w:rPr>
            </w:pPr>
          </w:p>
        </w:tc>
      </w:tr>
      <w:tr>
        <w:trPr>
          <w:trHeight w:val="385"/>
        </w:trPr>
        <w:tc>
          <w:tcPr>
            <w:tcW w:w="440" w:type="dxa"/>
            <w:vAlign w:val="bottom"/>
            <w:tcBorders>
              <w:bottom w:val="single" w:sz="8" w:color="0000EE"/>
            </w:tcBorders>
            <w:gridSpan w:val="4"/>
          </w:tcPr>
          <w:p>
            <w:pPr>
              <w:spacing w:after="0"/>
              <w:rPr>
                <w:rFonts w:ascii="Arial" w:cs="Arial" w:eastAsia="Arial" w:hAnsi="Arial"/>
                <w:sz w:val="16"/>
                <w:szCs w:val="16"/>
                <w:color w:val="0000EE"/>
                <w:w w:val="84"/>
              </w:rPr>
            </w:pPr>
            <w:hyperlink r:id="rId151">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16+</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20" w:type="dxa"/>
            <w:vAlign w:val="bottom"/>
            <w:tcBorders>
              <w:bottom w:val="single" w:sz="8" w:color="0000EE"/>
            </w:tcBorders>
            <w:gridSpan w:val="26"/>
          </w:tcPr>
          <w:p>
            <w:pPr>
              <w:spacing w:after="0"/>
              <w:rPr>
                <w:rFonts w:ascii="Arial" w:cs="Arial" w:eastAsia="Arial" w:hAnsi="Arial"/>
                <w:sz w:val="16"/>
                <w:szCs w:val="16"/>
                <w:color w:val="0000EE"/>
                <w:w w:val="92"/>
              </w:rPr>
            </w:pPr>
            <w:hyperlink r:id="rId151">
              <w:r>
                <w:rPr>
                  <w:rFonts w:ascii="Arial" w:cs="Arial" w:eastAsia="Arial" w:hAnsi="Arial"/>
                  <w:sz w:val="16"/>
                  <w:szCs w:val="16"/>
                  <w:color w:val="0000EE"/>
                  <w:w w:val="92"/>
                </w:rPr>
                <w:t>Third Amendment to the Capital Southwest Corporation 2010 Restricted Stock Award Plan (incorporated by</w:t>
              </w:r>
            </w:hyperlink>
          </w:p>
        </w:tc>
        <w:tc>
          <w:tcPr>
            <w:tcW w:w="220" w:type="dxa"/>
            <w:vAlign w:val="bottom"/>
            <w:gridSpan w:val="8"/>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rPr>
            </w:pPr>
            <w:hyperlink r:id="rId151">
              <w:r>
                <w:rPr>
                  <w:rFonts w:ascii="Arial" w:cs="Arial" w:eastAsia="Arial" w:hAnsi="Arial"/>
                  <w:sz w:val="16"/>
                  <w:szCs w:val="16"/>
                  <w:color w:val="0000EE"/>
                </w:rPr>
                <w:t>reference to Exhibit 10.3 to Form 10-Q (File No. 814-00061) filed on November 7, 2017).</w:t>
              </w:r>
            </w:hyperlink>
          </w:p>
        </w:tc>
      </w:tr>
      <w:tr>
        <w:trPr>
          <w:trHeight w:val="20"/>
        </w:trPr>
        <w:tc>
          <w:tcPr>
            <w:tcW w:w="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820" w:type="dxa"/>
            <w:vAlign w:val="bottom"/>
            <w:gridSpan w:val="16"/>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385"/>
        </w:trPr>
        <w:tc>
          <w:tcPr>
            <w:tcW w:w="440" w:type="dxa"/>
            <w:vAlign w:val="bottom"/>
            <w:tcBorders>
              <w:bottom w:val="single" w:sz="8" w:color="0000EE"/>
            </w:tcBorders>
            <w:gridSpan w:val="4"/>
          </w:tcPr>
          <w:p>
            <w:pPr>
              <w:spacing w:after="0"/>
              <w:rPr>
                <w:rFonts w:ascii="Arial" w:cs="Arial" w:eastAsia="Arial" w:hAnsi="Arial"/>
                <w:sz w:val="16"/>
                <w:szCs w:val="16"/>
                <w:color w:val="0000EE"/>
                <w:w w:val="84"/>
              </w:rPr>
            </w:pPr>
            <w:hyperlink r:id="rId152">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17+</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tcBorders>
              <w:bottom w:val="single" w:sz="8" w:color="0000EE"/>
            </w:tcBorders>
            <w:gridSpan w:val="18"/>
          </w:tcPr>
          <w:p>
            <w:pPr>
              <w:spacing w:after="0"/>
              <w:rPr>
                <w:rFonts w:ascii="Arial" w:cs="Arial" w:eastAsia="Arial" w:hAnsi="Arial"/>
                <w:sz w:val="16"/>
                <w:szCs w:val="16"/>
                <w:color w:val="0000EE"/>
                <w:w w:val="90"/>
              </w:rPr>
            </w:pPr>
            <w:hyperlink r:id="rId152">
              <w:r>
                <w:rPr>
                  <w:rFonts w:ascii="Arial" w:cs="Arial" w:eastAsia="Arial" w:hAnsi="Arial"/>
                  <w:sz w:val="16"/>
                  <w:szCs w:val="16"/>
                  <w:color w:val="0000EE"/>
                  <w:w w:val="90"/>
                </w:rPr>
                <w:t>Form of Restricted Stock Award Agreement under the 2010 Restricted Stock Award Plan, as amended</w:t>
              </w:r>
            </w:hyperlink>
          </w:p>
        </w:tc>
        <w:tc>
          <w:tcPr>
            <w:tcW w:w="640" w:type="dxa"/>
            <w:vAlign w:val="bottom"/>
            <w:gridSpan w:val="16"/>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34"/>
          </w:tcPr>
          <w:p>
            <w:pPr>
              <w:spacing w:after="0" w:line="183" w:lineRule="exact"/>
              <w:rPr>
                <w:rFonts w:ascii="Arial" w:cs="Arial" w:eastAsia="Arial" w:hAnsi="Arial"/>
                <w:sz w:val="16"/>
                <w:szCs w:val="16"/>
                <w:color w:val="0000EE"/>
                <w:w w:val="96"/>
              </w:rPr>
            </w:pPr>
            <w:hyperlink r:id="rId152">
              <w:r>
                <w:rPr>
                  <w:rFonts w:ascii="Arial" w:cs="Arial" w:eastAsia="Arial" w:hAnsi="Arial"/>
                  <w:sz w:val="16"/>
                  <w:szCs w:val="16"/>
                  <w:color w:val="0000EE"/>
                  <w:w w:val="96"/>
                </w:rPr>
                <w:t>(incorporated by reference to Exhibit 10.3 to Form 10-Q (File No. 814-00061) filed on November 7, 2014).</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1160" w:type="dxa"/>
            <w:vAlign w:val="bottom"/>
            <w:gridSpan w:val="5"/>
          </w:tcPr>
          <w:p>
            <w:pPr>
              <w:spacing w:after="0"/>
              <w:rPr>
                <w:sz w:val="20"/>
                <w:szCs w:val="20"/>
                <w:color w:val="auto"/>
              </w:rPr>
            </w:pPr>
            <w:r>
              <w:rPr>
                <w:rFonts w:ascii="Arial" w:cs="Arial" w:eastAsia="Arial" w:hAnsi="Arial"/>
                <w:sz w:val="16"/>
                <w:szCs w:val="16"/>
                <w:color w:val="auto"/>
              </w:rPr>
              <w:t>Exhibit No.</w:t>
            </w:r>
          </w:p>
        </w:tc>
        <w:tc>
          <w:tcPr>
            <w:tcW w:w="7240" w:type="dxa"/>
            <w:vAlign w:val="bottom"/>
            <w:gridSpan w:val="21"/>
          </w:tcPr>
          <w:p>
            <w:pPr>
              <w:spacing w:after="0"/>
              <w:rPr>
                <w:sz w:val="20"/>
                <w:szCs w:val="20"/>
                <w:color w:val="auto"/>
              </w:rPr>
            </w:pPr>
            <w:r>
              <w:rPr>
                <w:rFonts w:ascii="Arial" w:cs="Arial" w:eastAsia="Arial" w:hAnsi="Arial"/>
                <w:sz w:val="16"/>
                <w:szCs w:val="16"/>
                <w:color w:val="auto"/>
              </w:rPr>
              <w:t>Description</w:t>
            </w:r>
          </w:p>
        </w:tc>
      </w:tr>
      <w:tr>
        <w:trPr>
          <w:trHeight w:val="159"/>
        </w:trPr>
        <w:tc>
          <w:tcPr>
            <w:tcW w:w="20" w:type="dxa"/>
            <w:vAlign w:val="bottom"/>
            <w:tcBorders>
              <w:bottom w:val="single" w:sz="8" w:color="0000EE"/>
            </w:tcBorders>
          </w:tcPr>
          <w:p>
            <w:pPr>
              <w:spacing w:after="0"/>
              <w:rPr>
                <w:sz w:val="13"/>
                <w:szCs w:val="13"/>
                <w:color w:val="auto"/>
              </w:rPr>
            </w:pPr>
          </w:p>
        </w:tc>
        <w:tc>
          <w:tcPr>
            <w:tcW w:w="420" w:type="dxa"/>
            <w:vAlign w:val="bottom"/>
            <w:tcBorders>
              <w:top w:val="single" w:sz="8" w:color="auto"/>
              <w:bottom w:val="single" w:sz="8" w:color="0000EE"/>
            </w:tcBorders>
            <w:gridSpan w:val="2"/>
          </w:tcPr>
          <w:p>
            <w:pPr>
              <w:spacing w:after="0" w:line="158" w:lineRule="exact"/>
              <w:rPr>
                <w:rFonts w:ascii="Arial" w:cs="Arial" w:eastAsia="Arial" w:hAnsi="Arial"/>
                <w:sz w:val="16"/>
                <w:szCs w:val="16"/>
                <w:color w:val="0000EE"/>
                <w:w w:val="80"/>
              </w:rPr>
            </w:pPr>
            <w:hyperlink r:id="rId154">
              <w:r>
                <w:rPr>
                  <w:rFonts w:ascii="Arial" w:cs="Arial" w:eastAsia="Arial" w:hAnsi="Arial"/>
                  <w:sz w:val="16"/>
                  <w:szCs w:val="16"/>
                  <w:color w:val="0000EE"/>
                  <w:w w:val="80"/>
                </w:rPr>
                <w:t>10.</w:t>
              </w:r>
              <w:r>
                <w:rPr>
                  <w:rFonts w:ascii="Arial" w:cs="Arial" w:eastAsia="Arial" w:hAnsi="Arial"/>
                  <w:sz w:val="16"/>
                  <w:szCs w:val="16"/>
                  <w:u w:val="single" w:color="auto"/>
                  <w:color w:val="0000EE"/>
                  <w:w w:val="80"/>
                </w:rPr>
                <w:t>18+</w:t>
              </w:r>
            </w:hyperlink>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400" w:type="dxa"/>
            <w:vAlign w:val="bottom"/>
            <w:tcBorders>
              <w:top w:val="single" w:sz="8" w:color="auto"/>
              <w:bottom w:val="single" w:sz="8" w:color="0000EE"/>
            </w:tcBorders>
            <w:gridSpan w:val="8"/>
          </w:tcPr>
          <w:p>
            <w:pPr>
              <w:spacing w:after="0" w:line="158" w:lineRule="exact"/>
              <w:rPr>
                <w:rFonts w:ascii="Arial" w:cs="Arial" w:eastAsia="Arial" w:hAnsi="Arial"/>
                <w:sz w:val="16"/>
                <w:szCs w:val="16"/>
                <w:color w:val="0000EE"/>
                <w:w w:val="91"/>
              </w:rPr>
            </w:pPr>
            <w:hyperlink r:id="rId154">
              <w:r>
                <w:rPr>
                  <w:rFonts w:ascii="Arial" w:cs="Arial" w:eastAsia="Arial" w:hAnsi="Arial"/>
                  <w:sz w:val="16"/>
                  <w:szCs w:val="16"/>
                  <w:color w:val="0000EE"/>
                  <w:w w:val="91"/>
                </w:rPr>
                <w:t>Form of Non-Qualified Stock Option Agreement under the 2009 Stock Incentive Plan, as amended</w:t>
              </w:r>
            </w:hyperlink>
          </w:p>
        </w:tc>
        <w:tc>
          <w:tcPr>
            <w:tcW w:w="840" w:type="dxa"/>
            <w:vAlign w:val="bottom"/>
            <w:tcBorders>
              <w:top w:val="single" w:sz="8" w:color="auto"/>
            </w:tcBorders>
            <w:gridSpan w:val="13"/>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80" w:type="dxa"/>
            <w:vAlign w:val="bottom"/>
            <w:tcBorders>
              <w:bottom w:val="single" w:sz="8" w:color="0000EE"/>
            </w:tcBorders>
            <w:gridSpan w:val="14"/>
          </w:tcPr>
          <w:p>
            <w:pPr>
              <w:spacing w:after="0" w:line="183" w:lineRule="exact"/>
              <w:rPr>
                <w:rFonts w:ascii="Arial" w:cs="Arial" w:eastAsia="Arial" w:hAnsi="Arial"/>
                <w:sz w:val="16"/>
                <w:szCs w:val="16"/>
                <w:color w:val="0000EE"/>
                <w:w w:val="93"/>
              </w:rPr>
            </w:pPr>
            <w:hyperlink r:id="rId154">
              <w:r>
                <w:rPr>
                  <w:rFonts w:ascii="Arial" w:cs="Arial" w:eastAsia="Arial" w:hAnsi="Arial"/>
                  <w:sz w:val="16"/>
                  <w:szCs w:val="16"/>
                  <w:color w:val="0000EE"/>
                  <w:w w:val="93"/>
                </w:rPr>
                <w:t>(incorporated by reference to Exhibit 10.4 to Form 10-Q (File No. 814-00061) filed on November 7, 2014).</w:t>
              </w:r>
            </w:hyperlink>
          </w:p>
        </w:tc>
        <w:tc>
          <w:tcPr>
            <w:tcW w:w="260" w:type="dxa"/>
            <w:vAlign w:val="bottom"/>
            <w:gridSpan w:val="7"/>
          </w:tcPr>
          <w:p>
            <w:pPr>
              <w:spacing w:after="0"/>
              <w:rPr>
                <w:sz w:val="15"/>
                <w:szCs w:val="15"/>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55">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19+</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4"/>
              </w:rPr>
            </w:pPr>
            <w:hyperlink r:id="rId155">
              <w:r>
                <w:rPr>
                  <w:rFonts w:ascii="Arial" w:cs="Arial" w:eastAsia="Arial" w:hAnsi="Arial"/>
                  <w:sz w:val="16"/>
                  <w:szCs w:val="16"/>
                  <w:color w:val="0000EE"/>
                  <w:w w:val="94"/>
                </w:rPr>
                <w:t>Form of Cash Incentive Award Agreement (incorporated by reference to Exhibit 10.5 to Form 10-Q (File No.</w:t>
              </w:r>
            </w:hyperlink>
          </w:p>
        </w:tc>
      </w:tr>
      <w:tr>
        <w:trPr>
          <w:trHeight w:val="183"/>
        </w:trPr>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6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r:id="rId155">
              <w:r>
                <w:rPr>
                  <w:rFonts w:ascii="Arial" w:cs="Arial" w:eastAsia="Arial" w:hAnsi="Arial"/>
                  <w:sz w:val="16"/>
                  <w:szCs w:val="16"/>
                  <w:color w:val="0000EE"/>
                </w:rPr>
                <w:t>814-00061) filed on November 7, 2014).</w:t>
              </w:r>
            </w:hyperlink>
          </w:p>
        </w:tc>
        <w:tc>
          <w:tcPr>
            <w:tcW w:w="180" w:type="dxa"/>
            <w:vAlign w:val="bottom"/>
            <w:gridSpan w:val="4"/>
          </w:tcPr>
          <w:p>
            <w:pPr>
              <w:spacing w:after="0"/>
              <w:rPr>
                <w:sz w:val="15"/>
                <w:szCs w:val="15"/>
                <w:color w:val="auto"/>
              </w:rPr>
            </w:pPr>
          </w:p>
        </w:tc>
      </w:tr>
      <w:tr>
        <w:trPr>
          <w:trHeight w:val="20"/>
        </w:trPr>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60" w:type="dxa"/>
            <w:vAlign w:val="bottom"/>
            <w:tcBorders>
              <w:bottom w:val="single" w:sz="8" w:color="0000EE"/>
            </w:tcBorders>
            <w:gridSpan w:val="2"/>
          </w:tcPr>
          <w:p>
            <w:pPr>
              <w:spacing w:after="0"/>
              <w:rPr>
                <w:rFonts w:ascii="Arial" w:cs="Arial" w:eastAsia="Arial" w:hAnsi="Arial"/>
                <w:sz w:val="16"/>
                <w:szCs w:val="16"/>
                <w:color w:val="0000EE"/>
                <w:w w:val="84"/>
              </w:rPr>
            </w:pPr>
            <w:hyperlink r:id="rId156">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20</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tcBorders>
              <w:bottom w:val="single" w:sz="8" w:color="0000EE"/>
            </w:tcBorders>
            <w:gridSpan w:val="9"/>
          </w:tcPr>
          <w:p>
            <w:pPr>
              <w:spacing w:after="0"/>
              <w:rPr>
                <w:rFonts w:ascii="Arial" w:cs="Arial" w:eastAsia="Arial" w:hAnsi="Arial"/>
                <w:sz w:val="16"/>
                <w:szCs w:val="16"/>
                <w:color w:val="0000EE"/>
                <w:w w:val="90"/>
              </w:rPr>
            </w:pPr>
            <w:hyperlink r:id="rId156">
              <w:r>
                <w:rPr>
                  <w:rFonts w:ascii="Arial" w:cs="Arial" w:eastAsia="Arial" w:hAnsi="Arial"/>
                  <w:sz w:val="16"/>
                  <w:szCs w:val="16"/>
                  <w:color w:val="0000EE"/>
                  <w:w w:val="90"/>
                </w:rPr>
                <w:t>Tax Matters Agreement, dated September 8, 2015, between the Company and CSW Industrials, Inc.</w:t>
              </w:r>
            </w:hyperlink>
          </w:p>
        </w:tc>
        <w:tc>
          <w:tcPr>
            <w:tcW w:w="780" w:type="dxa"/>
            <w:vAlign w:val="bottom"/>
            <w:gridSpan w:val="1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80" w:type="dxa"/>
            <w:vAlign w:val="bottom"/>
            <w:tcBorders>
              <w:bottom w:val="single" w:sz="8" w:color="0000EE"/>
            </w:tcBorders>
            <w:gridSpan w:val="14"/>
          </w:tcPr>
          <w:p>
            <w:pPr>
              <w:spacing w:after="0" w:line="183" w:lineRule="exact"/>
              <w:rPr>
                <w:rFonts w:ascii="Arial" w:cs="Arial" w:eastAsia="Arial" w:hAnsi="Arial"/>
                <w:sz w:val="16"/>
                <w:szCs w:val="16"/>
                <w:color w:val="0000EE"/>
                <w:w w:val="92"/>
              </w:rPr>
            </w:pPr>
            <w:hyperlink r:id="rId156">
              <w:r>
                <w:rPr>
                  <w:rFonts w:ascii="Arial" w:cs="Arial" w:eastAsia="Arial" w:hAnsi="Arial"/>
                  <w:sz w:val="16"/>
                  <w:szCs w:val="16"/>
                  <w:color w:val="0000EE"/>
                  <w:w w:val="92"/>
                </w:rPr>
                <w:t>(incorporated by reference to Exhibit 10.1 to Form 8-K (File No. 814-00061) filed on September 14, 2015).</w:t>
              </w:r>
            </w:hyperlink>
          </w:p>
        </w:tc>
        <w:tc>
          <w:tcPr>
            <w:tcW w:w="260" w:type="dxa"/>
            <w:vAlign w:val="bottom"/>
            <w:gridSpan w:val="7"/>
          </w:tcPr>
          <w:p>
            <w:pPr>
              <w:spacing w:after="0"/>
              <w:rPr>
                <w:sz w:val="15"/>
                <w:szCs w:val="15"/>
                <w:color w:val="auto"/>
              </w:rPr>
            </w:pPr>
          </w:p>
        </w:tc>
      </w:tr>
      <w:tr>
        <w:trPr>
          <w:trHeight w:val="385"/>
        </w:trPr>
        <w:tc>
          <w:tcPr>
            <w:tcW w:w="440" w:type="dxa"/>
            <w:vAlign w:val="bottom"/>
            <w:tcBorders>
              <w:bottom w:val="single" w:sz="8" w:color="0000EE"/>
            </w:tcBorders>
            <w:gridSpan w:val="3"/>
          </w:tcPr>
          <w:p>
            <w:pPr>
              <w:spacing w:after="0"/>
              <w:rPr>
                <w:rFonts w:ascii="Arial" w:cs="Arial" w:eastAsia="Arial" w:hAnsi="Arial"/>
                <w:sz w:val="16"/>
                <w:szCs w:val="16"/>
                <w:color w:val="0000EE"/>
                <w:w w:val="84"/>
              </w:rPr>
            </w:pPr>
            <w:hyperlink r:id="rId157">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21+</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Arial" w:cs="Arial" w:eastAsia="Arial" w:hAnsi="Arial"/>
                <w:sz w:val="16"/>
                <w:szCs w:val="16"/>
                <w:color w:val="0000EE"/>
                <w:w w:val="89"/>
              </w:rPr>
            </w:pPr>
            <w:hyperlink r:id="rId157">
              <w:r>
                <w:rPr>
                  <w:rFonts w:ascii="Arial" w:cs="Arial" w:eastAsia="Arial" w:hAnsi="Arial"/>
                  <w:sz w:val="16"/>
                  <w:szCs w:val="16"/>
                  <w:color w:val="0000EE"/>
                  <w:w w:val="89"/>
                </w:rPr>
                <w:t>Amended and Restated Employee Matters Agreement, dated September 4, 2015, between the Company and</w:t>
              </w:r>
            </w:hyperlink>
          </w:p>
        </w:tc>
        <w:tc>
          <w:tcPr>
            <w:tcW w:w="260" w:type="dxa"/>
            <w:vAlign w:val="bottom"/>
            <w:gridSpan w:val="7"/>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80" w:type="dxa"/>
            <w:vAlign w:val="bottom"/>
            <w:tcBorders>
              <w:bottom w:val="single" w:sz="8" w:color="0000EE"/>
            </w:tcBorders>
            <w:gridSpan w:val="14"/>
          </w:tcPr>
          <w:p>
            <w:pPr>
              <w:spacing w:after="0" w:line="183" w:lineRule="exact"/>
              <w:rPr>
                <w:rFonts w:ascii="Arial" w:cs="Arial" w:eastAsia="Arial" w:hAnsi="Arial"/>
                <w:sz w:val="16"/>
                <w:szCs w:val="16"/>
                <w:color w:val="0000EE"/>
                <w:w w:val="93"/>
              </w:rPr>
            </w:pPr>
            <w:hyperlink r:id="rId157">
              <w:r>
                <w:rPr>
                  <w:rFonts w:ascii="Arial" w:cs="Arial" w:eastAsia="Arial" w:hAnsi="Arial"/>
                  <w:sz w:val="16"/>
                  <w:szCs w:val="16"/>
                  <w:color w:val="0000EE"/>
                  <w:w w:val="93"/>
                </w:rPr>
                <w:t>CSW Industrials, Inc. (incorporated by reference to Exhibit 10.2 to Form 8-K (File No. 814-00061) filed on</w:t>
              </w:r>
            </w:hyperlink>
          </w:p>
        </w:tc>
        <w:tc>
          <w:tcPr>
            <w:tcW w:w="260" w:type="dxa"/>
            <w:vAlign w:val="bottom"/>
            <w:gridSpan w:val="7"/>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bottom w:val="single" w:sz="8" w:color="0000EE"/>
            </w:tcBorders>
            <w:gridSpan w:val="3"/>
          </w:tcPr>
          <w:p>
            <w:pPr>
              <w:spacing w:after="0" w:line="183" w:lineRule="exact"/>
              <w:rPr>
                <w:rFonts w:ascii="Arial" w:cs="Arial" w:eastAsia="Arial" w:hAnsi="Arial"/>
                <w:sz w:val="16"/>
                <w:szCs w:val="16"/>
                <w:color w:val="0000EE"/>
                <w:w w:val="87"/>
              </w:rPr>
            </w:pPr>
            <w:hyperlink r:id="rId157">
              <w:r>
                <w:rPr>
                  <w:rFonts w:ascii="Arial" w:cs="Arial" w:eastAsia="Arial" w:hAnsi="Arial"/>
                  <w:sz w:val="16"/>
                  <w:szCs w:val="16"/>
                  <w:color w:val="0000EE"/>
                  <w:w w:val="87"/>
                </w:rPr>
                <w:t>September 14, 2015).</w:t>
              </w:r>
            </w:hyperlink>
          </w:p>
        </w:tc>
        <w:tc>
          <w:tcPr>
            <w:tcW w:w="5860" w:type="dxa"/>
            <w:vAlign w:val="bottom"/>
            <w:gridSpan w:val="18"/>
          </w:tcPr>
          <w:p>
            <w:pPr>
              <w:spacing w:after="0"/>
              <w:rPr>
                <w:sz w:val="15"/>
                <w:szCs w:val="15"/>
                <w:color w:val="auto"/>
              </w:rPr>
            </w:pPr>
          </w:p>
        </w:tc>
      </w:tr>
      <w:tr>
        <w:trPr>
          <w:trHeight w:val="385"/>
        </w:trPr>
        <w:tc>
          <w:tcPr>
            <w:tcW w:w="440" w:type="dxa"/>
            <w:vAlign w:val="bottom"/>
            <w:tcBorders>
              <w:bottom w:val="single" w:sz="8" w:color="0000EE"/>
            </w:tcBorders>
            <w:gridSpan w:val="3"/>
          </w:tcPr>
          <w:p>
            <w:pPr>
              <w:spacing w:after="0"/>
              <w:rPr>
                <w:rFonts w:ascii="Arial" w:cs="Arial" w:eastAsia="Arial" w:hAnsi="Arial"/>
                <w:sz w:val="16"/>
                <w:szCs w:val="16"/>
                <w:color w:val="0000EE"/>
                <w:w w:val="84"/>
              </w:rPr>
            </w:pPr>
            <w:hyperlink r:id="rId158">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22+</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00" w:type="dxa"/>
            <w:vAlign w:val="bottom"/>
            <w:tcBorders>
              <w:bottom w:val="single" w:sz="8" w:color="0000EE"/>
            </w:tcBorders>
            <w:gridSpan w:val="18"/>
          </w:tcPr>
          <w:p>
            <w:pPr>
              <w:spacing w:after="0"/>
              <w:rPr>
                <w:rFonts w:ascii="Arial" w:cs="Arial" w:eastAsia="Arial" w:hAnsi="Arial"/>
                <w:sz w:val="16"/>
                <w:szCs w:val="16"/>
                <w:color w:val="0000EE"/>
                <w:w w:val="91"/>
              </w:rPr>
            </w:pPr>
            <w:hyperlink r:id="rId158">
              <w:r>
                <w:rPr>
                  <w:rFonts w:ascii="Arial" w:cs="Arial" w:eastAsia="Arial" w:hAnsi="Arial"/>
                  <w:sz w:val="16"/>
                  <w:szCs w:val="16"/>
                  <w:color w:val="0000EE"/>
                  <w:w w:val="91"/>
                </w:rPr>
                <w:t>Form of Amended and Restated Non-Qualified Stock Option Agreement under the 2009 Stock Incentive Plan</w:t>
              </w:r>
            </w:hyperlink>
          </w:p>
        </w:tc>
        <w:tc>
          <w:tcPr>
            <w:tcW w:w="140" w:type="dxa"/>
            <w:vAlign w:val="bottom"/>
            <w:gridSpan w:val="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00" w:type="dxa"/>
            <w:vAlign w:val="bottom"/>
            <w:tcBorders>
              <w:bottom w:val="single" w:sz="8" w:color="0000EE"/>
            </w:tcBorders>
            <w:gridSpan w:val="18"/>
          </w:tcPr>
          <w:p>
            <w:pPr>
              <w:spacing w:after="0" w:line="183" w:lineRule="exact"/>
              <w:rPr>
                <w:rFonts w:ascii="Arial" w:cs="Arial" w:eastAsia="Arial" w:hAnsi="Arial"/>
                <w:sz w:val="16"/>
                <w:szCs w:val="16"/>
                <w:color w:val="0000EE"/>
                <w:w w:val="93"/>
              </w:rPr>
            </w:pPr>
            <w:hyperlink r:id="rId158">
              <w:r>
                <w:rPr>
                  <w:rFonts w:ascii="Arial" w:cs="Arial" w:eastAsia="Arial" w:hAnsi="Arial"/>
                  <w:sz w:val="16"/>
                  <w:szCs w:val="16"/>
                  <w:color w:val="0000EE"/>
                  <w:w w:val="93"/>
                </w:rPr>
                <w:t>(CSWC Employee Form) (incorporated by reference to Exhibit 10.3 to Form 10-Q (File No. 814-00061) filed</w:t>
              </w:r>
            </w:hyperlink>
          </w:p>
        </w:tc>
        <w:tc>
          <w:tcPr>
            <w:tcW w:w="14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rPr>
            </w:pPr>
            <w:hyperlink r:id="rId158">
              <w:r>
                <w:rPr>
                  <w:rFonts w:ascii="Arial" w:cs="Arial" w:eastAsia="Arial" w:hAnsi="Arial"/>
                  <w:sz w:val="16"/>
                  <w:szCs w:val="16"/>
                  <w:color w:val="0000EE"/>
                </w:rPr>
                <w:t>on November 9, 2015).</w:t>
              </w:r>
            </w:hyperlink>
          </w:p>
        </w:tc>
      </w:tr>
      <w:tr>
        <w:trPr>
          <w:trHeight w:val="20"/>
        </w:trPr>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40" w:type="dxa"/>
            <w:vAlign w:val="bottom"/>
            <w:tcBorders>
              <w:bottom w:val="single" w:sz="8" w:color="0000EE"/>
            </w:tcBorders>
            <w:gridSpan w:val="3"/>
          </w:tcPr>
          <w:p>
            <w:pPr>
              <w:spacing w:after="0"/>
              <w:rPr>
                <w:rFonts w:ascii="Arial" w:cs="Arial" w:eastAsia="Arial" w:hAnsi="Arial"/>
                <w:sz w:val="16"/>
                <w:szCs w:val="16"/>
                <w:color w:val="0000EE"/>
                <w:w w:val="84"/>
              </w:rPr>
            </w:pPr>
            <w:hyperlink r:id="rId159">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23+</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00" w:type="dxa"/>
            <w:vAlign w:val="bottom"/>
            <w:tcBorders>
              <w:bottom w:val="single" w:sz="8" w:color="0000EE"/>
            </w:tcBorders>
            <w:gridSpan w:val="18"/>
          </w:tcPr>
          <w:p>
            <w:pPr>
              <w:spacing w:after="0"/>
              <w:rPr>
                <w:rFonts w:ascii="Arial" w:cs="Arial" w:eastAsia="Arial" w:hAnsi="Arial"/>
                <w:sz w:val="16"/>
                <w:szCs w:val="16"/>
                <w:color w:val="0000EE"/>
                <w:w w:val="91"/>
              </w:rPr>
            </w:pPr>
            <w:hyperlink r:id="rId159">
              <w:r>
                <w:rPr>
                  <w:rFonts w:ascii="Arial" w:cs="Arial" w:eastAsia="Arial" w:hAnsi="Arial"/>
                  <w:sz w:val="16"/>
                  <w:szCs w:val="16"/>
                  <w:color w:val="0000EE"/>
                  <w:w w:val="91"/>
                </w:rPr>
                <w:t>Form of Amended and Restated Non-Qualified Stock Option Agreement under the 2009 Stock Incentive Plan</w:t>
              </w:r>
            </w:hyperlink>
          </w:p>
        </w:tc>
        <w:tc>
          <w:tcPr>
            <w:tcW w:w="140" w:type="dxa"/>
            <w:vAlign w:val="bottom"/>
            <w:gridSpan w:val="3"/>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tcBorders>
              <w:bottom w:val="single" w:sz="8" w:color="0000EE"/>
            </w:tcBorders>
            <w:gridSpan w:val="21"/>
          </w:tcPr>
          <w:p>
            <w:pPr>
              <w:spacing w:after="0" w:line="183" w:lineRule="exact"/>
              <w:rPr>
                <w:rFonts w:ascii="Arial" w:cs="Arial" w:eastAsia="Arial" w:hAnsi="Arial"/>
                <w:sz w:val="16"/>
                <w:szCs w:val="16"/>
                <w:color w:val="0000EE"/>
                <w:w w:val="93"/>
              </w:rPr>
            </w:pPr>
            <w:hyperlink r:id="rId159">
              <w:r>
                <w:rPr>
                  <w:rFonts w:ascii="Arial" w:cs="Arial" w:eastAsia="Arial" w:hAnsi="Arial"/>
                  <w:sz w:val="16"/>
                  <w:szCs w:val="16"/>
                  <w:color w:val="0000EE"/>
                  <w:w w:val="93"/>
                </w:rPr>
                <w:t>(CSWI Employee Form) (incorporated by reference to Exhibit 10.4 to Form 10-Q (File No. 814-00061) filed on</w:t>
              </w:r>
            </w:hyperlink>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rPr>
            </w:pPr>
            <w:hyperlink r:id="rId159">
              <w:r>
                <w:rPr>
                  <w:rFonts w:ascii="Arial" w:cs="Arial" w:eastAsia="Arial" w:hAnsi="Arial"/>
                  <w:sz w:val="16"/>
                  <w:szCs w:val="16"/>
                  <w:color w:val="0000EE"/>
                </w:rPr>
                <w:t>November 9, 2015).</w:t>
              </w:r>
            </w:hyperlink>
          </w:p>
        </w:tc>
      </w:tr>
      <w:tr>
        <w:trPr>
          <w:trHeight w:val="20"/>
        </w:trPr>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60">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24+</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8"/>
              </w:rPr>
            </w:pPr>
            <w:hyperlink r:id="rId160">
              <w:r>
                <w:rPr>
                  <w:rFonts w:ascii="Arial" w:cs="Arial" w:eastAsia="Arial" w:hAnsi="Arial"/>
                  <w:sz w:val="16"/>
                  <w:szCs w:val="16"/>
                  <w:color w:val="0000EE"/>
                  <w:w w:val="98"/>
                </w:rPr>
                <w:t>Form of Amended and Restated Incentive Stock Option Agreement under the 2009 Stock Incentive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00" w:type="dxa"/>
            <w:vAlign w:val="bottom"/>
            <w:tcBorders>
              <w:bottom w:val="single" w:sz="8" w:color="0000EE"/>
            </w:tcBorders>
            <w:gridSpan w:val="18"/>
          </w:tcPr>
          <w:p>
            <w:pPr>
              <w:spacing w:after="0" w:line="183" w:lineRule="exact"/>
              <w:rPr>
                <w:rFonts w:ascii="Arial" w:cs="Arial" w:eastAsia="Arial" w:hAnsi="Arial"/>
                <w:sz w:val="16"/>
                <w:szCs w:val="16"/>
                <w:color w:val="0000EE"/>
                <w:w w:val="93"/>
              </w:rPr>
            </w:pPr>
            <w:hyperlink r:id="rId160">
              <w:r>
                <w:rPr>
                  <w:rFonts w:ascii="Arial" w:cs="Arial" w:eastAsia="Arial" w:hAnsi="Arial"/>
                  <w:sz w:val="16"/>
                  <w:szCs w:val="16"/>
                  <w:color w:val="0000EE"/>
                  <w:w w:val="93"/>
                </w:rPr>
                <w:t>(CSWC Employee Form) (incorporated by reference to Exhibit 10.5 to Form 10-Q (File No. 814-00061) filed</w:t>
              </w:r>
            </w:hyperlink>
          </w:p>
        </w:tc>
        <w:tc>
          <w:tcPr>
            <w:tcW w:w="14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rPr>
            </w:pPr>
            <w:hyperlink r:id="rId160">
              <w:r>
                <w:rPr>
                  <w:rFonts w:ascii="Arial" w:cs="Arial" w:eastAsia="Arial" w:hAnsi="Arial"/>
                  <w:sz w:val="16"/>
                  <w:szCs w:val="16"/>
                  <w:color w:val="0000EE"/>
                </w:rPr>
                <w:t>on November 9, 2015).</w:t>
              </w:r>
            </w:hyperlink>
          </w:p>
        </w:tc>
      </w:tr>
      <w:tr>
        <w:trPr>
          <w:trHeight w:val="20"/>
        </w:trPr>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61">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25+</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8"/>
              </w:rPr>
            </w:pPr>
            <w:hyperlink r:id="rId161">
              <w:r>
                <w:rPr>
                  <w:rFonts w:ascii="Arial" w:cs="Arial" w:eastAsia="Arial" w:hAnsi="Arial"/>
                  <w:sz w:val="16"/>
                  <w:szCs w:val="16"/>
                  <w:color w:val="0000EE"/>
                  <w:w w:val="98"/>
                </w:rPr>
                <w:t>Form of Amended and Restated Incentive Stock Option Agreement under the 2009 Stock Incentive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tcBorders>
              <w:bottom w:val="single" w:sz="8" w:color="0000EE"/>
            </w:tcBorders>
            <w:gridSpan w:val="21"/>
          </w:tcPr>
          <w:p>
            <w:pPr>
              <w:spacing w:after="0" w:line="183" w:lineRule="exact"/>
              <w:rPr>
                <w:rFonts w:ascii="Arial" w:cs="Arial" w:eastAsia="Arial" w:hAnsi="Arial"/>
                <w:sz w:val="16"/>
                <w:szCs w:val="16"/>
                <w:color w:val="0000EE"/>
                <w:w w:val="93"/>
              </w:rPr>
            </w:pPr>
            <w:hyperlink r:id="rId161">
              <w:r>
                <w:rPr>
                  <w:rFonts w:ascii="Arial" w:cs="Arial" w:eastAsia="Arial" w:hAnsi="Arial"/>
                  <w:sz w:val="16"/>
                  <w:szCs w:val="16"/>
                  <w:color w:val="0000EE"/>
                  <w:w w:val="93"/>
                </w:rPr>
                <w:t>(CSWI Employee Form) (incorporated by reference to Exhibit 10.6 to Form 10-Q (File No. 814-00061) filed on</w:t>
              </w:r>
            </w:hyperlink>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rPr>
            </w:pPr>
            <w:hyperlink r:id="rId161">
              <w:r>
                <w:rPr>
                  <w:rFonts w:ascii="Arial" w:cs="Arial" w:eastAsia="Arial" w:hAnsi="Arial"/>
                  <w:sz w:val="16"/>
                  <w:szCs w:val="16"/>
                  <w:color w:val="0000EE"/>
                </w:rPr>
                <w:t>November 9, 2015).</w:t>
              </w:r>
            </w:hyperlink>
          </w:p>
        </w:tc>
      </w:tr>
      <w:tr>
        <w:trPr>
          <w:trHeight w:val="20"/>
        </w:trPr>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62">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26+</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6"/>
              </w:rPr>
            </w:pPr>
            <w:hyperlink r:id="rId162">
              <w:r>
                <w:rPr>
                  <w:rFonts w:ascii="Arial" w:cs="Arial" w:eastAsia="Arial" w:hAnsi="Arial"/>
                  <w:sz w:val="16"/>
                  <w:szCs w:val="16"/>
                  <w:color w:val="0000EE"/>
                  <w:w w:val="96"/>
                </w:rPr>
                <w:t>Form of Amended and Restated Non-Qualified Stock Option Agreement (Executive Compensation Plan –</w:t>
              </w:r>
            </w:hyperlink>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tcBorders>
              <w:bottom w:val="single" w:sz="8" w:color="0000EE"/>
            </w:tcBorders>
            <w:gridSpan w:val="21"/>
          </w:tcPr>
          <w:p>
            <w:pPr>
              <w:spacing w:after="0" w:line="183" w:lineRule="exact"/>
              <w:rPr>
                <w:rFonts w:ascii="Arial" w:cs="Arial" w:eastAsia="Arial" w:hAnsi="Arial"/>
                <w:sz w:val="16"/>
                <w:szCs w:val="16"/>
                <w:color w:val="0000EE"/>
                <w:w w:val="93"/>
              </w:rPr>
            </w:pPr>
            <w:hyperlink r:id="rId162">
              <w:r>
                <w:rPr>
                  <w:rFonts w:ascii="Arial" w:cs="Arial" w:eastAsia="Arial" w:hAnsi="Arial"/>
                  <w:sz w:val="16"/>
                  <w:szCs w:val="16"/>
                  <w:color w:val="0000EE"/>
                  <w:w w:val="93"/>
                </w:rPr>
                <w:t>CSWC Employee Form) (incorporated by reference to Exhibit 10.7 to Form 10-Q (File No. 814-00061) filed on</w:t>
              </w:r>
            </w:hyperlink>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rPr>
            </w:pPr>
            <w:hyperlink r:id="rId162">
              <w:r>
                <w:rPr>
                  <w:rFonts w:ascii="Arial" w:cs="Arial" w:eastAsia="Arial" w:hAnsi="Arial"/>
                  <w:sz w:val="16"/>
                  <w:szCs w:val="16"/>
                  <w:color w:val="0000EE"/>
                </w:rPr>
                <w:t>November 9, 2015).</w:t>
              </w:r>
            </w:hyperlink>
          </w:p>
        </w:tc>
      </w:tr>
      <w:tr>
        <w:trPr>
          <w:trHeight w:val="20"/>
        </w:trPr>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63">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27+</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6"/>
              </w:rPr>
            </w:pPr>
            <w:hyperlink r:id="rId163">
              <w:r>
                <w:rPr>
                  <w:rFonts w:ascii="Arial" w:cs="Arial" w:eastAsia="Arial" w:hAnsi="Arial"/>
                  <w:sz w:val="16"/>
                  <w:szCs w:val="16"/>
                  <w:color w:val="0000EE"/>
                  <w:w w:val="96"/>
                </w:rPr>
                <w:t>Form of Amended and Restated Non-Qualified Stock Option Agreement (Executive Compensation Plan –</w:t>
              </w:r>
            </w:hyperlink>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w w:val="93"/>
              </w:rPr>
            </w:pPr>
            <w:hyperlink r:id="rId163">
              <w:r>
                <w:rPr>
                  <w:rFonts w:ascii="Arial" w:cs="Arial" w:eastAsia="Arial" w:hAnsi="Arial"/>
                  <w:sz w:val="16"/>
                  <w:szCs w:val="16"/>
                  <w:color w:val="0000EE"/>
                  <w:w w:val="93"/>
                </w:rPr>
                <w:t>CSWI Employee Form) (incorporated by reference to Exhibit 10.8 to Form 10-Q (File No. 814-00061) filed on</w:t>
              </w:r>
            </w:hyperlink>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80" w:type="dxa"/>
            <w:vAlign w:val="bottom"/>
            <w:tcBorders>
              <w:top w:val="single" w:sz="8" w:color="0000EE"/>
            </w:tcBorders>
            <w:gridSpan w:val="20"/>
          </w:tcPr>
          <w:p>
            <w:pPr>
              <w:spacing w:after="0" w:line="183" w:lineRule="exact"/>
              <w:rPr>
                <w:rFonts w:ascii="Arial" w:cs="Arial" w:eastAsia="Arial" w:hAnsi="Arial"/>
                <w:sz w:val="16"/>
                <w:szCs w:val="16"/>
                <w:color w:val="0000EE"/>
              </w:rPr>
            </w:pPr>
            <w:hyperlink r:id="rId163">
              <w:r>
                <w:rPr>
                  <w:rFonts w:ascii="Arial" w:cs="Arial" w:eastAsia="Arial" w:hAnsi="Arial"/>
                  <w:sz w:val="16"/>
                  <w:szCs w:val="16"/>
                  <w:color w:val="0000EE"/>
                </w:rPr>
                <w:t>November 9, 2015).</w:t>
              </w:r>
            </w:hyperlink>
          </w:p>
        </w:tc>
        <w:tc>
          <w:tcPr>
            <w:tcW w:w="60" w:type="dxa"/>
            <w:vAlign w:val="bottom"/>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64">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28+</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5"/>
              </w:rPr>
            </w:pPr>
            <w:hyperlink r:id="rId164">
              <w:r>
                <w:rPr>
                  <w:rFonts w:ascii="Arial" w:cs="Arial" w:eastAsia="Arial" w:hAnsi="Arial"/>
                  <w:sz w:val="16"/>
                  <w:szCs w:val="16"/>
                  <w:color w:val="0000EE"/>
                  <w:w w:val="95"/>
                </w:rPr>
                <w:t>Form of Restricted Stock Agreement under the 2010 Restricted Stock Award Plan (CSWC Employee Form)</w:t>
              </w:r>
            </w:hyperlink>
          </w:p>
        </w:tc>
      </w:tr>
      <w:tr>
        <w:trPr>
          <w:trHeight w:val="183"/>
        </w:trPr>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6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color w:val="0000EE"/>
                <w:w w:val="93"/>
              </w:rPr>
            </w:pPr>
            <w:hyperlink r:id="rId164">
              <w:r>
                <w:rPr>
                  <w:rFonts w:ascii="Arial" w:cs="Arial" w:eastAsia="Arial" w:hAnsi="Arial"/>
                  <w:sz w:val="16"/>
                  <w:szCs w:val="16"/>
                  <w:color w:val="0000EE"/>
                  <w:w w:val="93"/>
                </w:rPr>
                <w:t>(incorporated by reference to Exhibit 10.9 to Form 10-Q (File No. 814-00061) filed on November 9, 2015).</w:t>
              </w:r>
            </w:hyperlink>
          </w:p>
        </w:tc>
        <w:tc>
          <w:tcPr>
            <w:tcW w:w="20" w:type="dxa"/>
            <w:vAlign w:val="bottom"/>
            <w:tcBorders>
              <w:top w:val="single" w:sz="8" w:color="0000EE"/>
            </w:tcBorders>
          </w:tcPr>
          <w:p>
            <w:pPr>
              <w:spacing w:after="0"/>
              <w:rPr>
                <w:sz w:val="15"/>
                <w:szCs w:val="15"/>
                <w:color w:val="auto"/>
              </w:rPr>
            </w:pPr>
          </w:p>
        </w:tc>
        <w:tc>
          <w:tcPr>
            <w:tcW w:w="260" w:type="dxa"/>
            <w:vAlign w:val="bottom"/>
            <w:gridSpan w:val="7"/>
          </w:tcPr>
          <w:p>
            <w:pPr>
              <w:spacing w:after="0"/>
              <w:rPr>
                <w:sz w:val="15"/>
                <w:szCs w:val="15"/>
                <w:color w:val="auto"/>
              </w:rPr>
            </w:pPr>
          </w:p>
        </w:tc>
      </w:tr>
      <w:tr>
        <w:trPr>
          <w:trHeight w:val="385"/>
        </w:trPr>
        <w:tc>
          <w:tcPr>
            <w:tcW w:w="440" w:type="dxa"/>
            <w:vAlign w:val="bottom"/>
            <w:tcBorders>
              <w:bottom w:val="single" w:sz="8" w:color="0000EE"/>
            </w:tcBorders>
            <w:gridSpan w:val="3"/>
          </w:tcPr>
          <w:p>
            <w:pPr>
              <w:spacing w:after="0"/>
              <w:rPr>
                <w:rFonts w:ascii="Arial" w:cs="Arial" w:eastAsia="Arial" w:hAnsi="Arial"/>
                <w:sz w:val="16"/>
                <w:szCs w:val="16"/>
                <w:color w:val="0000EE"/>
                <w:w w:val="84"/>
              </w:rPr>
            </w:pPr>
            <w:hyperlink r:id="rId165">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29+</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60" w:type="dxa"/>
            <w:vAlign w:val="bottom"/>
            <w:tcBorders>
              <w:bottom w:val="single" w:sz="8" w:color="0000EE"/>
            </w:tcBorders>
            <w:gridSpan w:val="11"/>
          </w:tcPr>
          <w:p>
            <w:pPr>
              <w:spacing w:after="0"/>
              <w:rPr>
                <w:rFonts w:ascii="Arial" w:cs="Arial" w:eastAsia="Arial" w:hAnsi="Arial"/>
                <w:sz w:val="16"/>
                <w:szCs w:val="16"/>
                <w:color w:val="0000EE"/>
                <w:w w:val="90"/>
              </w:rPr>
            </w:pPr>
            <w:hyperlink r:id="rId165">
              <w:r>
                <w:rPr>
                  <w:rFonts w:ascii="Arial" w:cs="Arial" w:eastAsia="Arial" w:hAnsi="Arial"/>
                  <w:sz w:val="16"/>
                  <w:szCs w:val="16"/>
                  <w:color w:val="0000EE"/>
                  <w:w w:val="90"/>
                </w:rPr>
                <w:t>Form of Amended and Restated Restricted Stock Agreement under the 2010 Restricted Stock Award Plan</w:t>
              </w:r>
            </w:hyperlink>
          </w:p>
        </w:tc>
        <w:tc>
          <w:tcPr>
            <w:tcW w:w="380" w:type="dxa"/>
            <w:vAlign w:val="bottom"/>
            <w:gridSpan w:val="10"/>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w w:val="94"/>
              </w:rPr>
            </w:pPr>
            <w:hyperlink r:id="rId165">
              <w:r>
                <w:rPr>
                  <w:rFonts w:ascii="Arial" w:cs="Arial" w:eastAsia="Arial" w:hAnsi="Arial"/>
                  <w:sz w:val="16"/>
                  <w:szCs w:val="16"/>
                  <w:color w:val="0000EE"/>
                  <w:w w:val="94"/>
                </w:rPr>
                <w:t>(CSWI Employee Form) (incorporated by reference to Exhibit 10.10 to Form 10-Q (File No. 814-00061) filed</w:t>
              </w:r>
            </w:hyperlink>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20" w:type="dxa"/>
            <w:vAlign w:val="bottom"/>
            <w:tcBorders>
              <w:top w:val="single" w:sz="8" w:color="0000EE"/>
            </w:tcBorders>
            <w:gridSpan w:val="19"/>
          </w:tcPr>
          <w:p>
            <w:pPr>
              <w:spacing w:after="0" w:line="183" w:lineRule="exact"/>
              <w:rPr>
                <w:rFonts w:ascii="Arial" w:cs="Arial" w:eastAsia="Arial" w:hAnsi="Arial"/>
                <w:sz w:val="16"/>
                <w:szCs w:val="16"/>
                <w:color w:val="0000EE"/>
              </w:rPr>
            </w:pPr>
            <w:hyperlink r:id="rId165">
              <w:r>
                <w:rPr>
                  <w:rFonts w:ascii="Arial" w:cs="Arial" w:eastAsia="Arial" w:hAnsi="Arial"/>
                  <w:sz w:val="16"/>
                  <w:szCs w:val="16"/>
                  <w:color w:val="0000EE"/>
                </w:rPr>
                <w:t>on November 9, 2015).</w:t>
              </w:r>
            </w:hyperlink>
          </w:p>
        </w:tc>
        <w:tc>
          <w:tcPr>
            <w:tcW w:w="120" w:type="dxa"/>
            <w:vAlign w:val="bottom"/>
            <w:gridSpan w:val="2"/>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66">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30+</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4"/>
              </w:rPr>
            </w:pPr>
            <w:hyperlink r:id="rId166">
              <w:r>
                <w:rPr>
                  <w:rFonts w:ascii="Arial" w:cs="Arial" w:eastAsia="Arial" w:hAnsi="Arial"/>
                  <w:sz w:val="16"/>
                  <w:szCs w:val="16"/>
                  <w:color w:val="0000EE"/>
                  <w:w w:val="94"/>
                </w:rPr>
                <w:t>Form of Amended and Restated Restricted Stock Award (Executive Compensation Plan – CSWC Employee</w:t>
              </w:r>
            </w:hyperlink>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w w:val="95"/>
              </w:rPr>
            </w:pPr>
            <w:hyperlink r:id="rId166">
              <w:r>
                <w:rPr>
                  <w:rFonts w:ascii="Arial" w:cs="Arial" w:eastAsia="Arial" w:hAnsi="Arial"/>
                  <w:sz w:val="16"/>
                  <w:szCs w:val="16"/>
                  <w:color w:val="0000EE"/>
                  <w:w w:val="95"/>
                </w:rPr>
                <w:t>Form) (incorporated by reference to Exhibit 10.11 to Form 10-Q (File No. 814-00061) filed on November 9,</w:t>
              </w:r>
            </w:hyperlink>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66">
              <w:r>
                <w:rPr>
                  <w:rFonts w:ascii="Arial" w:cs="Arial" w:eastAsia="Arial" w:hAnsi="Arial"/>
                  <w:sz w:val="16"/>
                  <w:szCs w:val="16"/>
                  <w:color w:val="0000EE"/>
                  <w:w w:val="83"/>
                </w:rPr>
                <w:t>2015).</w:t>
              </w:r>
            </w:hyperlink>
          </w:p>
        </w:tc>
        <w:tc>
          <w:tcPr>
            <w:tcW w:w="8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440" w:type="dxa"/>
            <w:vAlign w:val="bottom"/>
            <w:tcBorders>
              <w:bottom w:val="single" w:sz="8" w:color="0000EE"/>
            </w:tcBorders>
            <w:gridSpan w:val="3"/>
          </w:tcPr>
          <w:p>
            <w:pPr>
              <w:spacing w:after="0"/>
              <w:rPr>
                <w:rFonts w:ascii="Arial" w:cs="Arial" w:eastAsia="Arial" w:hAnsi="Arial"/>
                <w:sz w:val="16"/>
                <w:szCs w:val="16"/>
                <w:color w:val="0000EE"/>
                <w:w w:val="84"/>
              </w:rPr>
            </w:pPr>
            <w:hyperlink r:id="rId167">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31+</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Borders>
              <w:bottom w:val="single" w:sz="8" w:color="0000EE"/>
            </w:tcBorders>
            <w:gridSpan w:val="12"/>
          </w:tcPr>
          <w:p>
            <w:pPr>
              <w:spacing w:after="0"/>
              <w:rPr>
                <w:rFonts w:ascii="Arial" w:cs="Arial" w:eastAsia="Arial" w:hAnsi="Arial"/>
                <w:sz w:val="16"/>
                <w:szCs w:val="16"/>
                <w:color w:val="0000EE"/>
                <w:w w:val="91"/>
              </w:rPr>
            </w:pPr>
            <w:hyperlink r:id="rId167">
              <w:r>
                <w:rPr>
                  <w:rFonts w:ascii="Arial" w:cs="Arial" w:eastAsia="Arial" w:hAnsi="Arial"/>
                  <w:sz w:val="16"/>
                  <w:szCs w:val="16"/>
                  <w:color w:val="0000EE"/>
                  <w:w w:val="91"/>
                </w:rPr>
                <w:t>Form of Amended and Restated Restricted Stock Award (Executive Compensation Plan – CSWI Employee</w:t>
              </w:r>
            </w:hyperlink>
          </w:p>
        </w:tc>
        <w:tc>
          <w:tcPr>
            <w:tcW w:w="300" w:type="dxa"/>
            <w:vAlign w:val="bottom"/>
            <w:gridSpan w:val="9"/>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w w:val="95"/>
              </w:rPr>
            </w:pPr>
            <w:hyperlink r:id="rId167">
              <w:r>
                <w:rPr>
                  <w:rFonts w:ascii="Arial" w:cs="Arial" w:eastAsia="Arial" w:hAnsi="Arial"/>
                  <w:sz w:val="16"/>
                  <w:szCs w:val="16"/>
                  <w:color w:val="0000EE"/>
                  <w:w w:val="95"/>
                </w:rPr>
                <w:t>Form) (incorporated by reference to Exhibit 10.12 to Form 10-Q (File No. 814-00061) filed on November 9,</w:t>
              </w:r>
            </w:hyperlink>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83"/>
              </w:rPr>
            </w:pPr>
            <w:hyperlink r:id="rId167">
              <w:r>
                <w:rPr>
                  <w:rFonts w:ascii="Arial" w:cs="Arial" w:eastAsia="Arial" w:hAnsi="Arial"/>
                  <w:sz w:val="16"/>
                  <w:szCs w:val="16"/>
                  <w:color w:val="0000EE"/>
                  <w:w w:val="83"/>
                </w:rPr>
                <w:t>2015).</w:t>
              </w:r>
            </w:hyperlink>
          </w:p>
        </w:tc>
        <w:tc>
          <w:tcPr>
            <w:tcW w:w="8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3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440" w:type="dxa"/>
            <w:vAlign w:val="bottom"/>
            <w:gridSpan w:val="3"/>
          </w:tcPr>
          <w:p>
            <w:pPr>
              <w:spacing w:after="0"/>
              <w:rPr>
                <w:rFonts w:ascii="Arial" w:cs="Arial" w:eastAsia="Arial" w:hAnsi="Arial"/>
                <w:sz w:val="16"/>
                <w:szCs w:val="16"/>
                <w:color w:val="0000EE"/>
                <w:w w:val="84"/>
              </w:rPr>
            </w:pPr>
            <w:hyperlink r:id="rId168">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32+</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rPr>
            </w:pPr>
            <w:hyperlink r:id="rId168">
              <w:r>
                <w:rPr>
                  <w:rFonts w:ascii="Arial" w:cs="Arial" w:eastAsia="Arial" w:hAnsi="Arial"/>
                  <w:sz w:val="16"/>
                  <w:szCs w:val="16"/>
                  <w:color w:val="0000EE"/>
                </w:rPr>
                <w:t>Form of Amended and Restated Cash Incentive Award Agreement (Executive Compensation Plan)</w:t>
              </w:r>
            </w:hyperlink>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40" w:type="dxa"/>
            <w:vAlign w:val="bottom"/>
            <w:gridSpan w:val="21"/>
          </w:tcPr>
          <w:p>
            <w:pPr>
              <w:spacing w:after="0" w:line="183" w:lineRule="exact"/>
              <w:rPr>
                <w:rFonts w:ascii="Arial" w:cs="Arial" w:eastAsia="Arial" w:hAnsi="Arial"/>
                <w:sz w:val="16"/>
                <w:szCs w:val="16"/>
                <w:color w:val="0000EE"/>
                <w:w w:val="95"/>
              </w:rPr>
            </w:pPr>
            <w:hyperlink r:id="rId168">
              <w:r>
                <w:rPr>
                  <w:rFonts w:ascii="Arial" w:cs="Arial" w:eastAsia="Arial" w:hAnsi="Arial"/>
                  <w:sz w:val="16"/>
                  <w:szCs w:val="16"/>
                  <w:color w:val="0000EE"/>
                  <w:w w:val="95"/>
                </w:rPr>
                <w:t>(incorporated by reference to Exhibit 10.13 to Form 10-Q (File No. 814-00061) filed on November 9, 2015).</w:t>
              </w:r>
            </w:hyperlink>
          </w:p>
        </w:tc>
      </w:tr>
      <w:tr>
        <w:trPr>
          <w:trHeight w:val="20"/>
        </w:trPr>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3780" w:type="dxa"/>
            <w:vAlign w:val="bottom"/>
            <w:gridSpan w:val="1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85"/>
        </w:trPr>
        <w:tc>
          <w:tcPr>
            <w:tcW w:w="360" w:type="dxa"/>
            <w:vAlign w:val="bottom"/>
            <w:gridSpan w:val="2"/>
          </w:tcPr>
          <w:p>
            <w:pPr>
              <w:spacing w:after="0"/>
              <w:rPr>
                <w:rFonts w:ascii="Arial" w:cs="Arial" w:eastAsia="Arial" w:hAnsi="Arial"/>
                <w:sz w:val="16"/>
                <w:szCs w:val="16"/>
                <w:color w:val="0000EE"/>
                <w:w w:val="84"/>
              </w:rPr>
            </w:pPr>
            <w:hyperlink r:id="rId169">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21"/>
          </w:tcPr>
          <w:p>
            <w:pPr>
              <w:spacing w:after="0"/>
              <w:rPr>
                <w:rFonts w:ascii="Arial" w:cs="Arial" w:eastAsia="Arial" w:hAnsi="Arial"/>
                <w:sz w:val="16"/>
                <w:szCs w:val="16"/>
                <w:color w:val="0000EE"/>
                <w:w w:val="93"/>
              </w:rPr>
            </w:pPr>
            <w:hyperlink r:id="rId169">
              <w:r>
                <w:rPr>
                  <w:rFonts w:ascii="Arial" w:cs="Arial" w:eastAsia="Arial" w:hAnsi="Arial"/>
                  <w:sz w:val="16"/>
                  <w:szCs w:val="16"/>
                  <w:color w:val="0000EE"/>
                  <w:w w:val="93"/>
                </w:rPr>
                <w:t>I-45 SLF LLC Agreement dated September 9, 2015 (incorporated by reference to Exhibit 10.14 to Form 10-Q</w:t>
              </w:r>
            </w:hyperlink>
          </w:p>
        </w:tc>
      </w:tr>
      <w:tr>
        <w:trPr>
          <w:trHeight w:val="183"/>
        </w:trPr>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00" w:type="dxa"/>
            <w:vAlign w:val="bottom"/>
            <w:tcBorders>
              <w:top w:val="single" w:sz="8" w:color="0000EE"/>
            </w:tcBorders>
            <w:gridSpan w:val="18"/>
          </w:tcPr>
          <w:p>
            <w:pPr>
              <w:spacing w:after="0" w:line="183" w:lineRule="exact"/>
              <w:rPr>
                <w:rFonts w:ascii="Arial" w:cs="Arial" w:eastAsia="Arial" w:hAnsi="Arial"/>
                <w:sz w:val="16"/>
                <w:szCs w:val="16"/>
                <w:color w:val="0000EE"/>
              </w:rPr>
            </w:pPr>
            <w:hyperlink r:id="rId169">
              <w:r>
                <w:rPr>
                  <w:rFonts w:ascii="Arial" w:cs="Arial" w:eastAsia="Arial" w:hAnsi="Arial"/>
                  <w:sz w:val="16"/>
                  <w:szCs w:val="16"/>
                  <w:color w:val="0000EE"/>
                </w:rPr>
                <w:t>(File No. 814-00061) filed on November 9, 2015).</w:t>
              </w:r>
            </w:hyperlink>
          </w:p>
        </w:tc>
        <w:tc>
          <w:tcPr>
            <w:tcW w:w="140" w:type="dxa"/>
            <w:vAlign w:val="bottom"/>
            <w:gridSpan w:val="3"/>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1140" w:type="dxa"/>
            <w:vAlign w:val="bottom"/>
            <w:gridSpan w:val="4"/>
          </w:tcPr>
          <w:p>
            <w:pPr>
              <w:spacing w:after="0"/>
              <w:rPr>
                <w:sz w:val="20"/>
                <w:szCs w:val="20"/>
                <w:color w:val="auto"/>
              </w:rPr>
            </w:pPr>
            <w:r>
              <w:rPr>
                <w:rFonts w:ascii="Arial" w:cs="Arial" w:eastAsia="Arial" w:hAnsi="Arial"/>
                <w:sz w:val="16"/>
                <w:szCs w:val="16"/>
                <w:color w:val="auto"/>
              </w:rPr>
              <w:t>Exhibit No.</w:t>
            </w:r>
          </w:p>
        </w:tc>
        <w:tc>
          <w:tcPr>
            <w:tcW w:w="7260" w:type="dxa"/>
            <w:vAlign w:val="bottom"/>
            <w:gridSpan w:val="33"/>
          </w:tcPr>
          <w:p>
            <w:pPr>
              <w:spacing w:after="0"/>
              <w:rPr>
                <w:sz w:val="20"/>
                <w:szCs w:val="20"/>
                <w:color w:val="auto"/>
              </w:rPr>
            </w:pPr>
            <w:r>
              <w:rPr>
                <w:rFonts w:ascii="Arial" w:cs="Arial" w:eastAsia="Arial" w:hAnsi="Arial"/>
                <w:sz w:val="16"/>
                <w:szCs w:val="16"/>
                <w:color w:val="auto"/>
              </w:rPr>
              <w:t>Description</w:t>
            </w:r>
          </w:p>
        </w:tc>
      </w:tr>
      <w:tr>
        <w:trPr>
          <w:trHeight w:val="361"/>
        </w:trPr>
        <w:tc>
          <w:tcPr>
            <w:tcW w:w="360" w:type="dxa"/>
            <w:vAlign w:val="bottom"/>
            <w:tcBorders>
              <w:top w:val="single" w:sz="8" w:color="auto"/>
              <w:bottom w:val="single" w:sz="8" w:color="0000EE"/>
            </w:tcBorders>
          </w:tcPr>
          <w:p>
            <w:pPr>
              <w:spacing w:after="0"/>
              <w:rPr>
                <w:rFonts w:ascii="Arial" w:cs="Arial" w:eastAsia="Arial" w:hAnsi="Arial"/>
                <w:sz w:val="16"/>
                <w:szCs w:val="16"/>
                <w:color w:val="0000EE"/>
                <w:w w:val="84"/>
              </w:rPr>
            </w:pPr>
            <w:hyperlink r:id="rId171">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34</w:t>
              </w:r>
            </w:hyperlink>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tcBorders>
              <w:top w:val="single" w:sz="8" w:color="auto"/>
              <w:bottom w:val="single" w:sz="8" w:color="0000EE"/>
            </w:tcBorders>
            <w:gridSpan w:val="16"/>
          </w:tcPr>
          <w:p>
            <w:pPr>
              <w:spacing w:after="0"/>
              <w:rPr>
                <w:rFonts w:ascii="Arial" w:cs="Arial" w:eastAsia="Arial" w:hAnsi="Arial"/>
                <w:sz w:val="16"/>
                <w:szCs w:val="16"/>
                <w:color w:val="0000EE"/>
                <w:w w:val="90"/>
              </w:rPr>
            </w:pPr>
            <w:hyperlink r:id="rId171">
              <w:r>
                <w:rPr>
                  <w:rFonts w:ascii="Arial" w:cs="Arial" w:eastAsia="Arial" w:hAnsi="Arial"/>
                  <w:sz w:val="16"/>
                  <w:szCs w:val="16"/>
                  <w:color w:val="0000EE"/>
                  <w:w w:val="90"/>
                </w:rPr>
                <w:t>Guarantee, Pledge and Security Agreement dated August 30, 2016, among the Company, the subsidiary</w:t>
              </w:r>
            </w:hyperlink>
          </w:p>
        </w:tc>
        <w:tc>
          <w:tcPr>
            <w:tcW w:w="500" w:type="dxa"/>
            <w:vAlign w:val="bottom"/>
            <w:tcBorders>
              <w:top w:val="single" w:sz="8" w:color="auto"/>
            </w:tcBorders>
            <w:gridSpan w:val="17"/>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40" w:type="dxa"/>
            <w:vAlign w:val="bottom"/>
            <w:tcBorders>
              <w:bottom w:val="single" w:sz="8" w:color="0000EE"/>
            </w:tcBorders>
            <w:gridSpan w:val="20"/>
          </w:tcPr>
          <w:p>
            <w:pPr>
              <w:spacing w:after="0" w:line="183" w:lineRule="exact"/>
              <w:rPr>
                <w:rFonts w:ascii="Arial" w:cs="Arial" w:eastAsia="Arial" w:hAnsi="Arial"/>
                <w:sz w:val="16"/>
                <w:szCs w:val="16"/>
                <w:color w:val="0000EE"/>
                <w:w w:val="90"/>
              </w:rPr>
            </w:pPr>
            <w:hyperlink r:id="rId171">
              <w:r>
                <w:rPr>
                  <w:rFonts w:ascii="Arial" w:cs="Arial" w:eastAsia="Arial" w:hAnsi="Arial"/>
                  <w:sz w:val="16"/>
                  <w:szCs w:val="16"/>
                  <w:color w:val="0000EE"/>
                  <w:w w:val="90"/>
                </w:rPr>
                <w:t>guarantors thereto, ING Capital LLC, and each financing agent and designated indebtedness holder thereto</w:t>
              </w:r>
            </w:hyperlink>
          </w:p>
        </w:tc>
        <w:tc>
          <w:tcPr>
            <w:tcW w:w="320" w:type="dxa"/>
            <w:vAlign w:val="bottom"/>
            <w:gridSpan w:val="13"/>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00" w:type="dxa"/>
            <w:vAlign w:val="bottom"/>
            <w:tcBorders>
              <w:bottom w:val="single" w:sz="8" w:color="0000EE"/>
            </w:tcBorders>
            <w:gridSpan w:val="18"/>
          </w:tcPr>
          <w:p>
            <w:pPr>
              <w:spacing w:after="0" w:line="183" w:lineRule="exact"/>
              <w:rPr>
                <w:rFonts w:ascii="Arial" w:cs="Arial" w:eastAsia="Arial" w:hAnsi="Arial"/>
                <w:sz w:val="16"/>
                <w:szCs w:val="16"/>
                <w:color w:val="0000EE"/>
                <w:w w:val="92"/>
              </w:rPr>
            </w:pPr>
            <w:hyperlink r:id="rId171">
              <w:r>
                <w:rPr>
                  <w:rFonts w:ascii="Arial" w:cs="Arial" w:eastAsia="Arial" w:hAnsi="Arial"/>
                  <w:sz w:val="16"/>
                  <w:szCs w:val="16"/>
                  <w:color w:val="0000EE"/>
                  <w:w w:val="92"/>
                </w:rPr>
                <w:t>(incorporated by reference to Exhibit 10.2 to Form 8-K (File No. 814-00061) filed on September 2, 2016).</w:t>
              </w:r>
            </w:hyperlink>
          </w:p>
        </w:tc>
        <w:tc>
          <w:tcPr>
            <w:tcW w:w="360" w:type="dxa"/>
            <w:vAlign w:val="bottom"/>
            <w:gridSpan w:val="15"/>
          </w:tcPr>
          <w:p>
            <w:pPr>
              <w:spacing w:after="0"/>
              <w:rPr>
                <w:sz w:val="15"/>
                <w:szCs w:val="15"/>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84"/>
              </w:rPr>
            </w:pPr>
            <w:hyperlink r:id="rId172">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35</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0" w:type="dxa"/>
            <w:vAlign w:val="bottom"/>
            <w:tcBorders>
              <w:bottom w:val="single" w:sz="8" w:color="0000EE"/>
            </w:tcBorders>
            <w:gridSpan w:val="22"/>
          </w:tcPr>
          <w:p>
            <w:pPr>
              <w:spacing w:after="0"/>
              <w:rPr>
                <w:rFonts w:ascii="Arial" w:cs="Arial" w:eastAsia="Arial" w:hAnsi="Arial"/>
                <w:sz w:val="16"/>
                <w:szCs w:val="16"/>
                <w:color w:val="0000EE"/>
                <w:w w:val="91"/>
              </w:rPr>
            </w:pPr>
            <w:hyperlink r:id="rId172">
              <w:r>
                <w:rPr>
                  <w:rFonts w:ascii="Arial" w:cs="Arial" w:eastAsia="Arial" w:hAnsi="Arial"/>
                  <w:sz w:val="16"/>
                  <w:szCs w:val="16"/>
                  <w:color w:val="0000EE"/>
                  <w:w w:val="91"/>
                </w:rPr>
                <w:t>Senior Secured Revolving Credit Agreement dated August 30, 2016, among the Company, the lenders party</w:t>
              </w:r>
            </w:hyperlink>
          </w:p>
        </w:tc>
        <w:tc>
          <w:tcPr>
            <w:tcW w:w="260" w:type="dxa"/>
            <w:vAlign w:val="bottom"/>
            <w:gridSpan w:val="11"/>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60" w:type="dxa"/>
            <w:vAlign w:val="bottom"/>
            <w:tcBorders>
              <w:bottom w:val="single" w:sz="8" w:color="0000EE"/>
            </w:tcBorders>
            <w:gridSpan w:val="29"/>
          </w:tcPr>
          <w:p>
            <w:pPr>
              <w:spacing w:after="0" w:line="183" w:lineRule="exact"/>
              <w:rPr>
                <w:rFonts w:ascii="Arial" w:cs="Arial" w:eastAsia="Arial" w:hAnsi="Arial"/>
                <w:sz w:val="16"/>
                <w:szCs w:val="16"/>
                <w:color w:val="0000EE"/>
                <w:w w:val="93"/>
              </w:rPr>
            </w:pPr>
            <w:hyperlink r:id="rId172">
              <w:r>
                <w:rPr>
                  <w:rFonts w:ascii="Arial" w:cs="Arial" w:eastAsia="Arial" w:hAnsi="Arial"/>
                  <w:sz w:val="16"/>
                  <w:szCs w:val="16"/>
                  <w:color w:val="0000EE"/>
                  <w:w w:val="93"/>
                </w:rPr>
                <w:t>thereto, ING Capital LLC and Texas Capital Bank, N.A. (incorporated by reference to Exhibit 10.1 to Form 8-</w:t>
              </w:r>
            </w:hyperlink>
          </w:p>
        </w:tc>
        <w:tc>
          <w:tcPr>
            <w:tcW w:w="100" w:type="dxa"/>
            <w:vAlign w:val="bottom"/>
            <w:gridSpan w:val="4"/>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Borders>
              <w:bottom w:val="single" w:sz="8" w:color="0000EE"/>
            </w:tcBorders>
            <w:gridSpan w:val="9"/>
          </w:tcPr>
          <w:p>
            <w:pPr>
              <w:spacing w:after="0" w:line="183" w:lineRule="exact"/>
              <w:rPr>
                <w:rFonts w:ascii="Arial" w:cs="Arial" w:eastAsia="Arial" w:hAnsi="Arial"/>
                <w:sz w:val="16"/>
                <w:szCs w:val="16"/>
                <w:color w:val="0000EE"/>
                <w:w w:val="92"/>
              </w:rPr>
            </w:pPr>
            <w:hyperlink r:id="rId172">
              <w:r>
                <w:rPr>
                  <w:rFonts w:ascii="Arial" w:cs="Arial" w:eastAsia="Arial" w:hAnsi="Arial"/>
                  <w:sz w:val="16"/>
                  <w:szCs w:val="16"/>
                  <w:color w:val="0000EE"/>
                  <w:w w:val="92"/>
                </w:rPr>
                <w:t>K (File No. 814-00061) filed on September 2, 2016).</w:t>
              </w:r>
            </w:hyperlink>
          </w:p>
        </w:tc>
        <w:tc>
          <w:tcPr>
            <w:tcW w:w="3820" w:type="dxa"/>
            <w:vAlign w:val="bottom"/>
            <w:gridSpan w:val="24"/>
          </w:tcPr>
          <w:p>
            <w:pPr>
              <w:spacing w:after="0"/>
              <w:rPr>
                <w:sz w:val="15"/>
                <w:szCs w:val="15"/>
                <w:color w:val="auto"/>
              </w:rPr>
            </w:pPr>
          </w:p>
        </w:tc>
      </w:tr>
      <w:tr>
        <w:trPr>
          <w:trHeight w:val="385"/>
        </w:trPr>
        <w:tc>
          <w:tcPr>
            <w:tcW w:w="360" w:type="dxa"/>
            <w:vAlign w:val="bottom"/>
          </w:tcPr>
          <w:p>
            <w:pPr>
              <w:spacing w:after="0"/>
              <w:rPr>
                <w:rFonts w:ascii="Arial" w:cs="Arial" w:eastAsia="Arial" w:hAnsi="Arial"/>
                <w:sz w:val="16"/>
                <w:szCs w:val="16"/>
                <w:color w:val="0000EE"/>
                <w:w w:val="84"/>
              </w:rPr>
            </w:pPr>
            <w:hyperlink r:id="rId173">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36</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33"/>
          </w:tcPr>
          <w:p>
            <w:pPr>
              <w:spacing w:after="0"/>
              <w:rPr>
                <w:rFonts w:ascii="Arial" w:cs="Arial" w:eastAsia="Arial" w:hAnsi="Arial"/>
                <w:sz w:val="16"/>
                <w:szCs w:val="16"/>
                <w:color w:val="0000EE"/>
                <w:w w:val="98"/>
              </w:rPr>
            </w:pPr>
            <w:hyperlink r:id="rId174">
              <w:r>
                <w:rPr>
                  <w:rFonts w:ascii="Arial" w:cs="Arial" w:eastAsia="Arial" w:hAnsi="Arial"/>
                  <w:sz w:val="16"/>
                  <w:szCs w:val="16"/>
                  <w:color w:val="0000EE"/>
                  <w:w w:val="98"/>
                </w:rPr>
                <w:t>Incremental Assumption Agreement, dated August 18, 2017, among the Company, ING Capital LLC and</w:t>
              </w:r>
            </w:hyperlink>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00" w:type="dxa"/>
            <w:vAlign w:val="bottom"/>
            <w:tcBorders>
              <w:bottom w:val="single" w:sz="8" w:color="0000EE"/>
            </w:tcBorders>
            <w:gridSpan w:val="18"/>
          </w:tcPr>
          <w:p>
            <w:pPr>
              <w:spacing w:after="0" w:line="183" w:lineRule="exact"/>
              <w:rPr>
                <w:rFonts w:ascii="Arial" w:cs="Arial" w:eastAsia="Arial" w:hAnsi="Arial"/>
                <w:sz w:val="16"/>
                <w:szCs w:val="16"/>
                <w:color w:val="0000EE"/>
                <w:w w:val="92"/>
              </w:rPr>
            </w:pPr>
            <w:hyperlink r:id="rId174">
              <w:r>
                <w:rPr>
                  <w:rFonts w:ascii="Arial" w:cs="Arial" w:eastAsia="Arial" w:hAnsi="Arial"/>
                  <w:sz w:val="16"/>
                  <w:szCs w:val="16"/>
                  <w:color w:val="0000EE"/>
                  <w:w w:val="92"/>
                </w:rPr>
                <w:t>LegacyTexas Bank (incorporated by reference to Exhibit 10.2 to Form 10-Q (File No. 814-00061) filed on</w:t>
              </w:r>
            </w:hyperlink>
          </w:p>
        </w:tc>
        <w:tc>
          <w:tcPr>
            <w:tcW w:w="360" w:type="dxa"/>
            <w:vAlign w:val="bottom"/>
            <w:gridSpan w:val="15"/>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gridSpan w:val="33"/>
          </w:tcPr>
          <w:p>
            <w:pPr>
              <w:spacing w:after="0" w:line="183" w:lineRule="exact"/>
              <w:rPr>
                <w:rFonts w:ascii="Arial" w:cs="Arial" w:eastAsia="Arial" w:hAnsi="Arial"/>
                <w:sz w:val="16"/>
                <w:szCs w:val="16"/>
                <w:color w:val="0000EE"/>
              </w:rPr>
            </w:pPr>
            <w:hyperlink r:id="rId174">
              <w:r>
                <w:rPr>
                  <w:rFonts w:ascii="Arial" w:cs="Arial" w:eastAsia="Arial" w:hAnsi="Arial"/>
                  <w:sz w:val="16"/>
                  <w:szCs w:val="16"/>
                  <w:color w:val="0000EE"/>
                </w:rPr>
                <w:t>November 7, 2017).</w:t>
              </w:r>
            </w:hyperlink>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84"/>
              </w:rPr>
            </w:pPr>
            <w:hyperlink r:id="rId175">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37</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tcBorders>
              <w:bottom w:val="single" w:sz="8" w:color="0000EE"/>
            </w:tcBorders>
            <w:gridSpan w:val="26"/>
          </w:tcPr>
          <w:p>
            <w:pPr>
              <w:spacing w:after="0"/>
              <w:rPr>
                <w:rFonts w:ascii="Arial" w:cs="Arial" w:eastAsia="Arial" w:hAnsi="Arial"/>
                <w:sz w:val="16"/>
                <w:szCs w:val="16"/>
                <w:color w:val="0000EE"/>
                <w:w w:val="91"/>
              </w:rPr>
            </w:pPr>
            <w:hyperlink r:id="rId175">
              <w:r>
                <w:rPr>
                  <w:rFonts w:ascii="Arial" w:cs="Arial" w:eastAsia="Arial" w:hAnsi="Arial"/>
                  <w:sz w:val="16"/>
                  <w:szCs w:val="16"/>
                  <w:color w:val="0000EE"/>
                  <w:w w:val="91"/>
                </w:rPr>
                <w:t>Amendment No. 1 to the Senior Secured Revolving Credit Agreement, dated November 16, 2017, among the</w:t>
              </w:r>
            </w:hyperlink>
          </w:p>
        </w:tc>
        <w:tc>
          <w:tcPr>
            <w:tcW w:w="180" w:type="dxa"/>
            <w:vAlign w:val="bottom"/>
            <w:gridSpan w:val="7"/>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gridSpan w:val="33"/>
          </w:tcPr>
          <w:p>
            <w:pPr>
              <w:spacing w:after="0" w:line="183" w:lineRule="exact"/>
              <w:rPr>
                <w:rFonts w:ascii="Arial" w:cs="Arial" w:eastAsia="Arial" w:hAnsi="Arial"/>
                <w:sz w:val="16"/>
                <w:szCs w:val="16"/>
                <w:color w:val="0000EE"/>
                <w:w w:val="94"/>
              </w:rPr>
            </w:pPr>
            <w:hyperlink r:id="rId175">
              <w:r>
                <w:rPr>
                  <w:rFonts w:ascii="Arial" w:cs="Arial" w:eastAsia="Arial" w:hAnsi="Arial"/>
                  <w:sz w:val="16"/>
                  <w:szCs w:val="16"/>
                  <w:color w:val="0000EE"/>
                  <w:w w:val="94"/>
                </w:rPr>
                <w:t>Company, the lenders party thereto, ING Capital LLC and the subsidiary guarantors thereto (incorporated by</w:t>
              </w:r>
            </w:hyperlink>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60" w:type="dxa"/>
            <w:vAlign w:val="bottom"/>
            <w:tcBorders>
              <w:top w:val="single" w:sz="8" w:color="0000EE"/>
              <w:bottom w:val="single" w:sz="8" w:color="0000EE"/>
            </w:tcBorders>
            <w:gridSpan w:val="14"/>
          </w:tcPr>
          <w:p>
            <w:pPr>
              <w:spacing w:after="0" w:line="183" w:lineRule="exact"/>
              <w:rPr>
                <w:rFonts w:ascii="Arial" w:cs="Arial" w:eastAsia="Arial" w:hAnsi="Arial"/>
                <w:sz w:val="16"/>
                <w:szCs w:val="16"/>
                <w:color w:val="0000EE"/>
                <w:w w:val="93"/>
              </w:rPr>
            </w:pPr>
            <w:hyperlink r:id="rId175">
              <w:r>
                <w:rPr>
                  <w:rFonts w:ascii="Arial" w:cs="Arial" w:eastAsia="Arial" w:hAnsi="Arial"/>
                  <w:sz w:val="16"/>
                  <w:szCs w:val="16"/>
                  <w:color w:val="0000EE"/>
                  <w:w w:val="93"/>
                </w:rPr>
                <w:t>reference to Exhibit 10.1 to Form 8-K (File No. 814-00061) filed on November 17, 2017).</w:t>
              </w:r>
            </w:hyperlink>
          </w:p>
        </w:tc>
        <w:tc>
          <w:tcPr>
            <w:tcW w:w="1180" w:type="dxa"/>
            <w:vAlign w:val="bottom"/>
            <w:tcBorders>
              <w:top w:val="single" w:sz="8" w:color="0000EE"/>
            </w:tcBorders>
            <w:gridSpan w:val="10"/>
          </w:tcPr>
          <w:p>
            <w:pPr>
              <w:spacing w:after="0"/>
              <w:rPr>
                <w:sz w:val="15"/>
                <w:szCs w:val="15"/>
                <w:color w:val="auto"/>
              </w:rPr>
            </w:pPr>
          </w:p>
        </w:tc>
        <w:tc>
          <w:tcPr>
            <w:tcW w:w="220" w:type="dxa"/>
            <w:vAlign w:val="bottom"/>
            <w:gridSpan w:val="9"/>
          </w:tcPr>
          <w:p>
            <w:pPr>
              <w:spacing w:after="0"/>
              <w:rPr>
                <w:sz w:val="15"/>
                <w:szCs w:val="15"/>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84"/>
              </w:rPr>
            </w:pPr>
            <w:hyperlink r:id="rId176">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38</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20" w:type="dxa"/>
            <w:vAlign w:val="bottom"/>
            <w:tcBorders>
              <w:bottom w:val="single" w:sz="8" w:color="0000EE"/>
            </w:tcBorders>
            <w:gridSpan w:val="31"/>
          </w:tcPr>
          <w:p>
            <w:pPr>
              <w:spacing w:after="0"/>
              <w:rPr>
                <w:rFonts w:ascii="Arial" w:cs="Arial" w:eastAsia="Arial" w:hAnsi="Arial"/>
                <w:sz w:val="16"/>
                <w:szCs w:val="16"/>
                <w:color w:val="0000EE"/>
                <w:w w:val="93"/>
              </w:rPr>
            </w:pPr>
            <w:hyperlink r:id="rId176">
              <w:r>
                <w:rPr>
                  <w:rFonts w:ascii="Arial" w:cs="Arial" w:eastAsia="Arial" w:hAnsi="Arial"/>
                  <w:sz w:val="16"/>
                  <w:szCs w:val="16"/>
                  <w:color w:val="0000EE"/>
                  <w:w w:val="93"/>
                </w:rPr>
                <w:t>Incremental Assumption Agreement, dated April 16, 2018, among the Company, ING Capital LLC and Hitachi</w:t>
              </w:r>
            </w:hyperlink>
          </w:p>
        </w:tc>
        <w:tc>
          <w:tcPr>
            <w:tcW w:w="40" w:type="dxa"/>
            <w:vAlign w:val="bottom"/>
            <w:gridSpan w:val="2"/>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60" w:type="dxa"/>
            <w:vAlign w:val="bottom"/>
            <w:tcBorders>
              <w:bottom w:val="single" w:sz="8" w:color="0000EE"/>
            </w:tcBorders>
            <w:gridSpan w:val="25"/>
          </w:tcPr>
          <w:p>
            <w:pPr>
              <w:spacing w:after="0" w:line="183" w:lineRule="exact"/>
              <w:rPr>
                <w:rFonts w:ascii="Arial" w:cs="Arial" w:eastAsia="Arial" w:hAnsi="Arial"/>
                <w:sz w:val="16"/>
                <w:szCs w:val="16"/>
                <w:color w:val="0000EE"/>
                <w:w w:val="93"/>
              </w:rPr>
            </w:pPr>
            <w:hyperlink r:id="rId176">
              <w:r>
                <w:rPr>
                  <w:rFonts w:ascii="Arial" w:cs="Arial" w:eastAsia="Arial" w:hAnsi="Arial"/>
                  <w:sz w:val="16"/>
                  <w:szCs w:val="16"/>
                  <w:color w:val="0000EE"/>
                  <w:w w:val="93"/>
                </w:rPr>
                <w:t>Capital America Corp. (incorporated by reference to Exhibit 10.1 to Form 8-K (File No. 814-00061) filed on</w:t>
              </w:r>
            </w:hyperlink>
          </w:p>
        </w:tc>
        <w:tc>
          <w:tcPr>
            <w:tcW w:w="200" w:type="dxa"/>
            <w:vAlign w:val="bottom"/>
            <w:gridSpan w:val="8"/>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gridSpan w:val="33"/>
          </w:tcPr>
          <w:p>
            <w:pPr>
              <w:spacing w:after="0" w:line="183" w:lineRule="exact"/>
              <w:rPr>
                <w:rFonts w:ascii="Arial" w:cs="Arial" w:eastAsia="Arial" w:hAnsi="Arial"/>
                <w:sz w:val="16"/>
                <w:szCs w:val="16"/>
                <w:color w:val="0000EE"/>
              </w:rPr>
            </w:pPr>
            <w:hyperlink r:id="rId176">
              <w:r>
                <w:rPr>
                  <w:rFonts w:ascii="Arial" w:cs="Arial" w:eastAsia="Arial" w:hAnsi="Arial"/>
                  <w:sz w:val="16"/>
                  <w:szCs w:val="16"/>
                  <w:color w:val="0000EE"/>
                </w:rPr>
                <w:t>April 17, 2018).</w:t>
              </w:r>
            </w:hyperlink>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60" w:type="dxa"/>
            <w:vAlign w:val="bottom"/>
          </w:tcPr>
          <w:p>
            <w:pPr>
              <w:spacing w:after="0"/>
              <w:rPr>
                <w:rFonts w:ascii="Arial" w:cs="Arial" w:eastAsia="Arial" w:hAnsi="Arial"/>
                <w:sz w:val="16"/>
                <w:szCs w:val="16"/>
                <w:color w:val="0000EE"/>
                <w:w w:val="84"/>
              </w:rPr>
            </w:pPr>
            <w:hyperlink r:id="rId173">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39</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33"/>
          </w:tcPr>
          <w:p>
            <w:pPr>
              <w:spacing w:after="0"/>
              <w:rPr>
                <w:rFonts w:ascii="Arial" w:cs="Arial" w:eastAsia="Arial" w:hAnsi="Arial"/>
                <w:sz w:val="16"/>
                <w:szCs w:val="16"/>
                <w:color w:val="0000EE"/>
                <w:w w:val="97"/>
              </w:rPr>
            </w:pPr>
            <w:hyperlink r:id="rId173">
              <w:r>
                <w:rPr>
                  <w:rFonts w:ascii="Arial" w:cs="Arial" w:eastAsia="Arial" w:hAnsi="Arial"/>
                  <w:sz w:val="16"/>
                  <w:szCs w:val="16"/>
                  <w:color w:val="0000EE"/>
                  <w:w w:val="97"/>
                </w:rPr>
                <w:t>Incremental Assumption Agreement, dated as of May 11, 2018 among Capital Southwest Corporation, as</w:t>
              </w:r>
            </w:hyperlink>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0" w:type="dxa"/>
            <w:vAlign w:val="bottom"/>
            <w:tcBorders>
              <w:bottom w:val="single" w:sz="8" w:color="0000EE"/>
            </w:tcBorders>
            <w:gridSpan w:val="30"/>
          </w:tcPr>
          <w:p>
            <w:pPr>
              <w:spacing w:after="0" w:line="183" w:lineRule="exact"/>
              <w:rPr>
                <w:rFonts w:ascii="Arial" w:cs="Arial" w:eastAsia="Arial" w:hAnsi="Arial"/>
                <w:sz w:val="16"/>
                <w:szCs w:val="16"/>
                <w:color w:val="0000EE"/>
                <w:w w:val="93"/>
              </w:rPr>
            </w:pPr>
            <w:hyperlink r:id="rId173">
              <w:r>
                <w:rPr>
                  <w:rFonts w:ascii="Arial" w:cs="Arial" w:eastAsia="Arial" w:hAnsi="Arial"/>
                  <w:sz w:val="16"/>
                  <w:szCs w:val="16"/>
                  <w:color w:val="0000EE"/>
                  <w:w w:val="93"/>
                </w:rPr>
                <w:t>Borrower, and ING Capital LLC, as Administrative Agent and Increasing Lender (incorporated by reference to</w:t>
              </w:r>
            </w:hyperlink>
          </w:p>
        </w:tc>
        <w:tc>
          <w:tcPr>
            <w:tcW w:w="60" w:type="dxa"/>
            <w:vAlign w:val="bottom"/>
            <w:gridSpan w:val="3"/>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60" w:type="dxa"/>
            <w:vAlign w:val="bottom"/>
            <w:tcBorders>
              <w:bottom w:val="single" w:sz="8" w:color="0000EE"/>
            </w:tcBorders>
            <w:gridSpan w:val="11"/>
          </w:tcPr>
          <w:p>
            <w:pPr>
              <w:spacing w:after="0" w:line="183" w:lineRule="exact"/>
              <w:rPr>
                <w:rFonts w:ascii="Arial" w:cs="Arial" w:eastAsia="Arial" w:hAnsi="Arial"/>
                <w:sz w:val="16"/>
                <w:szCs w:val="16"/>
                <w:color w:val="0000EE"/>
                <w:w w:val="94"/>
              </w:rPr>
            </w:pPr>
            <w:hyperlink r:id="rId173">
              <w:r>
                <w:rPr>
                  <w:rFonts w:ascii="Arial" w:cs="Arial" w:eastAsia="Arial" w:hAnsi="Arial"/>
                  <w:sz w:val="16"/>
                  <w:szCs w:val="16"/>
                  <w:color w:val="0000EE"/>
                  <w:w w:val="94"/>
                </w:rPr>
                <w:t>Exhibit 10.1 to Form 8-K (File No. 814-00061) filed on May 14, 2018).</w:t>
              </w:r>
            </w:hyperlink>
          </w:p>
        </w:tc>
        <w:tc>
          <w:tcPr>
            <w:tcW w:w="2600" w:type="dxa"/>
            <w:vAlign w:val="bottom"/>
            <w:gridSpan w:val="22"/>
          </w:tcPr>
          <w:p>
            <w:pPr>
              <w:spacing w:after="0"/>
              <w:rPr>
                <w:sz w:val="15"/>
                <w:szCs w:val="15"/>
                <w:color w:val="auto"/>
              </w:rPr>
            </w:pPr>
          </w:p>
        </w:tc>
      </w:tr>
      <w:tr>
        <w:trPr>
          <w:trHeight w:val="399"/>
        </w:trPr>
        <w:tc>
          <w:tcPr>
            <w:tcW w:w="44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30">
              <w:r>
                <w:rPr>
                  <w:rFonts w:ascii="Arial" w:cs="Arial" w:eastAsia="Arial" w:hAnsi="Arial"/>
                  <w:sz w:val="16"/>
                  <w:szCs w:val="16"/>
                  <w:color w:val="0000EE"/>
                  <w:w w:val="90"/>
                </w:rPr>
                <w:t>10.</w:t>
              </w:r>
              <w:r>
                <w:rPr>
                  <w:rFonts w:ascii="Arial" w:cs="Arial" w:eastAsia="Arial" w:hAnsi="Arial"/>
                  <w:sz w:val="16"/>
                  <w:szCs w:val="16"/>
                  <w:u w:val="single" w:color="auto"/>
                  <w:color w:val="0000EE"/>
                  <w:w w:val="90"/>
                </w:rPr>
                <w:t>40*</w:t>
              </w:r>
            </w:hyperlink>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tcBorders>
              <w:bottom w:val="single" w:sz="8" w:color="0000EE"/>
            </w:tcBorders>
            <w:gridSpan w:val="27"/>
          </w:tcPr>
          <w:p>
            <w:pPr>
              <w:spacing w:after="0"/>
              <w:rPr>
                <w:rFonts w:ascii="Arial" w:cs="Arial" w:eastAsia="Arial" w:hAnsi="Arial"/>
                <w:sz w:val="16"/>
                <w:szCs w:val="16"/>
                <w:color w:val="0000EE"/>
                <w:w w:val="91"/>
              </w:rPr>
            </w:pPr>
            <w:hyperlink w:anchor="page130">
              <w:r>
                <w:rPr>
                  <w:rFonts w:ascii="Arial" w:cs="Arial" w:eastAsia="Arial" w:hAnsi="Arial"/>
                  <w:sz w:val="16"/>
                  <w:szCs w:val="16"/>
                  <w:color w:val="0000EE"/>
                  <w:w w:val="91"/>
                </w:rPr>
                <w:t>Master Reimbursement Agreement, dated as of May 9, 2018, by and between Capital Southwest Corporation,</w:t>
              </w:r>
            </w:hyperlink>
          </w:p>
        </w:tc>
        <w:tc>
          <w:tcPr>
            <w:tcW w:w="140" w:type="dxa"/>
            <w:vAlign w:val="bottom"/>
            <w:gridSpan w:val="6"/>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gridSpan w:val="33"/>
          </w:tcPr>
          <w:p>
            <w:pPr>
              <w:spacing w:after="0" w:line="183" w:lineRule="exact"/>
              <w:rPr>
                <w:rFonts w:ascii="Arial" w:cs="Arial" w:eastAsia="Arial" w:hAnsi="Arial"/>
                <w:sz w:val="16"/>
                <w:szCs w:val="16"/>
                <w:color w:val="0000EE"/>
              </w:rPr>
            </w:pPr>
            <w:hyperlink w:anchor="page130">
              <w:r>
                <w:rPr>
                  <w:rFonts w:ascii="Arial" w:cs="Arial" w:eastAsia="Arial" w:hAnsi="Arial"/>
                  <w:sz w:val="16"/>
                  <w:szCs w:val="16"/>
                  <w:color w:val="0000EE"/>
                </w:rPr>
                <w:t>as Borrower, and ING Capital LLC, as Issuer.</w:t>
              </w:r>
            </w:hyperlink>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360" w:type="dxa"/>
            <w:vAlign w:val="bottom"/>
          </w:tcPr>
          <w:p>
            <w:pPr>
              <w:spacing w:after="0"/>
              <w:rPr>
                <w:rFonts w:ascii="Arial" w:cs="Arial" w:eastAsia="Arial" w:hAnsi="Arial"/>
                <w:sz w:val="16"/>
                <w:szCs w:val="16"/>
                <w:color w:val="0000EE"/>
                <w:w w:val="84"/>
              </w:rPr>
            </w:pPr>
            <w:hyperlink r:id="rId177">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41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33"/>
          </w:tcPr>
          <w:p>
            <w:pPr>
              <w:spacing w:after="0"/>
              <w:rPr>
                <w:rFonts w:ascii="Arial" w:cs="Arial" w:eastAsia="Arial" w:hAnsi="Arial"/>
                <w:sz w:val="16"/>
                <w:szCs w:val="16"/>
                <w:color w:val="0000EE"/>
                <w:w w:val="94"/>
              </w:rPr>
            </w:pPr>
            <w:hyperlink r:id="rId177">
              <w:r>
                <w:rPr>
                  <w:rFonts w:ascii="Arial" w:cs="Arial" w:eastAsia="Arial" w:hAnsi="Arial"/>
                  <w:sz w:val="16"/>
                  <w:szCs w:val="16"/>
                  <w:color w:val="0000EE"/>
                  <w:w w:val="94"/>
                </w:rPr>
                <w:t>Amended and Restated Administration Agreement, dated March 9, 2017, between the Company and Capital</w:t>
              </w:r>
            </w:hyperlink>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40" w:type="dxa"/>
            <w:vAlign w:val="bottom"/>
            <w:tcBorders>
              <w:bottom w:val="single" w:sz="8" w:color="0000EE"/>
            </w:tcBorders>
            <w:gridSpan w:val="28"/>
          </w:tcPr>
          <w:p>
            <w:pPr>
              <w:spacing w:after="0" w:line="183" w:lineRule="exact"/>
              <w:rPr>
                <w:rFonts w:ascii="Arial" w:cs="Arial" w:eastAsia="Arial" w:hAnsi="Arial"/>
                <w:sz w:val="16"/>
                <w:szCs w:val="16"/>
                <w:color w:val="0000EE"/>
                <w:w w:val="92"/>
              </w:rPr>
            </w:pPr>
            <w:hyperlink r:id="rId177">
              <w:r>
                <w:rPr>
                  <w:rFonts w:ascii="Arial" w:cs="Arial" w:eastAsia="Arial" w:hAnsi="Arial"/>
                  <w:sz w:val="16"/>
                  <w:szCs w:val="16"/>
                  <w:color w:val="0000EE"/>
                  <w:w w:val="92"/>
                </w:rPr>
                <w:t>Southwest Management Corporation (incorporated by reference to Exhibit (k)(3) to Registration Statement on</w:t>
              </w:r>
            </w:hyperlink>
          </w:p>
        </w:tc>
        <w:tc>
          <w:tcPr>
            <w:tcW w:w="120" w:type="dxa"/>
            <w:vAlign w:val="bottom"/>
            <w:gridSpan w:val="5"/>
          </w:tcPr>
          <w:p>
            <w:pPr>
              <w:spacing w:after="0"/>
              <w:rPr>
                <w:sz w:val="15"/>
                <w:szCs w:val="15"/>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00" w:type="dxa"/>
            <w:vAlign w:val="bottom"/>
            <w:tcBorders>
              <w:bottom w:val="single" w:sz="8" w:color="0000EE"/>
            </w:tcBorders>
            <w:gridSpan w:val="10"/>
          </w:tcPr>
          <w:p>
            <w:pPr>
              <w:spacing w:after="0" w:line="183" w:lineRule="exact"/>
              <w:rPr>
                <w:rFonts w:ascii="Arial" w:cs="Arial" w:eastAsia="Arial" w:hAnsi="Arial"/>
                <w:sz w:val="16"/>
                <w:szCs w:val="16"/>
                <w:color w:val="0000EE"/>
                <w:w w:val="92"/>
              </w:rPr>
            </w:pPr>
            <w:hyperlink r:id="rId177">
              <w:r>
                <w:rPr>
                  <w:rFonts w:ascii="Arial" w:cs="Arial" w:eastAsia="Arial" w:hAnsi="Arial"/>
                  <w:sz w:val="16"/>
                  <w:szCs w:val="16"/>
                  <w:color w:val="0000EE"/>
                  <w:w w:val="92"/>
                </w:rPr>
                <w:t>Form N-2 (Reg. No. 333-220385) filed on September 8, 2017).</w:t>
              </w:r>
            </w:hyperlink>
          </w:p>
        </w:tc>
        <w:tc>
          <w:tcPr>
            <w:tcW w:w="3160" w:type="dxa"/>
            <w:vAlign w:val="bottom"/>
            <w:gridSpan w:val="23"/>
          </w:tcPr>
          <w:p>
            <w:pPr>
              <w:spacing w:after="0"/>
              <w:rPr>
                <w:sz w:val="15"/>
                <w:szCs w:val="15"/>
                <w:color w:val="auto"/>
              </w:rPr>
            </w:pPr>
          </w:p>
        </w:tc>
      </w:tr>
      <w:tr>
        <w:trPr>
          <w:trHeight w:val="385"/>
        </w:trPr>
        <w:tc>
          <w:tcPr>
            <w:tcW w:w="360" w:type="dxa"/>
            <w:vAlign w:val="bottom"/>
          </w:tcPr>
          <w:p>
            <w:pPr>
              <w:spacing w:after="0"/>
              <w:rPr>
                <w:rFonts w:ascii="Arial" w:cs="Arial" w:eastAsia="Arial" w:hAnsi="Arial"/>
                <w:sz w:val="16"/>
                <w:szCs w:val="16"/>
                <w:color w:val="0000EE"/>
                <w:w w:val="84"/>
              </w:rPr>
            </w:pPr>
            <w:hyperlink r:id="rId178">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42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33"/>
          </w:tcPr>
          <w:p>
            <w:pPr>
              <w:spacing w:after="0"/>
              <w:rPr>
                <w:rFonts w:ascii="Arial" w:cs="Arial" w:eastAsia="Arial" w:hAnsi="Arial"/>
                <w:sz w:val="16"/>
                <w:szCs w:val="16"/>
                <w:color w:val="0000EE"/>
                <w:w w:val="98"/>
              </w:rPr>
            </w:pPr>
            <w:hyperlink r:id="rId178">
              <w:r>
                <w:rPr>
                  <w:rFonts w:ascii="Arial" w:cs="Arial" w:eastAsia="Arial" w:hAnsi="Arial"/>
                  <w:sz w:val="16"/>
                  <w:szCs w:val="16"/>
                  <w:color w:val="0000EE"/>
                  <w:w w:val="98"/>
                </w:rPr>
                <w:t>Custody Agreement, dated August 30, 2016, between the Company and U.S. Bank National Association</w:t>
              </w:r>
            </w:hyperlink>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gridSpan w:val="33"/>
          </w:tcPr>
          <w:p>
            <w:pPr>
              <w:spacing w:after="0" w:line="183" w:lineRule="exact"/>
              <w:rPr>
                <w:rFonts w:ascii="Arial" w:cs="Arial" w:eastAsia="Arial" w:hAnsi="Arial"/>
                <w:sz w:val="16"/>
                <w:szCs w:val="16"/>
                <w:color w:val="0000EE"/>
                <w:w w:val="93"/>
              </w:rPr>
            </w:pPr>
            <w:hyperlink r:id="rId178">
              <w:r>
                <w:rPr>
                  <w:rFonts w:ascii="Arial" w:cs="Arial" w:eastAsia="Arial" w:hAnsi="Arial"/>
                  <w:sz w:val="16"/>
                  <w:szCs w:val="16"/>
                  <w:color w:val="0000EE"/>
                  <w:w w:val="93"/>
                </w:rPr>
                <w:t>(incorporated by reference to Exhibit (j)(1) to Registration Statement on Form N-2 (Reg. No. 333-220385) filed</w:t>
              </w:r>
            </w:hyperlink>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89"/>
              </w:rPr>
            </w:pPr>
            <w:hyperlink r:id="rId178">
              <w:r>
                <w:rPr>
                  <w:rFonts w:ascii="Arial" w:cs="Arial" w:eastAsia="Arial" w:hAnsi="Arial"/>
                  <w:sz w:val="16"/>
                  <w:szCs w:val="16"/>
                  <w:color w:val="0000EE"/>
                  <w:w w:val="89"/>
                </w:rPr>
                <w:t>on September 8, 2017).</w:t>
              </w:r>
            </w:hyperlink>
          </w:p>
        </w:tc>
        <w:tc>
          <w:tcPr>
            <w:tcW w:w="5720" w:type="dxa"/>
            <w:vAlign w:val="bottom"/>
            <w:tcBorders>
              <w:top w:val="single" w:sz="8" w:color="0000EE"/>
            </w:tcBorders>
            <w:gridSpan w:val="28"/>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84"/>
              </w:rPr>
            </w:pPr>
            <w:hyperlink r:id="rId179">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43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tcBorders>
              <w:bottom w:val="single" w:sz="8" w:color="0000EE"/>
            </w:tcBorders>
            <w:gridSpan w:val="27"/>
          </w:tcPr>
          <w:p>
            <w:pPr>
              <w:spacing w:after="0"/>
              <w:rPr>
                <w:rFonts w:ascii="Arial" w:cs="Arial" w:eastAsia="Arial" w:hAnsi="Arial"/>
                <w:sz w:val="16"/>
                <w:szCs w:val="16"/>
                <w:color w:val="0000EE"/>
                <w:w w:val="92"/>
              </w:rPr>
            </w:pPr>
            <w:hyperlink r:id="rId179">
              <w:r>
                <w:rPr>
                  <w:rFonts w:ascii="Arial" w:cs="Arial" w:eastAsia="Arial" w:hAnsi="Arial"/>
                  <w:sz w:val="16"/>
                  <w:szCs w:val="16"/>
                  <w:color w:val="0000EE"/>
                  <w:w w:val="92"/>
                </w:rPr>
                <w:t>Custody Control Agreement, dated August 30, 2016, between the Company, ING Capital LLC and U.S. Bank</w:t>
              </w:r>
            </w:hyperlink>
          </w:p>
        </w:tc>
        <w:tc>
          <w:tcPr>
            <w:tcW w:w="140" w:type="dxa"/>
            <w:vAlign w:val="bottom"/>
            <w:gridSpan w:val="6"/>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gridSpan w:val="33"/>
          </w:tcPr>
          <w:p>
            <w:pPr>
              <w:spacing w:after="0" w:line="183" w:lineRule="exact"/>
              <w:rPr>
                <w:rFonts w:ascii="Arial" w:cs="Arial" w:eastAsia="Arial" w:hAnsi="Arial"/>
                <w:sz w:val="16"/>
                <w:szCs w:val="16"/>
                <w:color w:val="0000EE"/>
                <w:w w:val="94"/>
              </w:rPr>
            </w:pPr>
            <w:hyperlink r:id="rId179">
              <w:r>
                <w:rPr>
                  <w:rFonts w:ascii="Arial" w:cs="Arial" w:eastAsia="Arial" w:hAnsi="Arial"/>
                  <w:sz w:val="16"/>
                  <w:szCs w:val="16"/>
                  <w:color w:val="0000EE"/>
                  <w:w w:val="94"/>
                </w:rPr>
                <w:t>National Association (incorporated by reference to Exhibit (j)(2) to Registration Statement on Form N-2 (Reg.</w:t>
              </w:r>
            </w:hyperlink>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1"/>
              </w:rPr>
            </w:pPr>
            <w:hyperlink r:id="rId179">
              <w:r>
                <w:rPr>
                  <w:rFonts w:ascii="Arial" w:cs="Arial" w:eastAsia="Arial" w:hAnsi="Arial"/>
                  <w:sz w:val="16"/>
                  <w:szCs w:val="16"/>
                  <w:color w:val="0000EE"/>
                  <w:w w:val="91"/>
                </w:rPr>
                <w:t>No. 333-220385) filed on September 8, 2017).</w:t>
              </w:r>
            </w:hyperlink>
          </w:p>
        </w:tc>
        <w:tc>
          <w:tcPr>
            <w:tcW w:w="4140" w:type="dxa"/>
            <w:vAlign w:val="bottom"/>
            <w:tcBorders>
              <w:top w:val="single" w:sz="8" w:color="0000EE"/>
            </w:tcBorders>
            <w:gridSpan w:val="22"/>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84"/>
              </w:rPr>
            </w:pPr>
            <w:hyperlink r:id="rId180">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44</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20" w:type="dxa"/>
            <w:vAlign w:val="bottom"/>
            <w:tcBorders>
              <w:bottom w:val="single" w:sz="8" w:color="0000EE"/>
            </w:tcBorders>
            <w:gridSpan w:val="19"/>
          </w:tcPr>
          <w:p>
            <w:pPr>
              <w:spacing w:after="0"/>
              <w:rPr>
                <w:rFonts w:ascii="Arial" w:cs="Arial" w:eastAsia="Arial" w:hAnsi="Arial"/>
                <w:sz w:val="16"/>
                <w:szCs w:val="16"/>
                <w:color w:val="0000EE"/>
                <w:w w:val="92"/>
              </w:rPr>
            </w:pPr>
            <w:hyperlink r:id="rId180">
              <w:r>
                <w:rPr>
                  <w:rFonts w:ascii="Arial" w:cs="Arial" w:eastAsia="Arial" w:hAnsi="Arial"/>
                  <w:sz w:val="16"/>
                  <w:szCs w:val="16"/>
                  <w:color w:val="0000EE"/>
                  <w:w w:val="92"/>
                </w:rPr>
                <w:t>Document Custody Agreement, dated August 30, 2016, between the Company, ING Capital LLC and U.S.</w:t>
              </w:r>
            </w:hyperlink>
          </w:p>
        </w:tc>
        <w:tc>
          <w:tcPr>
            <w:tcW w:w="340" w:type="dxa"/>
            <w:vAlign w:val="bottom"/>
            <w:gridSpan w:val="14"/>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60" w:type="dxa"/>
            <w:vAlign w:val="bottom"/>
            <w:gridSpan w:val="33"/>
          </w:tcPr>
          <w:p>
            <w:pPr>
              <w:spacing w:after="0" w:line="183" w:lineRule="exact"/>
              <w:rPr>
                <w:rFonts w:ascii="Arial" w:cs="Arial" w:eastAsia="Arial" w:hAnsi="Arial"/>
                <w:sz w:val="16"/>
                <w:szCs w:val="16"/>
                <w:color w:val="0000EE"/>
                <w:w w:val="94"/>
              </w:rPr>
            </w:pPr>
            <w:hyperlink r:id="rId180">
              <w:r>
                <w:rPr>
                  <w:rFonts w:ascii="Arial" w:cs="Arial" w:eastAsia="Arial" w:hAnsi="Arial"/>
                  <w:sz w:val="16"/>
                  <w:szCs w:val="16"/>
                  <w:color w:val="0000EE"/>
                  <w:w w:val="94"/>
                </w:rPr>
                <w:t>Bank National Association (incorporated by reference to Exhibit (j)(3) to Registration Statement on Form N-2</w:t>
              </w:r>
            </w:hyperlink>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140" w:type="dxa"/>
            <w:vAlign w:val="bottom"/>
            <w:tcBorders>
              <w:top w:val="single" w:sz="8" w:color="0000EE"/>
            </w:tcBorders>
            <w:gridSpan w:val="28"/>
          </w:tcPr>
          <w:p>
            <w:pPr>
              <w:spacing w:after="0" w:line="183" w:lineRule="exact"/>
              <w:rPr>
                <w:rFonts w:ascii="Arial" w:cs="Arial" w:eastAsia="Arial" w:hAnsi="Arial"/>
                <w:sz w:val="16"/>
                <w:szCs w:val="16"/>
                <w:color w:val="0000EE"/>
              </w:rPr>
            </w:pPr>
            <w:hyperlink r:id="rId180">
              <w:r>
                <w:rPr>
                  <w:rFonts w:ascii="Arial" w:cs="Arial" w:eastAsia="Arial" w:hAnsi="Arial"/>
                  <w:sz w:val="16"/>
                  <w:szCs w:val="16"/>
                  <w:color w:val="0000EE"/>
                </w:rPr>
                <w:t>(Reg. No. 333-220385) filed on September 8, 2017).</w:t>
              </w:r>
            </w:hyperlink>
          </w:p>
        </w:tc>
        <w:tc>
          <w:tcPr>
            <w:tcW w:w="120" w:type="dxa"/>
            <w:vAlign w:val="bottom"/>
            <w:gridSpan w:val="5"/>
          </w:tcPr>
          <w:p>
            <w:pPr>
              <w:spacing w:after="0"/>
              <w:rPr>
                <w:sz w:val="15"/>
                <w:szCs w:val="15"/>
                <w:color w:val="auto"/>
              </w:rPr>
            </w:pPr>
          </w:p>
        </w:tc>
      </w:tr>
      <w:tr>
        <w:trPr>
          <w:trHeight w:val="385"/>
        </w:trPr>
        <w:tc>
          <w:tcPr>
            <w:tcW w:w="360" w:type="dxa"/>
            <w:vAlign w:val="bottom"/>
          </w:tcPr>
          <w:p>
            <w:pPr>
              <w:spacing w:after="0"/>
              <w:rPr>
                <w:rFonts w:ascii="Arial" w:cs="Arial" w:eastAsia="Arial" w:hAnsi="Arial"/>
                <w:sz w:val="16"/>
                <w:szCs w:val="16"/>
                <w:color w:val="0000EE"/>
                <w:w w:val="90"/>
              </w:rPr>
            </w:pPr>
            <w:hyperlink w:anchor="page147">
              <w:r>
                <w:rPr>
                  <w:rFonts w:ascii="Arial" w:cs="Arial" w:eastAsia="Arial" w:hAnsi="Arial"/>
                  <w:sz w:val="16"/>
                  <w:szCs w:val="16"/>
                  <w:color w:val="0000EE"/>
                  <w:w w:val="90"/>
                </w:rPr>
                <w:t>21.</w:t>
              </w:r>
              <w:r>
                <w:rPr>
                  <w:rFonts w:ascii="Arial" w:cs="Arial" w:eastAsia="Arial" w:hAnsi="Arial"/>
                  <w:sz w:val="16"/>
                  <w:szCs w:val="16"/>
                  <w:u w:val="single" w:color="auto"/>
                  <w:color w:val="0000EE"/>
                  <w:w w:val="90"/>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tcBorders>
              <w:top w:val="single" w:sz="8" w:color="0000EE"/>
            </w:tcBorders>
            <w:gridSpan w:val="8"/>
          </w:tcPr>
          <w:p>
            <w:pPr>
              <w:spacing w:after="0"/>
              <w:rPr>
                <w:rFonts w:ascii="Arial" w:cs="Arial" w:eastAsia="Arial" w:hAnsi="Arial"/>
                <w:sz w:val="16"/>
                <w:szCs w:val="16"/>
                <w:color w:val="0000EE"/>
              </w:rPr>
            </w:pPr>
            <w:hyperlink w:anchor="page147">
              <w:r>
                <w:rPr>
                  <w:rFonts w:ascii="Arial" w:cs="Arial" w:eastAsia="Arial" w:hAnsi="Arial"/>
                  <w:sz w:val="16"/>
                  <w:szCs w:val="16"/>
                  <w:color w:val="0000EE"/>
                </w:rPr>
                <w:t>List of subsidiaries of the Company.</w:t>
              </w:r>
            </w:hyperlink>
          </w:p>
        </w:tc>
        <w:tc>
          <w:tcPr>
            <w:tcW w:w="3860" w:type="dxa"/>
            <w:vAlign w:val="bottom"/>
            <w:gridSpan w:val="25"/>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r>
      <w:tr>
        <w:trPr>
          <w:trHeight w:val="385"/>
        </w:trPr>
        <w:tc>
          <w:tcPr>
            <w:tcW w:w="360" w:type="dxa"/>
            <w:vAlign w:val="bottom"/>
          </w:tcPr>
          <w:p>
            <w:pPr>
              <w:spacing w:after="0"/>
              <w:rPr>
                <w:rFonts w:ascii="Arial" w:cs="Arial" w:eastAsia="Arial" w:hAnsi="Arial"/>
                <w:sz w:val="16"/>
                <w:szCs w:val="16"/>
                <w:color w:val="0000EE"/>
                <w:w w:val="90"/>
              </w:rPr>
            </w:pPr>
            <w:hyperlink w:anchor="page148">
              <w:r>
                <w:rPr>
                  <w:rFonts w:ascii="Arial" w:cs="Arial" w:eastAsia="Arial" w:hAnsi="Arial"/>
                  <w:sz w:val="16"/>
                  <w:szCs w:val="16"/>
                  <w:color w:val="0000EE"/>
                  <w:w w:val="90"/>
                </w:rPr>
                <w:t>23.</w:t>
              </w:r>
              <w:r>
                <w:rPr>
                  <w:rFonts w:ascii="Arial" w:cs="Arial" w:eastAsia="Arial" w:hAnsi="Arial"/>
                  <w:sz w:val="16"/>
                  <w:szCs w:val="16"/>
                  <w:u w:val="single" w:color="auto"/>
                  <w:color w:val="0000EE"/>
                  <w:w w:val="90"/>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33"/>
          </w:tcPr>
          <w:p>
            <w:pPr>
              <w:spacing w:after="0"/>
              <w:rPr>
                <w:rFonts w:ascii="Arial" w:cs="Arial" w:eastAsia="Arial" w:hAnsi="Arial"/>
                <w:sz w:val="16"/>
                <w:szCs w:val="16"/>
                <w:color w:val="0000EE"/>
              </w:rPr>
            </w:pPr>
            <w:hyperlink w:anchor="page148">
              <w:r>
                <w:rPr>
                  <w:rFonts w:ascii="Arial" w:cs="Arial" w:eastAsia="Arial" w:hAnsi="Arial"/>
                  <w:sz w:val="16"/>
                  <w:szCs w:val="16"/>
                  <w:color w:val="0000EE"/>
                </w:rPr>
                <w:t>Consent of Independent Registered Public Accounting Firm – RSM US LLP (relating to the Company).</w:t>
              </w:r>
            </w:hyperlink>
          </w:p>
        </w:tc>
      </w:tr>
      <w:tr>
        <w:trPr>
          <w:trHeight w:val="385"/>
        </w:trPr>
        <w:tc>
          <w:tcPr>
            <w:tcW w:w="360" w:type="dxa"/>
            <w:vAlign w:val="bottom"/>
            <w:tcBorders>
              <w:top w:val="single" w:sz="8" w:color="0000EE"/>
              <w:bottom w:val="single" w:sz="8" w:color="0000EE"/>
            </w:tcBorders>
          </w:tcPr>
          <w:p>
            <w:pPr>
              <w:spacing w:after="0"/>
              <w:rPr>
                <w:rFonts w:ascii="Arial" w:cs="Arial" w:eastAsia="Arial" w:hAnsi="Arial"/>
                <w:sz w:val="16"/>
                <w:szCs w:val="16"/>
                <w:color w:val="0000EE"/>
                <w:w w:val="90"/>
              </w:rPr>
            </w:pPr>
            <w:hyperlink w:anchor="page149">
              <w:r>
                <w:rPr>
                  <w:rFonts w:ascii="Arial" w:cs="Arial" w:eastAsia="Arial" w:hAnsi="Arial"/>
                  <w:sz w:val="16"/>
                  <w:szCs w:val="16"/>
                  <w:color w:val="0000EE"/>
                  <w:w w:val="90"/>
                </w:rPr>
                <w:t>23.</w:t>
              </w:r>
              <w:r>
                <w:rPr>
                  <w:rFonts w:ascii="Arial" w:cs="Arial" w:eastAsia="Arial" w:hAnsi="Arial"/>
                  <w:sz w:val="16"/>
                  <w:szCs w:val="16"/>
                  <w:u w:val="single" w:color="auto"/>
                  <w:color w:val="0000EE"/>
                  <w:w w:val="90"/>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2"/>
              </w:rPr>
            </w:pPr>
            <w:hyperlink w:anchor="page149">
              <w:r>
                <w:rPr>
                  <w:rFonts w:ascii="Arial" w:cs="Arial" w:eastAsia="Arial" w:hAnsi="Arial"/>
                  <w:sz w:val="16"/>
                  <w:szCs w:val="16"/>
                  <w:color w:val="0000EE"/>
                  <w:w w:val="92"/>
                </w:rPr>
                <w:t>Consent of Independent Auditor – Grant Thornton LLP (relating to the Company).</w:t>
              </w:r>
            </w:hyperlink>
          </w:p>
        </w:tc>
        <w:tc>
          <w:tcPr>
            <w:tcW w:w="1400" w:type="dxa"/>
            <w:vAlign w:val="bottom"/>
            <w:tcBorders>
              <w:top w:val="single" w:sz="8" w:color="0000EE"/>
            </w:tcBorders>
            <w:gridSpan w:val="3"/>
          </w:tcPr>
          <w:p>
            <w:pPr>
              <w:spacing w:after="0"/>
              <w:rPr>
                <w:sz w:val="24"/>
                <w:szCs w:val="24"/>
                <w:color w:val="auto"/>
              </w:rPr>
            </w:pPr>
          </w:p>
        </w:tc>
        <w:tc>
          <w:tcPr>
            <w:tcW w:w="500" w:type="dxa"/>
            <w:vAlign w:val="bottom"/>
            <w:gridSpan w:val="17"/>
          </w:tcPr>
          <w:p>
            <w:pPr>
              <w:spacing w:after="0"/>
              <w:rPr>
                <w:sz w:val="24"/>
                <w:szCs w:val="24"/>
                <w:color w:val="auto"/>
              </w:rPr>
            </w:pPr>
          </w:p>
        </w:tc>
      </w:tr>
      <w:tr>
        <w:trPr>
          <w:trHeight w:val="385"/>
        </w:trPr>
        <w:tc>
          <w:tcPr>
            <w:tcW w:w="360" w:type="dxa"/>
            <w:vAlign w:val="bottom"/>
          </w:tcPr>
          <w:p>
            <w:pPr>
              <w:spacing w:after="0"/>
              <w:rPr>
                <w:rFonts w:ascii="Arial" w:cs="Arial" w:eastAsia="Arial" w:hAnsi="Arial"/>
                <w:sz w:val="16"/>
                <w:szCs w:val="16"/>
                <w:color w:val="0000EE"/>
                <w:w w:val="90"/>
              </w:rPr>
            </w:pPr>
            <w:hyperlink w:anchor="page150">
              <w:r>
                <w:rPr>
                  <w:rFonts w:ascii="Arial" w:cs="Arial" w:eastAsia="Arial" w:hAnsi="Arial"/>
                  <w:sz w:val="16"/>
                  <w:szCs w:val="16"/>
                  <w:color w:val="0000EE"/>
                  <w:w w:val="90"/>
                </w:rPr>
                <w:t>23.</w:t>
              </w:r>
              <w:r>
                <w:rPr>
                  <w:rFonts w:ascii="Arial" w:cs="Arial" w:eastAsia="Arial" w:hAnsi="Arial"/>
                  <w:sz w:val="16"/>
                  <w:szCs w:val="16"/>
                  <w:u w:val="single" w:color="auto"/>
                  <w:color w:val="0000EE"/>
                  <w:w w:val="90"/>
                </w:rPr>
                <w:t>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60" w:type="dxa"/>
            <w:vAlign w:val="bottom"/>
            <w:gridSpan w:val="33"/>
          </w:tcPr>
          <w:p>
            <w:pPr>
              <w:spacing w:after="0"/>
              <w:rPr>
                <w:rFonts w:ascii="Arial" w:cs="Arial" w:eastAsia="Arial" w:hAnsi="Arial"/>
                <w:sz w:val="16"/>
                <w:szCs w:val="16"/>
                <w:color w:val="0000EE"/>
              </w:rPr>
            </w:pPr>
            <w:hyperlink w:anchor="page150">
              <w:r>
                <w:rPr>
                  <w:rFonts w:ascii="Arial" w:cs="Arial" w:eastAsia="Arial" w:hAnsi="Arial"/>
                  <w:sz w:val="16"/>
                  <w:szCs w:val="16"/>
                  <w:color w:val="0000EE"/>
                </w:rPr>
                <w:t>Consent of Independent Auditor – RSM US LLP (relating to I-45 SLF LLC).</w:t>
              </w:r>
            </w:hyperlink>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40" w:type="dxa"/>
            <w:vAlign w:val="bottom"/>
            <w:gridSpan w:val="11"/>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90"/>
              </w:rPr>
            </w:pPr>
            <w:hyperlink w:anchor="page151">
              <w:r>
                <w:rPr>
                  <w:rFonts w:ascii="Arial" w:cs="Arial" w:eastAsia="Arial" w:hAnsi="Arial"/>
                  <w:sz w:val="16"/>
                  <w:szCs w:val="16"/>
                  <w:color w:val="0000EE"/>
                  <w:w w:val="90"/>
                </w:rPr>
                <w:t>23.</w:t>
              </w:r>
              <w:r>
                <w:rPr>
                  <w:rFonts w:ascii="Arial" w:cs="Arial" w:eastAsia="Arial" w:hAnsi="Arial"/>
                  <w:sz w:val="16"/>
                  <w:szCs w:val="16"/>
                  <w:u w:val="single" w:color="auto"/>
                  <w:color w:val="0000EE"/>
                  <w:w w:val="90"/>
                </w:rPr>
                <w:t>4*</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Borders>
              <w:bottom w:val="single" w:sz="8" w:color="0000EE"/>
            </w:tcBorders>
            <w:gridSpan w:val="15"/>
          </w:tcPr>
          <w:p>
            <w:pPr>
              <w:spacing w:after="0"/>
              <w:rPr>
                <w:rFonts w:ascii="Arial" w:cs="Arial" w:eastAsia="Arial" w:hAnsi="Arial"/>
                <w:sz w:val="16"/>
                <w:szCs w:val="16"/>
                <w:color w:val="0000EE"/>
                <w:w w:val="93"/>
              </w:rPr>
            </w:pPr>
            <w:hyperlink w:anchor="page151">
              <w:r>
                <w:rPr>
                  <w:rFonts w:ascii="Arial" w:cs="Arial" w:eastAsia="Arial" w:hAnsi="Arial"/>
                  <w:sz w:val="16"/>
                  <w:szCs w:val="16"/>
                  <w:color w:val="0000EE"/>
                  <w:w w:val="93"/>
                </w:rPr>
                <w:t>Consent of Independent Auditor – Weaver and Tidwell, L.L.P. (relating to TitanLiner, Inc.).</w:t>
              </w:r>
            </w:hyperlink>
          </w:p>
        </w:tc>
        <w:tc>
          <w:tcPr>
            <w:tcW w:w="1320" w:type="dxa"/>
            <w:vAlign w:val="bottom"/>
            <w:gridSpan w:val="18"/>
          </w:tcPr>
          <w:p>
            <w:pPr>
              <w:spacing w:after="0"/>
              <w:rPr>
                <w:sz w:val="24"/>
                <w:szCs w:val="24"/>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90"/>
              </w:rPr>
            </w:pPr>
            <w:hyperlink w:anchor="page152">
              <w:r>
                <w:rPr>
                  <w:rFonts w:ascii="Arial" w:cs="Arial" w:eastAsia="Arial" w:hAnsi="Arial"/>
                  <w:sz w:val="16"/>
                  <w:szCs w:val="16"/>
                  <w:color w:val="0000EE"/>
                  <w:w w:val="90"/>
                </w:rPr>
                <w:t>31.</w:t>
              </w:r>
              <w:r>
                <w:rPr>
                  <w:rFonts w:ascii="Arial" w:cs="Arial" w:eastAsia="Arial" w:hAnsi="Arial"/>
                  <w:sz w:val="16"/>
                  <w:szCs w:val="16"/>
                  <w:u w:val="single" w:color="auto"/>
                  <w:color w:val="0000EE"/>
                  <w:w w:val="90"/>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60" w:type="dxa"/>
            <w:vAlign w:val="bottom"/>
            <w:tcBorders>
              <w:bottom w:val="single" w:sz="8" w:color="0000EE"/>
            </w:tcBorders>
            <w:gridSpan w:val="17"/>
          </w:tcPr>
          <w:p>
            <w:pPr>
              <w:spacing w:after="0"/>
              <w:rPr>
                <w:rFonts w:ascii="Arial" w:cs="Arial" w:eastAsia="Arial" w:hAnsi="Arial"/>
                <w:sz w:val="16"/>
                <w:szCs w:val="16"/>
                <w:color w:val="0000EE"/>
                <w:w w:val="92"/>
              </w:rPr>
            </w:pPr>
            <w:hyperlink w:anchor="page152">
              <w:r>
                <w:rPr>
                  <w:rFonts w:ascii="Arial" w:cs="Arial" w:eastAsia="Arial" w:hAnsi="Arial"/>
                  <w:sz w:val="16"/>
                  <w:szCs w:val="16"/>
                  <w:color w:val="0000EE"/>
                  <w:w w:val="92"/>
                </w:rPr>
                <w:t>Certification of Chairman of the Board and President required by Rule 13a-14(a) or Rule 15d-14(a) of the</w:t>
              </w:r>
            </w:hyperlink>
          </w:p>
        </w:tc>
        <w:tc>
          <w:tcPr>
            <w:tcW w:w="400" w:type="dxa"/>
            <w:vAlign w:val="bottom"/>
            <w:gridSpan w:val="16"/>
          </w:tcPr>
          <w:p>
            <w:pPr>
              <w:spacing w:after="0"/>
              <w:rPr>
                <w:sz w:val="24"/>
                <w:szCs w:val="24"/>
                <w:color w:val="auto"/>
              </w:rPr>
            </w:pPr>
          </w:p>
        </w:tc>
      </w:tr>
      <w:tr>
        <w:trPr>
          <w:trHeight w:val="183"/>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0000EE"/>
            </w:tcBorders>
          </w:tcPr>
          <w:p>
            <w:pPr>
              <w:spacing w:after="0" w:line="183" w:lineRule="exact"/>
              <w:rPr>
                <w:rFonts w:ascii="Arial" w:cs="Arial" w:eastAsia="Arial" w:hAnsi="Arial"/>
                <w:sz w:val="16"/>
                <w:szCs w:val="16"/>
                <w:color w:val="0000EE"/>
                <w:w w:val="91"/>
              </w:rPr>
            </w:pPr>
            <w:hyperlink w:anchor="page152">
              <w:r>
                <w:rPr>
                  <w:rFonts w:ascii="Arial" w:cs="Arial" w:eastAsia="Arial" w:hAnsi="Arial"/>
                  <w:sz w:val="16"/>
                  <w:szCs w:val="16"/>
                  <w:color w:val="0000EE"/>
                  <w:w w:val="91"/>
                </w:rPr>
                <w:t>Exchange Act.</w:t>
              </w:r>
            </w:hyperlink>
          </w:p>
        </w:tc>
        <w:tc>
          <w:tcPr>
            <w:tcW w:w="6300" w:type="dxa"/>
            <w:vAlign w:val="bottom"/>
            <w:gridSpan w:val="32"/>
          </w:tcPr>
          <w:p>
            <w:pPr>
              <w:spacing w:after="0"/>
              <w:rPr>
                <w:sz w:val="15"/>
                <w:szCs w:val="15"/>
                <w:color w:val="auto"/>
              </w:rPr>
            </w:pPr>
          </w:p>
        </w:tc>
      </w:tr>
      <w:tr>
        <w:trPr>
          <w:trHeight w:val="385"/>
        </w:trPr>
        <w:tc>
          <w:tcPr>
            <w:tcW w:w="360" w:type="dxa"/>
            <w:vAlign w:val="bottom"/>
            <w:tcBorders>
              <w:bottom w:val="single" w:sz="8" w:color="0000EE"/>
            </w:tcBorders>
          </w:tcPr>
          <w:p>
            <w:pPr>
              <w:spacing w:after="0"/>
              <w:rPr>
                <w:rFonts w:ascii="Arial" w:cs="Arial" w:eastAsia="Arial" w:hAnsi="Arial"/>
                <w:sz w:val="16"/>
                <w:szCs w:val="16"/>
                <w:color w:val="0000EE"/>
                <w:w w:val="90"/>
              </w:rPr>
            </w:pPr>
            <w:hyperlink w:anchor="page153">
              <w:r>
                <w:rPr>
                  <w:rFonts w:ascii="Arial" w:cs="Arial" w:eastAsia="Arial" w:hAnsi="Arial"/>
                  <w:sz w:val="16"/>
                  <w:szCs w:val="16"/>
                  <w:color w:val="0000EE"/>
                  <w:w w:val="90"/>
                </w:rPr>
                <w:t>31.</w:t>
              </w:r>
              <w:r>
                <w:rPr>
                  <w:rFonts w:ascii="Arial" w:cs="Arial" w:eastAsia="Arial" w:hAnsi="Arial"/>
                  <w:sz w:val="16"/>
                  <w:szCs w:val="16"/>
                  <w:u w:val="single" w:color="auto"/>
                  <w:color w:val="0000EE"/>
                  <w:w w:val="90"/>
                </w:rPr>
                <w:t>2*</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Borders>
              <w:bottom w:val="single" w:sz="8" w:color="0000EE"/>
            </w:tcBorders>
            <w:gridSpan w:val="21"/>
          </w:tcPr>
          <w:p>
            <w:pPr>
              <w:spacing w:after="0"/>
              <w:rPr>
                <w:rFonts w:ascii="Arial" w:cs="Arial" w:eastAsia="Arial" w:hAnsi="Arial"/>
                <w:sz w:val="16"/>
                <w:szCs w:val="16"/>
                <w:color w:val="0000EE"/>
                <w:w w:val="93"/>
              </w:rPr>
            </w:pPr>
            <w:hyperlink w:anchor="page153">
              <w:r>
                <w:rPr>
                  <w:rFonts w:ascii="Arial" w:cs="Arial" w:eastAsia="Arial" w:hAnsi="Arial"/>
                  <w:sz w:val="16"/>
                  <w:szCs w:val="16"/>
                  <w:color w:val="0000EE"/>
                  <w:w w:val="93"/>
                </w:rPr>
                <w:t>Certification of Chief Financial Officer required by Rule 13a-14(a) or Rule 15d-14(a) of the Exchange Act.</w:t>
              </w:r>
            </w:hyperlink>
          </w:p>
        </w:tc>
        <w:tc>
          <w:tcPr>
            <w:tcW w:w="300" w:type="dxa"/>
            <w:vAlign w:val="bottom"/>
            <w:gridSpan w:val="1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20" w:type="dxa"/>
            <w:vAlign w:val="bottom"/>
            <w:gridSpan w:val="6"/>
          </w:tcPr>
          <w:p>
            <w:pPr>
              <w:ind w:left="660"/>
              <w:spacing w:after="0"/>
              <w:rPr>
                <w:sz w:val="20"/>
                <w:szCs w:val="20"/>
                <w:color w:val="auto"/>
              </w:rPr>
            </w:pPr>
            <w:r>
              <w:rPr>
                <w:rFonts w:ascii="Arial" w:cs="Arial" w:eastAsia="Arial" w:hAnsi="Arial"/>
                <w:sz w:val="16"/>
                <w:szCs w:val="16"/>
                <w:color w:val="auto"/>
              </w:rPr>
              <w:t>Exhibit No.</w:t>
            </w:r>
          </w:p>
        </w:tc>
        <w:tc>
          <w:tcPr>
            <w:tcW w:w="7240" w:type="dxa"/>
            <w:vAlign w:val="bottom"/>
            <w:gridSpan w:val="11"/>
          </w:tcPr>
          <w:p>
            <w:pPr>
              <w:spacing w:after="0"/>
              <w:rPr>
                <w:sz w:val="20"/>
                <w:szCs w:val="20"/>
                <w:color w:val="auto"/>
              </w:rPr>
            </w:pPr>
            <w:r>
              <w:rPr>
                <w:rFonts w:ascii="Arial" w:cs="Arial" w:eastAsia="Arial" w:hAnsi="Arial"/>
                <w:sz w:val="16"/>
                <w:szCs w:val="16"/>
                <w:color w:val="auto"/>
              </w:rPr>
              <w:t>Description</w:t>
            </w:r>
          </w:p>
        </w:tc>
      </w:tr>
      <w:tr>
        <w:trPr>
          <w:trHeight w:val="159"/>
        </w:trPr>
        <w:tc>
          <w:tcPr>
            <w:tcW w:w="6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20" w:type="dxa"/>
            <w:vAlign w:val="bottom"/>
            <w:tcBorders>
              <w:top w:val="single" w:sz="8" w:color="auto"/>
              <w:bottom w:val="single" w:sz="8" w:color="0000EE"/>
            </w:tcBorders>
            <w:gridSpan w:val="2"/>
          </w:tcPr>
          <w:p>
            <w:pPr>
              <w:jc w:val="right"/>
              <w:spacing w:after="0" w:line="158" w:lineRule="exact"/>
              <w:rPr>
                <w:rFonts w:ascii="Arial" w:cs="Arial" w:eastAsia="Arial" w:hAnsi="Arial"/>
                <w:sz w:val="16"/>
                <w:szCs w:val="16"/>
                <w:color w:val="0000EE"/>
                <w:w w:val="89"/>
              </w:rPr>
            </w:pPr>
            <w:hyperlink w:anchor="page154">
              <w:r>
                <w:rPr>
                  <w:rFonts w:ascii="Arial" w:cs="Arial" w:eastAsia="Arial" w:hAnsi="Arial"/>
                  <w:sz w:val="16"/>
                  <w:szCs w:val="16"/>
                  <w:color w:val="0000EE"/>
                  <w:w w:val="89"/>
                </w:rPr>
                <w:t>32.</w:t>
              </w:r>
              <w:r>
                <w:rPr>
                  <w:rFonts w:ascii="Arial" w:cs="Arial" w:eastAsia="Arial" w:hAnsi="Arial"/>
                  <w:sz w:val="16"/>
                  <w:szCs w:val="16"/>
                  <w:u w:val="single" w:color="auto"/>
                  <w:color w:val="0000EE"/>
                  <w:w w:val="89"/>
                </w:rPr>
                <w:t>1*^</w:t>
              </w:r>
            </w:hyperlink>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60" w:type="dxa"/>
            <w:vAlign w:val="bottom"/>
            <w:tcBorders>
              <w:top w:val="single" w:sz="8" w:color="auto"/>
              <w:bottom w:val="single" w:sz="8" w:color="0000EE"/>
            </w:tcBorders>
            <w:gridSpan w:val="6"/>
          </w:tcPr>
          <w:p>
            <w:pPr>
              <w:spacing w:after="0" w:line="158" w:lineRule="exact"/>
              <w:rPr>
                <w:rFonts w:ascii="Arial" w:cs="Arial" w:eastAsia="Arial" w:hAnsi="Arial"/>
                <w:sz w:val="16"/>
                <w:szCs w:val="16"/>
                <w:color w:val="0000EE"/>
                <w:w w:val="92"/>
              </w:rPr>
            </w:pPr>
            <w:hyperlink w:anchor="page154">
              <w:r>
                <w:rPr>
                  <w:rFonts w:ascii="Arial" w:cs="Arial" w:eastAsia="Arial" w:hAnsi="Arial"/>
                  <w:sz w:val="16"/>
                  <w:szCs w:val="16"/>
                  <w:color w:val="0000EE"/>
                  <w:w w:val="92"/>
                </w:rPr>
                <w:t>Certification of Chairman of the Board and President required by Rule 13a-14(b) or Rule 15d-14(b) of the</w:t>
              </w:r>
            </w:hyperlink>
          </w:p>
        </w:tc>
        <w:tc>
          <w:tcPr>
            <w:tcW w:w="380" w:type="dxa"/>
            <w:vAlign w:val="bottom"/>
            <w:tcBorders>
              <w:top w:val="single" w:sz="8" w:color="auto"/>
            </w:tcBorders>
            <w:gridSpan w:val="5"/>
          </w:tcPr>
          <w:p>
            <w:pPr>
              <w:spacing w:after="0"/>
              <w:rPr>
                <w:sz w:val="13"/>
                <w:szCs w:val="13"/>
                <w:color w:val="auto"/>
              </w:rPr>
            </w:pPr>
          </w:p>
        </w:tc>
      </w:tr>
      <w:tr>
        <w:trPr>
          <w:trHeight w:val="183"/>
        </w:trPr>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60" w:type="dxa"/>
            <w:vAlign w:val="bottom"/>
            <w:tcBorders>
              <w:bottom w:val="single" w:sz="8" w:color="0000EE"/>
            </w:tcBorders>
            <w:gridSpan w:val="5"/>
          </w:tcPr>
          <w:p>
            <w:pPr>
              <w:spacing w:after="0" w:line="183" w:lineRule="exact"/>
              <w:rPr>
                <w:rFonts w:ascii="Arial" w:cs="Arial" w:eastAsia="Arial" w:hAnsi="Arial"/>
                <w:sz w:val="16"/>
                <w:szCs w:val="16"/>
                <w:color w:val="0000EE"/>
                <w:w w:val="91"/>
              </w:rPr>
            </w:pPr>
            <w:hyperlink w:anchor="page154">
              <w:r>
                <w:rPr>
                  <w:rFonts w:ascii="Arial" w:cs="Arial" w:eastAsia="Arial" w:hAnsi="Arial"/>
                  <w:sz w:val="16"/>
                  <w:szCs w:val="16"/>
                  <w:color w:val="0000EE"/>
                  <w:w w:val="91"/>
                </w:rPr>
                <w:t>Exchange Act and Section 1350 of Chapter 63 of Title 18 of the United States Code.</w:t>
              </w:r>
            </w:hyperlink>
          </w:p>
        </w:tc>
        <w:tc>
          <w:tcPr>
            <w:tcW w:w="1780" w:type="dxa"/>
            <w:vAlign w:val="bottom"/>
            <w:gridSpan w:val="6"/>
          </w:tcPr>
          <w:p>
            <w:pPr>
              <w:spacing w:after="0"/>
              <w:rPr>
                <w:sz w:val="15"/>
                <w:szCs w:val="15"/>
                <w:color w:val="auto"/>
              </w:rPr>
            </w:pPr>
          </w:p>
        </w:tc>
      </w:tr>
      <w:tr>
        <w:trPr>
          <w:trHeight w:val="385"/>
        </w:trPr>
        <w:tc>
          <w:tcPr>
            <w:tcW w:w="1100" w:type="dxa"/>
            <w:vAlign w:val="bottom"/>
            <w:gridSpan w:val="4"/>
          </w:tcPr>
          <w:p>
            <w:pPr>
              <w:jc w:val="right"/>
              <w:spacing w:after="0"/>
              <w:rPr>
                <w:rFonts w:ascii="Arial" w:cs="Arial" w:eastAsia="Arial" w:hAnsi="Arial"/>
                <w:sz w:val="16"/>
                <w:szCs w:val="16"/>
                <w:color w:val="0000EE"/>
              </w:rPr>
            </w:pPr>
            <w:hyperlink w:anchor="page155">
              <w:r>
                <w:rPr>
                  <w:rFonts w:ascii="Arial" w:cs="Arial" w:eastAsia="Arial" w:hAnsi="Arial"/>
                  <w:sz w:val="16"/>
                  <w:szCs w:val="16"/>
                  <w:color w:val="0000EE"/>
                </w:rPr>
                <w:t>32.</w:t>
              </w:r>
              <w:r>
                <w:rPr>
                  <w:rFonts w:ascii="Arial" w:cs="Arial" w:eastAsia="Arial" w:hAnsi="Arial"/>
                  <w:sz w:val="16"/>
                  <w:szCs w:val="16"/>
                  <w:u w:val="single" w:color="auto"/>
                  <w:color w:val="0000EE"/>
                </w:rPr>
                <w:t>2*^</w:t>
              </w:r>
            </w:hyperlink>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11"/>
          </w:tcPr>
          <w:p>
            <w:pPr>
              <w:spacing w:after="0"/>
              <w:rPr>
                <w:rFonts w:ascii="Arial" w:cs="Arial" w:eastAsia="Arial" w:hAnsi="Arial"/>
                <w:sz w:val="16"/>
                <w:szCs w:val="16"/>
                <w:color w:val="0000EE"/>
                <w:w w:val="93"/>
              </w:rPr>
            </w:pPr>
            <w:hyperlink w:anchor="page155">
              <w:r>
                <w:rPr>
                  <w:rFonts w:ascii="Arial" w:cs="Arial" w:eastAsia="Arial" w:hAnsi="Arial"/>
                  <w:sz w:val="16"/>
                  <w:szCs w:val="16"/>
                  <w:color w:val="0000EE"/>
                  <w:w w:val="93"/>
                </w:rPr>
                <w:t>Certification of Chief Financial Officer required by Rule 13a-14(b) or Rule 15d-14(b) of the Exchange Act and</w:t>
              </w:r>
            </w:hyperlink>
          </w:p>
        </w:tc>
      </w:tr>
      <w:tr>
        <w:trPr>
          <w:trHeight w:val="183"/>
        </w:trPr>
        <w:tc>
          <w:tcPr>
            <w:tcW w:w="66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80" w:type="dxa"/>
            <w:vAlign w:val="bottom"/>
            <w:tcBorders>
              <w:top w:val="single" w:sz="8" w:color="0000EE"/>
            </w:tcBorders>
            <w:gridSpan w:val="10"/>
          </w:tcPr>
          <w:p>
            <w:pPr>
              <w:spacing w:after="0" w:line="183" w:lineRule="exact"/>
              <w:rPr>
                <w:rFonts w:ascii="Arial" w:cs="Arial" w:eastAsia="Arial" w:hAnsi="Arial"/>
                <w:sz w:val="16"/>
                <w:szCs w:val="16"/>
                <w:color w:val="0000EE"/>
              </w:rPr>
            </w:pPr>
            <w:hyperlink w:anchor="page155">
              <w:r>
                <w:rPr>
                  <w:rFonts w:ascii="Arial" w:cs="Arial" w:eastAsia="Arial" w:hAnsi="Arial"/>
                  <w:sz w:val="16"/>
                  <w:szCs w:val="16"/>
                  <w:color w:val="0000EE"/>
                </w:rPr>
                <w:t>Section 1350 of Chapter 63 of Title 18 of the United States Code.</w:t>
              </w:r>
            </w:hyperlink>
          </w:p>
        </w:tc>
        <w:tc>
          <w:tcPr>
            <w:tcW w:w="60" w:type="dxa"/>
            <w:vAlign w:val="bottom"/>
          </w:tcPr>
          <w:p>
            <w:pPr>
              <w:spacing w:after="0"/>
              <w:rPr>
                <w:sz w:val="15"/>
                <w:szCs w:val="15"/>
                <w:color w:val="auto"/>
              </w:rPr>
            </w:pPr>
          </w:p>
        </w:tc>
      </w:tr>
      <w:tr>
        <w:trPr>
          <w:trHeight w:val="20"/>
        </w:trPr>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5"/>
        </w:trPr>
        <w:tc>
          <w:tcPr>
            <w:tcW w:w="1020" w:type="dxa"/>
            <w:vAlign w:val="bottom"/>
            <w:gridSpan w:val="3"/>
          </w:tcPr>
          <w:p>
            <w:pPr>
              <w:jc w:val="right"/>
              <w:spacing w:after="0"/>
              <w:rPr>
                <w:rFonts w:ascii="Arial" w:cs="Arial" w:eastAsia="Arial" w:hAnsi="Arial"/>
                <w:sz w:val="16"/>
                <w:szCs w:val="16"/>
                <w:color w:val="0000EE"/>
              </w:rPr>
            </w:pPr>
            <w:hyperlink w:anchor="page156">
              <w:r>
                <w:rPr>
                  <w:rFonts w:ascii="Arial" w:cs="Arial" w:eastAsia="Arial" w:hAnsi="Arial"/>
                  <w:sz w:val="16"/>
                  <w:szCs w:val="16"/>
                  <w:color w:val="0000EE"/>
                </w:rPr>
                <w:t>99.</w:t>
              </w:r>
              <w:r>
                <w:rPr>
                  <w:rFonts w:ascii="Arial" w:cs="Arial" w:eastAsia="Arial" w:hAnsi="Arial"/>
                  <w:sz w:val="16"/>
                  <w:szCs w:val="16"/>
                  <w:u w:val="single" w:color="auto"/>
                  <w:color w:val="0000EE"/>
                </w:rPr>
                <w:t>1*</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11"/>
          </w:tcPr>
          <w:p>
            <w:pPr>
              <w:spacing w:after="0"/>
              <w:rPr>
                <w:rFonts w:ascii="Arial" w:cs="Arial" w:eastAsia="Arial" w:hAnsi="Arial"/>
                <w:sz w:val="16"/>
                <w:szCs w:val="16"/>
                <w:color w:val="0000EE"/>
                <w:w w:val="93"/>
              </w:rPr>
            </w:pPr>
            <w:hyperlink w:anchor="page156">
              <w:r>
                <w:rPr>
                  <w:rFonts w:ascii="Arial" w:cs="Arial" w:eastAsia="Arial" w:hAnsi="Arial"/>
                  <w:sz w:val="16"/>
                  <w:szCs w:val="16"/>
                  <w:color w:val="0000EE"/>
                  <w:w w:val="93"/>
                </w:rPr>
                <w:t>Audited Consolidated Financial Statements of I-45 SLF LLC as of March 31, 2018 and 2017 and for the years</w:t>
              </w:r>
            </w:hyperlink>
          </w:p>
        </w:tc>
      </w:tr>
      <w:tr>
        <w:trPr>
          <w:trHeight w:val="183"/>
        </w:trPr>
        <w:tc>
          <w:tcPr>
            <w:tcW w:w="66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140" w:type="dxa"/>
            <w:vAlign w:val="bottom"/>
            <w:tcBorders>
              <w:top w:val="single" w:sz="8" w:color="0000EE"/>
            </w:tcBorders>
            <w:gridSpan w:val="9"/>
          </w:tcPr>
          <w:p>
            <w:pPr>
              <w:spacing w:after="0" w:line="183" w:lineRule="exact"/>
              <w:rPr>
                <w:rFonts w:ascii="Arial" w:cs="Arial" w:eastAsia="Arial" w:hAnsi="Arial"/>
                <w:sz w:val="16"/>
                <w:szCs w:val="16"/>
                <w:color w:val="0000EE"/>
                <w:w w:val="92"/>
              </w:rPr>
            </w:pPr>
            <w:hyperlink w:anchor="page156">
              <w:r>
                <w:rPr>
                  <w:rFonts w:ascii="Arial" w:cs="Arial" w:eastAsia="Arial" w:hAnsi="Arial"/>
                  <w:sz w:val="16"/>
                  <w:szCs w:val="16"/>
                  <w:color w:val="0000EE"/>
                  <w:w w:val="92"/>
                </w:rPr>
                <w:t>ended March 31, 2018, 2017 and for the period from September 3, 2015 (the date of incorporation) to March</w:t>
              </w:r>
            </w:hyperlink>
          </w:p>
        </w:tc>
        <w:tc>
          <w:tcPr>
            <w:tcW w:w="100" w:type="dxa"/>
            <w:vAlign w:val="bottom"/>
            <w:gridSpan w:val="2"/>
          </w:tcPr>
          <w:p>
            <w:pPr>
              <w:spacing w:after="0"/>
              <w:rPr>
                <w:sz w:val="15"/>
                <w:szCs w:val="15"/>
                <w:color w:val="auto"/>
              </w:rPr>
            </w:pPr>
          </w:p>
        </w:tc>
      </w:tr>
      <w:tr>
        <w:trPr>
          <w:trHeight w:val="183"/>
        </w:trPr>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3"/>
              </w:rPr>
            </w:pPr>
            <w:hyperlink w:anchor="page156">
              <w:r>
                <w:rPr>
                  <w:rFonts w:ascii="Arial" w:cs="Arial" w:eastAsia="Arial" w:hAnsi="Arial"/>
                  <w:sz w:val="16"/>
                  <w:szCs w:val="16"/>
                  <w:color w:val="0000EE"/>
                  <w:w w:val="83"/>
                </w:rPr>
                <w:t>31, 2016.</w:t>
              </w:r>
            </w:hyperlink>
          </w:p>
        </w:tc>
        <w:tc>
          <w:tcPr>
            <w:tcW w:w="256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16"/>
        </w:trPr>
        <w:tc>
          <w:tcPr>
            <w:tcW w:w="1580" w:type="dxa"/>
            <w:vAlign w:val="bottom"/>
            <w:gridSpan w:val="5"/>
          </w:tcPr>
          <w:p>
            <w:pPr>
              <w:jc w:val="right"/>
              <w:ind w:right="480"/>
              <w:spacing w:after="0"/>
              <w:rPr>
                <w:sz w:val="20"/>
                <w:szCs w:val="20"/>
                <w:color w:val="auto"/>
              </w:rPr>
            </w:pPr>
            <w:r>
              <w:rPr>
                <w:rFonts w:ascii="Arial" w:cs="Arial" w:eastAsia="Arial" w:hAnsi="Arial"/>
                <w:sz w:val="16"/>
                <w:szCs w:val="16"/>
                <w:color w:val="auto"/>
              </w:rPr>
              <w:t>99.2**</w:t>
            </w:r>
          </w:p>
        </w:tc>
        <w:tc>
          <w:tcPr>
            <w:tcW w:w="240" w:type="dxa"/>
            <w:vAlign w:val="bottom"/>
          </w:tcPr>
          <w:p>
            <w:pPr>
              <w:spacing w:after="0"/>
              <w:rPr>
                <w:sz w:val="24"/>
                <w:szCs w:val="24"/>
                <w:color w:val="auto"/>
              </w:rPr>
            </w:pPr>
          </w:p>
        </w:tc>
        <w:tc>
          <w:tcPr>
            <w:tcW w:w="7240" w:type="dxa"/>
            <w:vAlign w:val="bottom"/>
            <w:gridSpan w:val="11"/>
          </w:tcPr>
          <w:p>
            <w:pPr>
              <w:spacing w:after="0"/>
              <w:rPr>
                <w:sz w:val="20"/>
                <w:szCs w:val="20"/>
                <w:color w:val="auto"/>
              </w:rPr>
            </w:pPr>
            <w:r>
              <w:rPr>
                <w:rFonts w:ascii="Arial" w:cs="Arial" w:eastAsia="Arial" w:hAnsi="Arial"/>
                <w:sz w:val="16"/>
                <w:szCs w:val="16"/>
                <w:color w:val="auto"/>
                <w:w w:val="91"/>
              </w:rPr>
              <w:t>Audited Consolidated Financial Statements of Media Recovery, Inc. as of September 30, 2018 and 2017 and for</w:t>
            </w:r>
          </w:p>
        </w:tc>
      </w:tr>
      <w:tr>
        <w:trPr>
          <w:trHeight w:val="20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40" w:type="dxa"/>
            <w:vAlign w:val="bottom"/>
            <w:gridSpan w:val="11"/>
          </w:tcPr>
          <w:p>
            <w:pPr>
              <w:spacing w:after="0"/>
              <w:rPr>
                <w:sz w:val="20"/>
                <w:szCs w:val="20"/>
                <w:color w:val="auto"/>
              </w:rPr>
            </w:pPr>
            <w:r>
              <w:rPr>
                <w:rFonts w:ascii="Arial" w:cs="Arial" w:eastAsia="Arial" w:hAnsi="Arial"/>
                <w:sz w:val="16"/>
                <w:szCs w:val="16"/>
                <w:color w:val="auto"/>
              </w:rPr>
              <w:t>the years ended September 30, 2018, 2017 and 2016.</w:t>
            </w:r>
          </w:p>
        </w:tc>
      </w:tr>
      <w:tr>
        <w:trPr>
          <w:trHeight w:val="371"/>
        </w:trPr>
        <w:tc>
          <w:tcPr>
            <w:tcW w:w="1020" w:type="dxa"/>
            <w:vAlign w:val="bottom"/>
            <w:gridSpan w:val="3"/>
          </w:tcPr>
          <w:p>
            <w:pPr>
              <w:jc w:val="right"/>
              <w:spacing w:after="0"/>
              <w:rPr>
                <w:rFonts w:ascii="Arial" w:cs="Arial" w:eastAsia="Arial" w:hAnsi="Arial"/>
                <w:sz w:val="16"/>
                <w:szCs w:val="16"/>
                <w:color w:val="0000EE"/>
              </w:rPr>
            </w:pPr>
            <w:hyperlink w:anchor="page174">
              <w:r>
                <w:rPr>
                  <w:rFonts w:ascii="Arial" w:cs="Arial" w:eastAsia="Arial" w:hAnsi="Arial"/>
                  <w:sz w:val="16"/>
                  <w:szCs w:val="16"/>
                  <w:color w:val="0000EE"/>
                </w:rPr>
                <w:t>99.</w:t>
              </w:r>
              <w:r>
                <w:rPr>
                  <w:rFonts w:ascii="Arial" w:cs="Arial" w:eastAsia="Arial" w:hAnsi="Arial"/>
                  <w:sz w:val="16"/>
                  <w:szCs w:val="16"/>
                  <w:u w:val="single" w:color="auto"/>
                  <w:color w:val="0000EE"/>
                </w:rPr>
                <w:t>3*</w:t>
              </w:r>
            </w:hyperlink>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40" w:type="dxa"/>
            <w:vAlign w:val="bottom"/>
            <w:gridSpan w:val="11"/>
          </w:tcPr>
          <w:p>
            <w:pPr>
              <w:spacing w:after="0"/>
              <w:rPr>
                <w:rFonts w:ascii="Arial" w:cs="Arial" w:eastAsia="Arial" w:hAnsi="Arial"/>
                <w:sz w:val="16"/>
                <w:szCs w:val="16"/>
                <w:color w:val="0000EE"/>
                <w:w w:val="93"/>
              </w:rPr>
            </w:pPr>
            <w:hyperlink w:anchor="page174">
              <w:r>
                <w:rPr>
                  <w:rFonts w:ascii="Arial" w:cs="Arial" w:eastAsia="Arial" w:hAnsi="Arial"/>
                  <w:sz w:val="16"/>
                  <w:szCs w:val="16"/>
                  <w:color w:val="0000EE"/>
                  <w:w w:val="93"/>
                </w:rPr>
                <w:t>Audited Consolidated Financial Statements of TitanLiner, Inc. as of December 31, 2017 and 2016 and for the</w:t>
              </w:r>
            </w:hyperlink>
          </w:p>
        </w:tc>
      </w:tr>
      <w:tr>
        <w:trPr>
          <w:trHeight w:val="183"/>
        </w:trPr>
        <w:tc>
          <w:tcPr>
            <w:tcW w:w="66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60" w:type="dxa"/>
            <w:vAlign w:val="bottom"/>
            <w:tcBorders>
              <w:top w:val="single" w:sz="8" w:color="0000EE"/>
            </w:tcBorders>
            <w:gridSpan w:val="8"/>
          </w:tcPr>
          <w:p>
            <w:pPr>
              <w:spacing w:after="0" w:line="183" w:lineRule="exact"/>
              <w:rPr>
                <w:rFonts w:ascii="Arial" w:cs="Arial" w:eastAsia="Arial" w:hAnsi="Arial"/>
                <w:sz w:val="16"/>
                <w:szCs w:val="16"/>
                <w:color w:val="0000EE"/>
              </w:rPr>
            </w:pPr>
            <w:hyperlink w:anchor="page174">
              <w:r>
                <w:rPr>
                  <w:rFonts w:ascii="Arial" w:cs="Arial" w:eastAsia="Arial" w:hAnsi="Arial"/>
                  <w:sz w:val="16"/>
                  <w:szCs w:val="16"/>
                  <w:color w:val="0000EE"/>
                </w:rPr>
                <w:t>years ended December 31, 2017, 2016 and 2015.</w:t>
              </w:r>
            </w:hyperlink>
          </w:p>
        </w:tc>
        <w:tc>
          <w:tcPr>
            <w:tcW w:w="180" w:type="dxa"/>
            <w:vAlign w:val="bottom"/>
            <w:gridSpan w:val="3"/>
          </w:tcPr>
          <w:p>
            <w:pPr>
              <w:spacing w:after="0"/>
              <w:rPr>
                <w:sz w:val="15"/>
                <w:szCs w:val="15"/>
                <w:color w:val="auto"/>
              </w:rPr>
            </w:pPr>
          </w:p>
        </w:tc>
      </w:tr>
      <w:tr>
        <w:trPr>
          <w:trHeight w:val="129"/>
        </w:trPr>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560" w:type="dxa"/>
            <w:vAlign w:val="bottom"/>
            <w:tcBorders>
              <w:top w:val="single" w:sz="8" w:color="0000EE"/>
            </w:tcBorders>
          </w:tcPr>
          <w:p>
            <w:pPr>
              <w:spacing w:after="0"/>
              <w:rPr>
                <w:sz w:val="11"/>
                <w:szCs w:val="11"/>
                <w:color w:val="auto"/>
              </w:rPr>
            </w:pPr>
          </w:p>
        </w:tc>
        <w:tc>
          <w:tcPr>
            <w:tcW w:w="10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Filed herewith.</w:t>
      </w:r>
    </w:p>
    <w:p>
      <w:pPr>
        <w:spacing w:after="0" w:line="22" w:lineRule="exact"/>
        <w:rPr>
          <w:sz w:val="20"/>
          <w:szCs w:val="20"/>
          <w:color w:val="auto"/>
        </w:rPr>
      </w:pPr>
    </w:p>
    <w:p>
      <w:pPr>
        <w:ind w:firstLine="3"/>
        <w:spacing w:after="0" w:line="264" w:lineRule="auto"/>
        <w:tabs>
          <w:tab w:leader="none" w:pos="21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Media Recovery, Inc. has a 2018 fiscal year to be ended September 30, 2018. These financial statements will be filed by amendment within 90 days of September 30, 2018.</w:t>
      </w:r>
    </w:p>
    <w:p>
      <w:pPr>
        <w:spacing w:after="0"/>
        <w:rPr>
          <w:rFonts w:ascii="Arial" w:cs="Arial" w:eastAsia="Arial" w:hAnsi="Arial"/>
          <w:sz w:val="16"/>
          <w:szCs w:val="16"/>
          <w:color w:val="auto"/>
        </w:rPr>
      </w:pPr>
      <w:r>
        <w:rPr>
          <w:rFonts w:ascii="Arial" w:cs="Arial" w:eastAsia="Arial" w:hAnsi="Arial"/>
          <w:sz w:val="16"/>
          <w:szCs w:val="16"/>
          <w:color w:val="auto"/>
        </w:rPr>
        <w:t>+ Indicates management contract or compensatory plan or arrangement.</w:t>
      </w:r>
    </w:p>
    <w:p>
      <w:pPr>
        <w:spacing w:after="0" w:line="18"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6"/>
          <w:szCs w:val="16"/>
          <w:color w:val="auto"/>
        </w:rPr>
        <w:t>^ The certifications attached as Exhibit 32.1 and 32.2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Annual Report, irrespective of any general incorporation language contained in any such filing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CAPITAL SOUTHWEST CORPORATION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Bowen S. Diehl</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Bowen S.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5984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President and Chief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7"/>
          <w:szCs w:val="17"/>
          <w:color w:val="auto"/>
        </w:rPr>
        <w:t>June 5</w:t>
      </w:r>
      <w:r>
        <w:rPr>
          <w:rFonts w:ascii="Arial" w:cs="Arial" w:eastAsia="Arial" w:hAnsi="Arial"/>
          <w:sz w:val="18"/>
          <w:szCs w:val="18"/>
          <w:color w:val="auto"/>
        </w:rPr>
        <w:t>,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KNOW ALL MEN BY THESE PRESENTS that each individual whose signature appears below hereby constitutes and appoints Bowen S. Diehl and Michael Sarner, and each or either of them, acting individually, as his true and lawful attorney-in-fact and agent, with full power of substitution and resubstitution, for him and in his name, place and stead, in any and all capacities to sign any and all amendments to this Annual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might or could do in person, hereby ratifying and confirming all that said attorney-in-fact and agent, or any of them, or their or his substitutes, may lawfully do or cause to be done or by virtue hereof.</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 of the Securities and Exchange Act of 1934, this report has been signed below by the following persons on behalf of the Registrant and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ind w:left="1200"/>
              <w:spacing w:after="0"/>
              <w:rPr>
                <w:sz w:val="20"/>
                <w:szCs w:val="20"/>
                <w:color w:val="auto"/>
              </w:rPr>
            </w:pPr>
            <w:r>
              <w:rPr>
                <w:rFonts w:ascii="Arial" w:cs="Arial" w:eastAsia="Arial" w:hAnsi="Arial"/>
                <w:sz w:val="18"/>
                <w:szCs w:val="18"/>
                <w:color w:val="auto"/>
              </w:rPr>
              <w:t>Signature</w:t>
            </w:r>
          </w:p>
        </w:tc>
        <w:tc>
          <w:tcPr>
            <w:tcW w:w="4040" w:type="dxa"/>
            <w:vAlign w:val="bottom"/>
          </w:tcPr>
          <w:p>
            <w:pPr>
              <w:jc w:val="center"/>
              <w:ind w:left="114"/>
              <w:spacing w:after="0"/>
              <w:rPr>
                <w:sz w:val="20"/>
                <w:szCs w:val="20"/>
                <w:color w:val="auto"/>
              </w:rPr>
            </w:pPr>
            <w:r>
              <w:rPr>
                <w:rFonts w:ascii="Arial" w:cs="Arial" w:eastAsia="Arial" w:hAnsi="Arial"/>
                <w:sz w:val="18"/>
                <w:szCs w:val="18"/>
                <w:color w:val="auto"/>
                <w:w w:val="93"/>
              </w:rPr>
              <w:t>Title</w:t>
            </w:r>
          </w:p>
        </w:tc>
        <w:tc>
          <w:tcPr>
            <w:tcW w:w="1540" w:type="dxa"/>
            <w:vAlign w:val="bottom"/>
          </w:tcPr>
          <w:p>
            <w:pPr>
              <w:jc w:val="center"/>
              <w:ind w:left="554"/>
              <w:spacing w:after="0"/>
              <w:rPr>
                <w:sz w:val="20"/>
                <w:szCs w:val="20"/>
                <w:color w:val="auto"/>
              </w:rPr>
            </w:pPr>
            <w:r>
              <w:rPr>
                <w:rFonts w:ascii="Arial" w:cs="Arial" w:eastAsia="Arial" w:hAnsi="Arial"/>
                <w:sz w:val="18"/>
                <w:szCs w:val="18"/>
                <w:color w:val="auto"/>
                <w:w w:val="89"/>
              </w:rPr>
              <w:t>Date</w:t>
            </w:r>
          </w:p>
        </w:tc>
      </w:tr>
      <w:tr>
        <w:trPr>
          <w:trHeight w:val="419"/>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R. Brooks</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1"/>
              </w:rPr>
              <w:t>Chairman of the Board</w:t>
            </w:r>
          </w:p>
        </w:tc>
        <w:tc>
          <w:tcPr>
            <w:tcW w:w="1540" w:type="dxa"/>
            <w:vAlign w:val="bottom"/>
          </w:tcPr>
          <w:p>
            <w:pPr>
              <w:jc w:val="center"/>
              <w:ind w:left="534"/>
              <w:spacing w:after="0"/>
              <w:rPr>
                <w:sz w:val="20"/>
                <w:szCs w:val="20"/>
                <w:color w:val="auto"/>
              </w:rPr>
            </w:pPr>
            <w:r>
              <w:rPr>
                <w:rFonts w:ascii="Arial" w:cs="Arial" w:eastAsia="Arial" w:hAnsi="Arial"/>
                <w:sz w:val="17"/>
                <w:szCs w:val="17"/>
                <w:color w:val="auto"/>
                <w:w w:val="90"/>
              </w:rPr>
              <w:t>June 5</w:t>
            </w:r>
            <w:r>
              <w:rPr>
                <w:rFonts w:ascii="Arial" w:cs="Arial" w:eastAsia="Arial" w:hAnsi="Arial"/>
                <w:sz w:val="18"/>
                <w:szCs w:val="18"/>
                <w:color w:val="auto"/>
                <w:w w:val="90"/>
              </w:rPr>
              <w:t>, 2018</w:t>
            </w:r>
          </w:p>
        </w:tc>
      </w:tr>
      <w:tr>
        <w:trPr>
          <w:trHeight w:val="210"/>
        </w:trPr>
        <w:tc>
          <w:tcPr>
            <w:tcW w:w="3060" w:type="dxa"/>
            <w:vAlign w:val="bottom"/>
          </w:tcPr>
          <w:p>
            <w:pPr>
              <w:ind w:left="240"/>
              <w:spacing w:after="0"/>
              <w:rPr>
                <w:sz w:val="20"/>
                <w:szCs w:val="20"/>
                <w:color w:val="auto"/>
              </w:rPr>
            </w:pPr>
            <w:r>
              <w:rPr>
                <w:rFonts w:ascii="Arial" w:cs="Arial" w:eastAsia="Arial" w:hAnsi="Arial"/>
                <w:sz w:val="17"/>
                <w:szCs w:val="17"/>
                <w:color w:val="auto"/>
              </w:rPr>
              <w:t>David R. Brooks</w:t>
            </w:r>
          </w:p>
        </w:tc>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Jack D. Furst</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4"/>
              </w:rPr>
              <w:t>Director</w:t>
            </w:r>
          </w:p>
        </w:tc>
        <w:tc>
          <w:tcPr>
            <w:tcW w:w="1540" w:type="dxa"/>
            <w:vAlign w:val="bottom"/>
          </w:tcPr>
          <w:p>
            <w:pPr>
              <w:jc w:val="center"/>
              <w:ind w:left="534"/>
              <w:spacing w:after="0"/>
              <w:rPr>
                <w:sz w:val="20"/>
                <w:szCs w:val="20"/>
                <w:color w:val="auto"/>
              </w:rPr>
            </w:pPr>
            <w:r>
              <w:rPr>
                <w:rFonts w:ascii="Arial" w:cs="Arial" w:eastAsia="Arial" w:hAnsi="Arial"/>
                <w:sz w:val="17"/>
                <w:szCs w:val="17"/>
                <w:color w:val="auto"/>
                <w:w w:val="87"/>
              </w:rPr>
              <w:t>June 5</w:t>
            </w:r>
            <w:r>
              <w:rPr>
                <w:rFonts w:ascii="Arial" w:cs="Arial" w:eastAsia="Arial" w:hAnsi="Arial"/>
                <w:sz w:val="18"/>
                <w:szCs w:val="18"/>
                <w:color w:val="auto"/>
                <w:w w:val="87"/>
              </w:rPr>
              <w:t>, 2018</w:t>
            </w:r>
          </w:p>
        </w:tc>
      </w:tr>
      <w:tr>
        <w:trPr>
          <w:trHeight w:val="210"/>
        </w:trPr>
        <w:tc>
          <w:tcPr>
            <w:tcW w:w="3060" w:type="dxa"/>
            <w:vAlign w:val="bottom"/>
          </w:tcPr>
          <w:p>
            <w:pPr>
              <w:ind w:left="240"/>
              <w:spacing w:after="0"/>
              <w:rPr>
                <w:sz w:val="20"/>
                <w:szCs w:val="20"/>
                <w:color w:val="auto"/>
              </w:rPr>
            </w:pPr>
            <w:r>
              <w:rPr>
                <w:rFonts w:ascii="Arial" w:cs="Arial" w:eastAsia="Arial" w:hAnsi="Arial"/>
                <w:sz w:val="17"/>
                <w:szCs w:val="17"/>
                <w:color w:val="auto"/>
              </w:rPr>
              <w:t>Jack D. Furst</w:t>
            </w:r>
          </w:p>
        </w:tc>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 Duane Morgan</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4"/>
              </w:rPr>
              <w:t>Director</w:t>
            </w:r>
          </w:p>
        </w:tc>
        <w:tc>
          <w:tcPr>
            <w:tcW w:w="1540" w:type="dxa"/>
            <w:vAlign w:val="bottom"/>
          </w:tcPr>
          <w:p>
            <w:pPr>
              <w:jc w:val="center"/>
              <w:ind w:left="534"/>
              <w:spacing w:after="0"/>
              <w:rPr>
                <w:sz w:val="20"/>
                <w:szCs w:val="20"/>
                <w:color w:val="auto"/>
              </w:rPr>
            </w:pPr>
            <w:r>
              <w:rPr>
                <w:rFonts w:ascii="Arial" w:cs="Arial" w:eastAsia="Arial" w:hAnsi="Arial"/>
                <w:sz w:val="17"/>
                <w:szCs w:val="17"/>
                <w:color w:val="auto"/>
                <w:w w:val="87"/>
              </w:rPr>
              <w:t>June 5</w:t>
            </w:r>
            <w:r>
              <w:rPr>
                <w:rFonts w:ascii="Arial" w:cs="Arial" w:eastAsia="Arial" w:hAnsi="Arial"/>
                <w:sz w:val="18"/>
                <w:szCs w:val="18"/>
                <w:color w:val="auto"/>
                <w:w w:val="87"/>
              </w:rPr>
              <w:t>, 2018</w:t>
            </w:r>
          </w:p>
        </w:tc>
      </w:tr>
      <w:tr>
        <w:trPr>
          <w:trHeight w:val="210"/>
        </w:trPr>
        <w:tc>
          <w:tcPr>
            <w:tcW w:w="3060" w:type="dxa"/>
            <w:vAlign w:val="bottom"/>
          </w:tcPr>
          <w:p>
            <w:pPr>
              <w:ind w:left="240"/>
              <w:spacing w:after="0"/>
              <w:rPr>
                <w:sz w:val="20"/>
                <w:szCs w:val="20"/>
                <w:color w:val="auto"/>
              </w:rPr>
            </w:pPr>
            <w:r>
              <w:rPr>
                <w:rFonts w:ascii="Arial" w:cs="Arial" w:eastAsia="Arial" w:hAnsi="Arial"/>
                <w:sz w:val="17"/>
                <w:szCs w:val="17"/>
                <w:color w:val="auto"/>
              </w:rPr>
              <w:t>T. Duane Morgan</w:t>
            </w:r>
          </w:p>
        </w:tc>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Thomas III</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4"/>
              </w:rPr>
              <w:t>Director</w:t>
            </w:r>
          </w:p>
        </w:tc>
        <w:tc>
          <w:tcPr>
            <w:tcW w:w="1540" w:type="dxa"/>
            <w:vAlign w:val="bottom"/>
          </w:tcPr>
          <w:p>
            <w:pPr>
              <w:jc w:val="center"/>
              <w:ind w:left="534"/>
              <w:spacing w:after="0"/>
              <w:rPr>
                <w:sz w:val="20"/>
                <w:szCs w:val="20"/>
                <w:color w:val="auto"/>
              </w:rPr>
            </w:pPr>
            <w:r>
              <w:rPr>
                <w:rFonts w:ascii="Arial" w:cs="Arial" w:eastAsia="Arial" w:hAnsi="Arial"/>
                <w:sz w:val="17"/>
                <w:szCs w:val="17"/>
                <w:color w:val="auto"/>
                <w:w w:val="87"/>
              </w:rPr>
              <w:t>June 5</w:t>
            </w:r>
            <w:r>
              <w:rPr>
                <w:rFonts w:ascii="Arial" w:cs="Arial" w:eastAsia="Arial" w:hAnsi="Arial"/>
                <w:sz w:val="18"/>
                <w:szCs w:val="18"/>
                <w:color w:val="auto"/>
                <w:w w:val="87"/>
              </w:rPr>
              <w:t>, 2018</w:t>
            </w:r>
          </w:p>
        </w:tc>
      </w:tr>
      <w:tr>
        <w:trPr>
          <w:trHeight w:val="210"/>
        </w:trPr>
        <w:tc>
          <w:tcPr>
            <w:tcW w:w="3060" w:type="dxa"/>
            <w:vAlign w:val="bottom"/>
          </w:tcPr>
          <w:p>
            <w:pPr>
              <w:ind w:left="240"/>
              <w:spacing w:after="0"/>
              <w:rPr>
                <w:sz w:val="20"/>
                <w:szCs w:val="20"/>
                <w:color w:val="auto"/>
              </w:rPr>
            </w:pPr>
            <w:r>
              <w:rPr>
                <w:rFonts w:ascii="Arial" w:cs="Arial" w:eastAsia="Arial" w:hAnsi="Arial"/>
                <w:sz w:val="17"/>
                <w:szCs w:val="17"/>
                <w:color w:val="auto"/>
              </w:rPr>
              <w:t>William Thomas III</w:t>
            </w:r>
          </w:p>
        </w:tc>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H. Wilson</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4"/>
              </w:rPr>
              <w:t>Director</w:t>
            </w:r>
          </w:p>
        </w:tc>
        <w:tc>
          <w:tcPr>
            <w:tcW w:w="1540" w:type="dxa"/>
            <w:vAlign w:val="bottom"/>
          </w:tcPr>
          <w:p>
            <w:pPr>
              <w:jc w:val="center"/>
              <w:ind w:left="534"/>
              <w:spacing w:after="0"/>
              <w:rPr>
                <w:sz w:val="20"/>
                <w:szCs w:val="20"/>
                <w:color w:val="auto"/>
              </w:rPr>
            </w:pPr>
            <w:r>
              <w:rPr>
                <w:rFonts w:ascii="Arial" w:cs="Arial" w:eastAsia="Arial" w:hAnsi="Arial"/>
                <w:sz w:val="17"/>
                <w:szCs w:val="17"/>
                <w:color w:val="auto"/>
                <w:w w:val="87"/>
              </w:rPr>
              <w:t>June 5</w:t>
            </w:r>
            <w:r>
              <w:rPr>
                <w:rFonts w:ascii="Arial" w:cs="Arial" w:eastAsia="Arial" w:hAnsi="Arial"/>
                <w:sz w:val="18"/>
                <w:szCs w:val="18"/>
                <w:color w:val="auto"/>
                <w:w w:val="87"/>
              </w:rPr>
              <w:t>, 2018</w:t>
            </w:r>
          </w:p>
        </w:tc>
      </w:tr>
      <w:tr>
        <w:trPr>
          <w:trHeight w:val="210"/>
        </w:trPr>
        <w:tc>
          <w:tcPr>
            <w:tcW w:w="3060" w:type="dxa"/>
            <w:vAlign w:val="bottom"/>
          </w:tcPr>
          <w:p>
            <w:pPr>
              <w:ind w:left="240"/>
              <w:spacing w:after="0"/>
              <w:rPr>
                <w:sz w:val="20"/>
                <w:szCs w:val="20"/>
                <w:color w:val="auto"/>
              </w:rPr>
            </w:pPr>
            <w:r>
              <w:rPr>
                <w:rFonts w:ascii="Arial" w:cs="Arial" w:eastAsia="Arial" w:hAnsi="Arial"/>
                <w:sz w:val="17"/>
                <w:szCs w:val="17"/>
                <w:color w:val="auto"/>
              </w:rPr>
              <w:t>John H. Wilson</w:t>
            </w:r>
          </w:p>
        </w:tc>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Bowen S. Diehl</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2"/>
              </w:rPr>
              <w:t>President and Chief Executive Officer</w:t>
            </w:r>
          </w:p>
        </w:tc>
        <w:tc>
          <w:tcPr>
            <w:tcW w:w="1540" w:type="dxa"/>
            <w:vAlign w:val="bottom"/>
          </w:tcPr>
          <w:p>
            <w:pPr>
              <w:jc w:val="center"/>
              <w:ind w:left="534"/>
              <w:spacing w:after="0"/>
              <w:rPr>
                <w:sz w:val="20"/>
                <w:szCs w:val="20"/>
                <w:color w:val="auto"/>
              </w:rPr>
            </w:pPr>
            <w:r>
              <w:rPr>
                <w:rFonts w:ascii="Arial" w:cs="Arial" w:eastAsia="Arial" w:hAnsi="Arial"/>
                <w:sz w:val="17"/>
                <w:szCs w:val="17"/>
                <w:color w:val="auto"/>
                <w:w w:val="87"/>
              </w:rPr>
              <w:t>June 5</w:t>
            </w:r>
            <w:r>
              <w:rPr>
                <w:rFonts w:ascii="Arial" w:cs="Arial" w:eastAsia="Arial" w:hAnsi="Arial"/>
                <w:sz w:val="18"/>
                <w:szCs w:val="18"/>
                <w:color w:val="auto"/>
                <w:w w:val="87"/>
              </w:rPr>
              <w:t>, 2018</w:t>
            </w:r>
          </w:p>
        </w:tc>
      </w:tr>
      <w:tr>
        <w:trPr>
          <w:trHeight w:val="210"/>
        </w:trPr>
        <w:tc>
          <w:tcPr>
            <w:tcW w:w="3060" w:type="dxa"/>
            <w:vAlign w:val="bottom"/>
          </w:tcPr>
          <w:p>
            <w:pPr>
              <w:ind w:left="240"/>
              <w:spacing w:after="0"/>
              <w:rPr>
                <w:sz w:val="20"/>
                <w:szCs w:val="20"/>
                <w:color w:val="auto"/>
              </w:rPr>
            </w:pPr>
            <w:r>
              <w:rPr>
                <w:rFonts w:ascii="Arial" w:cs="Arial" w:eastAsia="Arial" w:hAnsi="Arial"/>
                <w:sz w:val="17"/>
                <w:szCs w:val="17"/>
                <w:color w:val="auto"/>
              </w:rPr>
              <w:t>Bowen S. Diehl</w:t>
            </w:r>
          </w:p>
        </w:tc>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Sarner</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5"/>
              </w:rPr>
              <w:t>Chief Financial Officer</w:t>
            </w:r>
          </w:p>
        </w:tc>
        <w:tc>
          <w:tcPr>
            <w:tcW w:w="1540" w:type="dxa"/>
            <w:vAlign w:val="bottom"/>
          </w:tcPr>
          <w:p>
            <w:pPr>
              <w:jc w:val="center"/>
              <w:ind w:left="534"/>
              <w:spacing w:after="0"/>
              <w:rPr>
                <w:sz w:val="20"/>
                <w:szCs w:val="20"/>
                <w:color w:val="auto"/>
              </w:rPr>
            </w:pPr>
            <w:r>
              <w:rPr>
                <w:rFonts w:ascii="Arial" w:cs="Arial" w:eastAsia="Arial" w:hAnsi="Arial"/>
                <w:sz w:val="17"/>
                <w:szCs w:val="17"/>
                <w:color w:val="auto"/>
                <w:w w:val="87"/>
              </w:rPr>
              <w:t>June 5</w:t>
            </w:r>
            <w:r>
              <w:rPr>
                <w:rFonts w:ascii="Arial" w:cs="Arial" w:eastAsia="Arial" w:hAnsi="Arial"/>
                <w:sz w:val="18"/>
                <w:szCs w:val="18"/>
                <w:color w:val="auto"/>
                <w:w w:val="87"/>
              </w:rPr>
              <w:t>, 2018</w:t>
            </w:r>
          </w:p>
        </w:tc>
      </w:tr>
      <w:tr>
        <w:trPr>
          <w:trHeight w:val="210"/>
        </w:trPr>
        <w:tc>
          <w:tcPr>
            <w:tcW w:w="3060" w:type="dxa"/>
            <w:vAlign w:val="bottom"/>
          </w:tcPr>
          <w:p>
            <w:pPr>
              <w:ind w:left="240"/>
              <w:spacing w:after="0"/>
              <w:rPr>
                <w:sz w:val="20"/>
                <w:szCs w:val="20"/>
                <w:color w:val="auto"/>
              </w:rPr>
            </w:pPr>
            <w:r>
              <w:rPr>
                <w:rFonts w:ascii="Arial" w:cs="Arial" w:eastAsia="Arial" w:hAnsi="Arial"/>
                <w:sz w:val="17"/>
                <w:szCs w:val="17"/>
                <w:color w:val="auto"/>
              </w:rPr>
              <w:t>Michael Sarner</w:t>
            </w:r>
          </w:p>
        </w:tc>
        <w:tc>
          <w:tcPr>
            <w:tcW w:w="4040" w:type="dxa"/>
            <w:vAlign w:val="bottom"/>
          </w:tcPr>
          <w:p>
            <w:pPr>
              <w:jc w:val="center"/>
              <w:ind w:left="114"/>
              <w:spacing w:after="0"/>
              <w:rPr>
                <w:sz w:val="20"/>
                <w:szCs w:val="20"/>
                <w:color w:val="auto"/>
              </w:rPr>
            </w:pPr>
            <w:r>
              <w:rPr>
                <w:rFonts w:ascii="Arial" w:cs="Arial" w:eastAsia="Arial" w:hAnsi="Arial"/>
                <w:sz w:val="17"/>
                <w:szCs w:val="17"/>
                <w:color w:val="auto"/>
                <w:w w:val="95"/>
              </w:rPr>
              <w:t>(Chief Financial/Accounting Officer)</w:t>
            </w:r>
          </w:p>
        </w:tc>
        <w:tc>
          <w:tcPr>
            <w:tcW w:w="15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10.40</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Execution Version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MASTER REIMBURSEMENT AGREEMENT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MASTER REIMBURSEMENT AGREEMENT for the Issuance of Standby Letters Of Credit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May 9, 2018, by and between CAPITAL SOUTHWEST CORPORATION, a Texas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and ING CAPITAL LLC (the “</w:t>
      </w:r>
      <w:r>
        <w:rPr>
          <w:rFonts w:ascii="Arial" w:cs="Arial" w:eastAsia="Arial" w:hAnsi="Arial"/>
          <w:sz w:val="20"/>
          <w:szCs w:val="20"/>
          <w:b w:val="1"/>
          <w:bCs w:val="1"/>
          <w:color w:val="auto"/>
        </w:rPr>
        <w:t>Issuer</w:t>
      </w:r>
      <w:r>
        <w:rPr>
          <w:rFonts w:ascii="Arial" w:cs="Arial" w:eastAsia="Arial" w:hAnsi="Arial"/>
          <w:sz w:val="20"/>
          <w:szCs w:val="20"/>
          <w:color w:val="auto"/>
        </w:rPr>
        <w:t>” and together with the Borrower,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Borrower wishes to enter into this Agreement with the Issuer for the issuance of Standby Letters of Credit (as hereinafter defined);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the Issuer has agreed to enter into this Agreement with the Borrower and to issue the Standby Letters of Credit from time to time requested by the Borrower, subject to the terms and conditions set forth herein;</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agreements herein, the Parties agree to the following terms and conditions: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Definitions</w:t>
      </w:r>
      <w:r>
        <w:rPr>
          <w:rFonts w:ascii="Arial" w:cs="Arial" w:eastAsia="Arial" w:hAnsi="Arial"/>
          <w:sz w:val="20"/>
          <w:szCs w:val="20"/>
          <w:color w:val="auto"/>
        </w:rPr>
        <w:t>. As used in this Agreement or in the Application Form (as hereinafter defined), the following terms shall have the respective meanings indicated below, such meanings to be applicable equally to both the singular and plural forms of such terms: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LIBO Rate</w:t>
      </w:r>
      <w:r>
        <w:rPr>
          <w:rFonts w:ascii="Arial" w:cs="Arial" w:eastAsia="Arial" w:hAnsi="Arial"/>
          <w:sz w:val="20"/>
          <w:szCs w:val="20"/>
          <w:color w:val="auto"/>
        </w:rPr>
        <w:t xml:space="preserve">” means, for each period equal to three months (commencing on the date hereof), an interest rate per annum (rounded upwards, if necessary, to the next 1/16 of 1%) equal to the greater of (i) (a) the LIBO Rate for such period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(b) the Statutory Reserve Rate for such period and (ii) zero.</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Applicant</w:t>
      </w:r>
      <w:r>
        <w:rPr>
          <w:rFonts w:ascii="Arial" w:cs="Arial" w:eastAsia="Arial" w:hAnsi="Arial"/>
          <w:sz w:val="20"/>
          <w:szCs w:val="20"/>
          <w:color w:val="auto"/>
        </w:rPr>
        <w:t>” has the meaning set forth in Section 2.</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Application Form</w:t>
      </w:r>
      <w:r>
        <w:rPr>
          <w:rFonts w:ascii="Arial" w:cs="Arial" w:eastAsia="Arial" w:hAnsi="Arial"/>
          <w:sz w:val="20"/>
          <w:szCs w:val="20"/>
          <w:color w:val="auto"/>
        </w:rPr>
        <w:t xml:space="preserve">” means an application for the issue of a Standby Letter of Credit submitted by the Borrower to the Issuer,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as otherwise approved by the Issuer in its reasonable discretion.</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Rate</w:t>
      </w:r>
      <w:r>
        <w:rPr>
          <w:rFonts w:ascii="Arial" w:cs="Arial" w:eastAsia="Arial" w:hAnsi="Arial"/>
          <w:sz w:val="20"/>
          <w:szCs w:val="20"/>
          <w:color w:val="auto"/>
        </w:rPr>
        <w:t xml:space="preserve">” means, for any day, a rate per annum equal to the greatest of (a) the Prime Rate in effect on such day, (b) the Federal Funds Effective Rate for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1/2 of 1%, and (c) zero. Any change in the Base Rate due to a change in the Prime Rate or the Federal Funds Effective Rate shall be effective from and including the effective date of such change in the Prime Rate or the Federal Funds Effective Rate, as the case may be.</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Beneficiary</w:t>
      </w:r>
      <w:r>
        <w:rPr>
          <w:rFonts w:ascii="Arial" w:cs="Arial" w:eastAsia="Arial" w:hAnsi="Arial"/>
          <w:sz w:val="20"/>
          <w:szCs w:val="20"/>
          <w:color w:val="auto"/>
        </w:rPr>
        <w:t>” means anyone named in the Standby Letter of Credit as the person or entity authorized to submit a Demand and any other accompanying documents and instruments to the Issuer for payment.</w:t>
      </w:r>
    </w:p>
    <w:p>
      <w:pPr>
        <w:spacing w:after="0" w:line="16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that is not a Saturday, Sunday or other day on which commercial Issuers in New York City are authorized or required by law to remain closed.</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Law</w:t>
      </w:r>
      <w:r>
        <w:rPr>
          <w:rFonts w:ascii="Arial" w:cs="Arial" w:eastAsia="Arial" w:hAnsi="Arial"/>
          <w:sz w:val="20"/>
          <w:szCs w:val="20"/>
          <w:color w:val="auto"/>
        </w:rPr>
        <w:t>” has the meaning given to such term in the Revolving Credit Agreement.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w:t>
      </w:r>
      <w:r>
        <w:rPr>
          <w:rFonts w:ascii="Arial" w:cs="Arial" w:eastAsia="Arial" w:hAnsi="Arial"/>
          <w:sz w:val="20"/>
          <w:szCs w:val="20"/>
          <w:color w:val="auto"/>
        </w:rPr>
        <w:t>” means any event or circumstance which, with the giving of notice or the lapse of time or both, would constitute an Event of Default.</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Demand</w:t>
      </w:r>
      <w:r>
        <w:rPr>
          <w:rFonts w:ascii="Arial" w:cs="Arial" w:eastAsia="Arial" w:hAnsi="Arial"/>
          <w:sz w:val="19"/>
          <w:szCs w:val="19"/>
          <w:color w:val="auto"/>
        </w:rPr>
        <w:t>” means any claim, demand or request for payment made by a Beneficiary, and paid by the Issuer on the basis of a Standby Letter of Credit or any other similar instrument issued pursuant to this Agreement.</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Dollars</w:t>
      </w:r>
      <w:r>
        <w:rPr>
          <w:rFonts w:ascii="Arial" w:cs="Arial" w:eastAsia="Arial" w:hAnsi="Arial"/>
          <w:sz w:val="20"/>
          <w:szCs w:val="20"/>
          <w:color w:val="auto"/>
        </w:rPr>
        <w:t>” means lawful money of the United States of America.</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Default</w:t>
      </w:r>
      <w:r>
        <w:rPr>
          <w:rFonts w:ascii="Arial" w:cs="Arial" w:eastAsia="Arial" w:hAnsi="Arial"/>
          <w:sz w:val="20"/>
          <w:szCs w:val="20"/>
          <w:color w:val="auto"/>
        </w:rPr>
        <w:t>” means the occurrence of any event or condition set forth in Section 11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30" w:name="page131"/>
    <w:bookmarkEnd w:id="130"/>
    <w:p>
      <w:pPr>
        <w:jc w:val="both"/>
        <w:ind w:left="1"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Taxes</w:t>
      </w:r>
      <w:r>
        <w:rPr>
          <w:rFonts w:ascii="Arial" w:cs="Arial" w:eastAsia="Arial" w:hAnsi="Arial"/>
          <w:sz w:val="20"/>
          <w:szCs w:val="20"/>
          <w:color w:val="auto"/>
        </w:rPr>
        <w:t>” means (A) U.S. federal withholding taxes imposed on amounts payable to or for the account of the Issuer in respect of any payments hereunder pursuant to a law in effect as of the date of this Agreement, (B) to the extent that Issuer is entitled to an exemption from or reduction of withholding tax with respect to any payments hereunder, taxes attributable to the Issuer’s failure to provide any documentation and/or certifications to the Borrower that are required under applicable law to obtain such reduction or exemption from such taxes, and (C) U.S. federal withholding taxes imposed under the Foreign Account Tax Compliance Act.</w:t>
      </w:r>
    </w:p>
    <w:p>
      <w:pPr>
        <w:spacing w:after="0" w:line="186" w:lineRule="exact"/>
        <w:rPr>
          <w:sz w:val="20"/>
          <w:szCs w:val="20"/>
          <w:color w:val="auto"/>
        </w:rPr>
      </w:pPr>
    </w:p>
    <w:p>
      <w:pPr>
        <w:jc w:val="both"/>
        <w:ind w:left="1"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Documents</w:t>
      </w:r>
      <w:r>
        <w:rPr>
          <w:rFonts w:ascii="Arial" w:cs="Arial" w:eastAsia="Arial" w:hAnsi="Arial"/>
          <w:sz w:val="18"/>
          <w:szCs w:val="18"/>
          <w:color w:val="auto"/>
        </w:rPr>
        <w:t>” means this Agreement, each Application Form and all other agreements and documents executed and/or delivered pursuant hereto, as each may be amended, modified, extended or renewed from time to time.</w:t>
      </w:r>
    </w:p>
    <w:p>
      <w:pPr>
        <w:spacing w:after="0" w:line="118" w:lineRule="exact"/>
        <w:rPr>
          <w:sz w:val="20"/>
          <w:szCs w:val="20"/>
          <w:color w:val="auto"/>
        </w:rPr>
      </w:pPr>
    </w:p>
    <w:p>
      <w:pPr>
        <w:jc w:val="both"/>
        <w:ind w:left="1" w:firstLine="648"/>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Effective Rate</w:t>
      </w:r>
      <w:r>
        <w:rPr>
          <w:rFonts w:ascii="Arial" w:cs="Arial" w:eastAsia="Arial" w:hAnsi="Arial"/>
          <w:sz w:val="16"/>
          <w:szCs w:val="16"/>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Issuer of New York, or, if such rate is not so published for any day that is a Business Day, the average (rounded upwards, if necessary, to the next 1/100 of 1%) of the quotations for such day for such transactions received by the Issuer from three Federal funds brokers of recognized standing selected by it.</w:t>
      </w:r>
    </w:p>
    <w:p>
      <w:pPr>
        <w:spacing w:after="0" w:line="12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ISP98</w:t>
      </w:r>
      <w:r>
        <w:rPr>
          <w:rFonts w:ascii="Arial" w:cs="Arial" w:eastAsia="Arial" w:hAnsi="Arial"/>
          <w:sz w:val="20"/>
          <w:szCs w:val="20"/>
          <w:color w:val="auto"/>
        </w:rPr>
        <w:t>” means the International Standby Practices published by the International Chamber of Commerce.</w:t>
      </w:r>
    </w:p>
    <w:p>
      <w:pPr>
        <w:spacing w:after="0" w:line="216" w:lineRule="exact"/>
        <w:rPr>
          <w:sz w:val="20"/>
          <w:szCs w:val="20"/>
          <w:color w:val="auto"/>
        </w:rPr>
      </w:pPr>
    </w:p>
    <w:p>
      <w:pPr>
        <w:jc w:val="both"/>
        <w:ind w:left="1" w:firstLine="648"/>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Exposure</w:t>
      </w:r>
      <w:r>
        <w:rPr>
          <w:rFonts w:ascii="Arial" w:cs="Arial" w:eastAsia="Arial" w:hAnsi="Arial"/>
          <w:sz w:val="18"/>
          <w:szCs w:val="18"/>
          <w:color w:val="auto"/>
        </w:rPr>
        <w:t>” means, at any time, the aggregate undrawn amount of all outstanding Standby Letters of Credit at such time (including any Standby Letter of Credit for which a draft has been presented but not yet honored by the Issuer).</w:t>
      </w:r>
    </w:p>
    <w:p>
      <w:pPr>
        <w:spacing w:after="0" w:line="118"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means, as of any date of determination, (i) the Intercontinental Exchange Benchmark Administration Ltd. LIBO Rate (or the successor thereto if the Intercontinental Exchange Benchmark Administration Ltd. is no longer making such rates available) per annum for deposits in Dollars for a period equal to three months appearing on the display designated as Reuters Screen LIBO01 Page (or such other page on that service or such other service designated by the Intercontinental Exchange Benchmark Administration Ltd. LIBO Rate (or the successor thereto if the Intercontinental Exchange Benchmark Administration Ltd. is no longer making such rates available) for the display of such Administration’s Interest Settlement Rates for deposits in Dollars) as of 11:00 a.m., London time on the day that is two Business Days prior to such date of determination (or if such Reuters Screen LIBO01 Page is unavailable for any reason at such time, the rate which appears on the Reuters Screen ISDA Page as of such date and such time), (ii) if the Issuer determines that the sources set forth in clause</w:t>
      </w:r>
    </w:p>
    <w:p>
      <w:pPr>
        <w:jc w:val="both"/>
        <w:ind w:left="1" w:hanging="1"/>
        <w:spacing w:after="0" w:line="268" w:lineRule="auto"/>
        <w:tabs>
          <w:tab w:leader="none" w:pos="25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are unavailable as of such date of determination, LIBO Rate for purposes of this definition shall mean the rate of interest determined by the Issuer to be the average (rounded upward, if necessary, to the nearest 1/100th of 1%) of the rates per annum at which deposits in Dollars for a period equal to three months are offered to the Issuer two (2) business days preceding such date of determination by leading banks in the London interbank market as of 11:00 a.m. for delivery on such date of determination, for the number of days comprised therein and in an amount comparable to the amount of Obligations outstanding hereunder, or (iii) if the Issuer determines that the sources set forth in clause (i) are permanently unavailable for deposits in Dollars for a period equal to three months, LIBO Rate for purposes of this definition shall mean a comparable or successor rate, which rate is reasonably approved by the Issuer in consultation with the Borrower and which rate is consistent with the then prevailing market convention for determining a rate of interest for syndicated loans in the United States at such time; provided, that if the LIBO Rate is less than zero for any relevant period, such rate shall be deemed to be zero for such period. To the extent a comparable or successor rate is approved by the Issuer in consultation with the Borrower in accordance with clause (iii) above, the approved rate shall be applied in a manner consistent with market practice; provided, that to the extent such market practice is not administratively feasible for the Issuer, such approved rate shall be applied in a manner as otherwise reasonably determined by the Issuer.</w:t>
      </w:r>
    </w:p>
    <w:p>
      <w:pPr>
        <w:spacing w:after="0" w:line="172"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Facility Amount</w:t>
      </w:r>
      <w:r>
        <w:rPr>
          <w:rFonts w:ascii="Arial" w:cs="Arial" w:eastAsia="Arial" w:hAnsi="Arial"/>
          <w:sz w:val="20"/>
          <w:szCs w:val="20"/>
          <w:color w:val="auto"/>
        </w:rPr>
        <w:t>” has the meaning set forth in Section 2.</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Obligations</w:t>
      </w:r>
      <w:r>
        <w:rPr>
          <w:rFonts w:ascii="Arial" w:cs="Arial" w:eastAsia="Arial" w:hAnsi="Arial"/>
          <w:sz w:val="20"/>
          <w:szCs w:val="20"/>
          <w:color w:val="auto"/>
        </w:rPr>
        <w:t>” has the meaning set forth in Section 4.</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means the Office of Foreign Asset Control, Department of the Treasury.</w:t>
      </w:r>
    </w:p>
    <w:p>
      <w:pPr>
        <w:spacing w:after="0" w:line="216"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this Agreement, except any such Taxes imposed with respect to an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5" w:right="919" w:bottom="1440" w:gutter="0" w:footer="0" w:header="0"/>
        </w:sectPr>
      </w:pPr>
    </w:p>
    <w:bookmarkStart w:id="131" w:name="page132"/>
    <w:bookmarkEnd w:id="131"/>
    <w:p>
      <w:pPr>
        <w:jc w:val="both"/>
        <w:ind w:firstLine="648"/>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Prime Rate</w:t>
      </w:r>
      <w:r>
        <w:rPr>
          <w:rFonts w:ascii="Arial" w:cs="Arial" w:eastAsia="Arial" w:hAnsi="Arial"/>
          <w:sz w:val="20"/>
          <w:szCs w:val="20"/>
          <w:color w:val="auto"/>
        </w:rPr>
        <w:t xml:space="preserve">” means the rate of interest quoted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Money Rates Section, as the “U.S. Prime Rate” (or its successor), as in effect from time to time. The Prime Rate is a reference rate and does not necessarily represent the lowest or best rate actually charged to any customer. The Issuer may make commercial loans or other loans at rates of interest at, above, or below the Prime Rate.</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Credit Agreement</w:t>
      </w:r>
      <w:r>
        <w:rPr>
          <w:rFonts w:ascii="Arial" w:cs="Arial" w:eastAsia="Arial" w:hAnsi="Arial"/>
          <w:sz w:val="20"/>
          <w:szCs w:val="20"/>
          <w:color w:val="auto"/>
        </w:rPr>
        <w:t>” means that certain Senior Secured Revolving Credit Agreement, dated as of August 16, 2016, by and among the Borrower, as borrower, the lenders from time to time party thereto, and the Issuer, as administrative agent, as amended, supplemented or otherwise modified from time to time.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the Borrower, that as of the date of determination, both (a) (i) the sum of the Borrower’s debt and liabilities (including contingent liabilities) does not exceed the present fair saleable value of the Borrower’s present assets, (ii) the Borrower’s capital is not unreasonably small in relation to its business as contemplated on the date hereof and reflected in any projections delivered to the Issuer or with respect to any transaction contemplated or undertaken after the date hereof, and (iii) the Borrower has not incurred and does not intend to incur, or believe (nor should it reasonably believe) that it will incur, debts beyond its ability to pay such debts as they become due (whether at maturity or otherwise); and (b) the Borrower is “solvent” within the meaning given to such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Standby Letter of Credit</w:t>
      </w:r>
      <w:r>
        <w:rPr>
          <w:rFonts w:ascii="Arial" w:cs="Arial" w:eastAsia="Arial" w:hAnsi="Arial"/>
          <w:sz w:val="19"/>
          <w:szCs w:val="19"/>
          <w:color w:val="auto"/>
        </w:rPr>
        <w:t>” means any credit instrument issued by the Issuer, for the benefit of the Applicant, upon presentation by the Borrower of an Application Form and pursuant to the terms and conditions hereunder.</w:t>
      </w:r>
    </w:p>
    <w:p>
      <w:pPr>
        <w:spacing w:after="0" w:line="1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Reserve Rate</w:t>
      </w:r>
      <w:r>
        <w:rPr>
          <w:rFonts w:ascii="Arial" w:cs="Arial" w:eastAsia="Arial" w:hAnsi="Arial"/>
          <w:sz w:val="18"/>
          <w:szCs w:val="18"/>
          <w:color w:val="auto"/>
        </w:rPr>
        <w:t xml:space="preserve">” means, for each period equal to three months (commencing on the date hereof), a fraction (expressed as a decimal), the numerator of which is the number one and the denominator of which is the number one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arithmetic mean, taken over each day in such period, of the aggregate of the maximum reserve percentages (including any marginal, special, emergency or supplemental reserves) expressed as a decimal established by the Board of Governors of the Federal Reserve System of the United States of America to which the Issuer is subject for eurocurrency funding (currently referred to as “Eurocurrency liabilities” in Regulation D). Such reserve percentages shall include those imposed pursuant to Regulation D. Obligations hereunder shall be deemed to constitute eurocurrency funding and to be subject to such reserve requirements without benefit of or credit for proration, exemptions or offsets that may be available from time to time to the Issuer under Regulation D or any comparable regulation. The Statutory Reserve Rate shall be adjusted automatically on and as of the effective date of any change in any reserve percentage.</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Taxes</w:t>
      </w:r>
      <w:r>
        <w:rPr>
          <w:rFonts w:ascii="Arial" w:cs="Arial" w:eastAsia="Arial" w:hAnsi="Arial"/>
          <w:sz w:val="20"/>
          <w:szCs w:val="20"/>
          <w:color w:val="auto"/>
        </w:rPr>
        <w:t>” means any present or future taxes or other amounts for or on account of levies, imposts, duties, deductions, withholdings or other charges of whatsoever nature, imposed, levied, collected, withheld or assessed by any governmental authority excluding taxes on the net income (however denominated), franchise taxes, and branch profits taxes, in each case, imposed on the Issuer.</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UCP</w:t>
      </w:r>
      <w:r>
        <w:rPr>
          <w:rFonts w:ascii="Arial" w:cs="Arial" w:eastAsia="Arial" w:hAnsi="Arial"/>
          <w:sz w:val="20"/>
          <w:szCs w:val="20"/>
          <w:color w:val="auto"/>
        </w:rPr>
        <w:t>” means the Uniform Customs and Practices for Documentary Credits published by the International Chamber of Commerce.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Letter of Credit Facility</w:t>
      </w:r>
      <w:r>
        <w:rPr>
          <w:rFonts w:ascii="Arial" w:cs="Arial" w:eastAsia="Arial" w:hAnsi="Arial"/>
          <w:sz w:val="18"/>
          <w:szCs w:val="18"/>
          <w:color w:val="auto"/>
        </w:rPr>
        <w:t>. The Borrower may request, by the submission of an Application Form, that the Issuer issue Standby Letters of Credit, for its own account or for the account of any designee of the Borrower acceptable to the Issuer (the Borrower or such designee, as applicable, the “</w:t>
      </w:r>
      <w:r>
        <w:rPr>
          <w:rFonts w:ascii="Arial" w:cs="Arial" w:eastAsia="Arial" w:hAnsi="Arial"/>
          <w:sz w:val="18"/>
          <w:szCs w:val="18"/>
          <w:b w:val="1"/>
          <w:bCs w:val="1"/>
          <w:color w:val="auto"/>
        </w:rPr>
        <w:t>Applicant</w:t>
      </w:r>
      <w:r>
        <w:rPr>
          <w:rFonts w:ascii="Arial" w:cs="Arial" w:eastAsia="Arial" w:hAnsi="Arial"/>
          <w:sz w:val="18"/>
          <w:szCs w:val="18"/>
          <w:color w:val="auto"/>
        </w:rPr>
        <w:t>”; provided that, for the avoidance of doubt, the Borrower shall remain primarily liable to the Issuer hereunder for payment and reimbursement of all Obligations payable in respect of any Standby Letter of Credit issued hereunder) during the period commencing on the date hereof and expiring on the earlier to occur of (x) May [__], 2019, (y) the termination or satisfaction of the commitments or obligations under the Revolving Credit Agreement and (z) in the event the Issuer delivers to the Borrower a written notice of termination of the Issuer’s obligations hereunder, the termination date specified in such written notice; provided that, unless an Event of Default shall have occurred and be continuing, such termination date shall be not less than sixty (60) days after the delivery of such written notice. The Issuer agrees to issue Standby Letters of Credit prior to the date of termination of the Issuer’s obligations hereunder in accordance with and subject to the terms and conditions hereof, including the satisfaction of each of the conditions set forth in Section 3 with respect to each requested issuance of a Standby Letter of Credit. No Standby Letter of Credit may have an expiration date (including expiration under any automatic renewal of any Standby Letter of Credit unless such automatic renewal is subject to cancellation by the Issuer upon not more than 60 days’ (or such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32" w:name="page133"/>
    <w:bookmarkEnd w:id="132"/>
    <w:p>
      <w:pPr>
        <w:jc w:val="both"/>
        <w:spacing w:after="0" w:line="261" w:lineRule="auto"/>
        <w:rPr>
          <w:sz w:val="20"/>
          <w:szCs w:val="20"/>
          <w:color w:val="auto"/>
        </w:rPr>
      </w:pPr>
      <w:r>
        <w:rPr>
          <w:rFonts w:ascii="Arial" w:cs="Arial" w:eastAsia="Arial" w:hAnsi="Arial"/>
          <w:sz w:val="19"/>
          <w:szCs w:val="19"/>
          <w:color w:val="auto"/>
        </w:rPr>
        <w:t>period as Issuer may agree in its sole discretion) notice to the Beneficiary of such Standby Letter of Credit) that is on or after May [__], 2019. The aggregate face amount of Standby Letters of Credit issued hereunder (whether or not drawn) shall not exceed $5,000,000 at any time outstanding (the “</w:t>
      </w:r>
      <w:r>
        <w:rPr>
          <w:rFonts w:ascii="Arial" w:cs="Arial" w:eastAsia="Arial" w:hAnsi="Arial"/>
          <w:sz w:val="19"/>
          <w:szCs w:val="19"/>
          <w:b w:val="1"/>
          <w:bCs w:val="1"/>
          <w:color w:val="auto"/>
        </w:rPr>
        <w:t>Maximum Facility Amount</w:t>
      </w:r>
      <w:r>
        <w:rPr>
          <w:rFonts w:ascii="Arial" w:cs="Arial" w:eastAsia="Arial" w:hAnsi="Arial"/>
          <w:sz w:val="19"/>
          <w:szCs w:val="19"/>
          <w:color w:val="auto"/>
        </w:rPr>
        <w:t>”). Each Standby Letter of Credit shall be governed by the terms of this Agreement and the other Facility Documents and shall only be issued and payable in Dollars. Each Standby Letter of Credit will be issued in a form reasonably acceptable to the Issuer.</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Conditions for Issuance of Standby Letters of Credit</w:t>
      </w:r>
      <w:r>
        <w:rPr>
          <w:rFonts w:ascii="Arial" w:cs="Arial" w:eastAsia="Arial" w:hAnsi="Arial"/>
          <w:sz w:val="20"/>
          <w:szCs w:val="20"/>
          <w:color w:val="auto"/>
        </w:rPr>
        <w:t>. The effectiveness of this Agreement on the date hereof and the Issuer’s obligation to issue Standby Letters of Credit hereunder is subject to the performance by the Borrower of its obligations to be performed hereunder at or prior to the issuance of such Standby Letter of Credit and to the satisfaction of the following further conditions:</w:t>
      </w:r>
    </w:p>
    <w:p>
      <w:pPr>
        <w:spacing w:after="0" w:line="192" w:lineRule="exact"/>
        <w:rPr>
          <w:sz w:val="20"/>
          <w:szCs w:val="20"/>
          <w:color w:val="auto"/>
        </w:rPr>
      </w:pPr>
    </w:p>
    <w:p>
      <w:pPr>
        <w:jc w:val="both"/>
        <w:ind w:firstLine="972"/>
        <w:spacing w:after="0" w:line="291" w:lineRule="auto"/>
        <w:tabs>
          <w:tab w:leader="none" w:pos="1347"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On the date hereof, the Issuer shall have received, from each party hereto, either (1) a counterpart of this Agreement signed on behalf of such party or (2) written evidence satisfactory to the Issuer (which may include telecopy or e-mail transmission of a signed signature page to this Agreement) that such party has signed a counterpart of this Agreement;</w:t>
      </w:r>
    </w:p>
    <w:p>
      <w:pPr>
        <w:spacing w:after="0" w:line="151" w:lineRule="exact"/>
        <w:rPr>
          <w:rFonts w:ascii="Arial" w:cs="Arial" w:eastAsia="Arial" w:hAnsi="Arial"/>
          <w:sz w:val="18"/>
          <w:szCs w:val="18"/>
          <w:b w:val="1"/>
          <w:bCs w:val="1"/>
          <w:color w:val="auto"/>
        </w:rPr>
      </w:pPr>
    </w:p>
    <w:p>
      <w:pPr>
        <w:jc w:val="both"/>
        <w:ind w:firstLine="972"/>
        <w:spacing w:after="0" w:line="271" w:lineRule="auto"/>
        <w:tabs>
          <w:tab w:leader="none" w:pos="1358"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On the date hereof, the Issuer shall have received a certificate of the secretary or assistant secretary of the Borrower, dated the date hereof, certifying that attached thereto are (1) true and complete copies of the organizational documents of the Borrower certified as of a recent date by the appropriate governmental official, (2) signature and incumbency certificates of the officers of such Person executing the Facility Documents to which it is a party, (3) true and complete resolutions of the Board of Directors of the Borrower approving and authorizing the execution, delivery and performance of this Agreement and the other Facility Documents to which it is a party as of the date hereof and, and that such resolutions are in full force and effect without modification or amendment, (4) a good standing certificate from the applicable governmental authority of the Borrower’s jurisdiction of incorporation, dated a recent date prior to the date hereof, and (5) such other documents and certificates as the Issuer may reasonably request relating to the organization, existence and good standing of the Borrower, all in form and substance reasonably satisfactory to the Issuer;</w:t>
      </w:r>
    </w:p>
    <w:p>
      <w:pPr>
        <w:spacing w:after="0" w:line="174" w:lineRule="exact"/>
        <w:rPr>
          <w:rFonts w:ascii="Arial" w:cs="Arial" w:eastAsia="Arial" w:hAnsi="Arial"/>
          <w:sz w:val="18"/>
          <w:szCs w:val="18"/>
          <w:b w:val="1"/>
          <w:bCs w:val="1"/>
          <w:color w:val="auto"/>
        </w:rPr>
      </w:pPr>
    </w:p>
    <w:p>
      <w:pPr>
        <w:jc w:val="both"/>
        <w:ind w:firstLine="972"/>
        <w:spacing w:after="0" w:line="246" w:lineRule="auto"/>
        <w:tabs>
          <w:tab w:leader="none" w:pos="1323"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On the date hereof, the Issuer shall have received a solvency certificate of a financial officer of the Borrower dated the date hereof and addressed to the Issuer, and in form, scope and substance reasonably satisfactory to the Issuer, certifying that both before and after giving effect to the transactions contemplated hereby, the Borrower will be Solvent on an unconsolidated basis;</w:t>
      </w:r>
    </w:p>
    <w:p>
      <w:pPr>
        <w:spacing w:after="0" w:line="191" w:lineRule="exact"/>
        <w:rPr>
          <w:rFonts w:ascii="Arial" w:cs="Arial" w:eastAsia="Arial" w:hAnsi="Arial"/>
          <w:sz w:val="20"/>
          <w:szCs w:val="20"/>
          <w:b w:val="1"/>
          <w:bCs w:val="1"/>
          <w:color w:val="auto"/>
        </w:rPr>
      </w:pPr>
    </w:p>
    <w:p>
      <w:pPr>
        <w:ind w:firstLine="972"/>
        <w:spacing w:after="0" w:line="260" w:lineRule="auto"/>
        <w:tabs>
          <w:tab w:leader="none" w:pos="1372"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On the date hereof and on the date of issuance of any Standby Letter of Credit, no Default or Event of Default shall have occurred and be continuing;</w:t>
      </w:r>
    </w:p>
    <w:p>
      <w:pPr>
        <w:spacing w:after="0" w:line="176" w:lineRule="exact"/>
        <w:rPr>
          <w:rFonts w:ascii="Arial" w:cs="Arial" w:eastAsia="Arial" w:hAnsi="Arial"/>
          <w:sz w:val="20"/>
          <w:szCs w:val="20"/>
          <w:b w:val="1"/>
          <w:bCs w:val="1"/>
          <w:color w:val="auto"/>
        </w:rPr>
      </w:pPr>
    </w:p>
    <w:p>
      <w:pPr>
        <w:jc w:val="both"/>
        <w:ind w:firstLine="972"/>
        <w:spacing w:after="0" w:line="246" w:lineRule="auto"/>
        <w:tabs>
          <w:tab w:leader="none" w:pos="1323"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On the date hereof and on the date of issuance of any Standby Letter of Credit, the Issuer shall have received all fees and other amounts due and payable on or prior to the date hereof or the requested date of issuance of such Standby Letter of Credit, as applicable, including reimbursement or payment of all out-of-pocket expenses (including reasonable attorneys’ fees) payable under Section 9(b);</w:t>
      </w:r>
    </w:p>
    <w:p>
      <w:pPr>
        <w:spacing w:after="0" w:line="191" w:lineRule="exact"/>
        <w:rPr>
          <w:rFonts w:ascii="Arial" w:cs="Arial" w:eastAsia="Arial" w:hAnsi="Arial"/>
          <w:sz w:val="20"/>
          <w:szCs w:val="20"/>
          <w:b w:val="1"/>
          <w:bCs w:val="1"/>
          <w:color w:val="auto"/>
        </w:rPr>
      </w:pPr>
    </w:p>
    <w:p>
      <w:pPr>
        <w:ind w:firstLine="972"/>
        <w:spacing w:after="0" w:line="260" w:lineRule="auto"/>
        <w:tabs>
          <w:tab w:leader="none" w:pos="1382"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The Issuer shall have received an Application Form with respect to such Standby Letter of Credit, duly completed and executed by an authorized officer of the Borrower;</w:t>
      </w:r>
    </w:p>
    <w:p>
      <w:pPr>
        <w:spacing w:after="0" w:line="176" w:lineRule="exact"/>
        <w:rPr>
          <w:rFonts w:ascii="Arial" w:cs="Arial" w:eastAsia="Arial" w:hAnsi="Arial"/>
          <w:sz w:val="20"/>
          <w:szCs w:val="20"/>
          <w:b w:val="1"/>
          <w:bCs w:val="1"/>
          <w:color w:val="auto"/>
        </w:rPr>
      </w:pPr>
    </w:p>
    <w:p>
      <w:pPr>
        <w:jc w:val="both"/>
        <w:ind w:firstLine="972"/>
        <w:spacing w:after="0" w:line="269" w:lineRule="auto"/>
        <w:tabs>
          <w:tab w:leader="none" w:pos="1347" w:val="left"/>
        </w:tabs>
        <w:numPr>
          <w:ilvl w:val="0"/>
          <w:numId w:val="107"/>
        </w:numPr>
        <w:rPr>
          <w:rFonts w:ascii="Arial" w:cs="Arial" w:eastAsia="Arial" w:hAnsi="Arial"/>
          <w:sz w:val="19"/>
          <w:szCs w:val="19"/>
          <w:b w:val="1"/>
          <w:bCs w:val="1"/>
          <w:color w:val="auto"/>
        </w:rPr>
      </w:pPr>
      <w:r>
        <w:rPr>
          <w:rFonts w:ascii="Arial" w:cs="Arial" w:eastAsia="Arial" w:hAnsi="Arial"/>
          <w:sz w:val="19"/>
          <w:szCs w:val="19"/>
          <w:color w:val="auto"/>
        </w:rPr>
        <w:t>The face amount of such Standby Letter of Credit shall be equal to or less than the remaining Availability (hereinafter defined). The term “</w:t>
      </w:r>
      <w:r>
        <w:rPr>
          <w:rFonts w:ascii="Arial" w:cs="Arial" w:eastAsia="Arial" w:hAnsi="Arial"/>
          <w:sz w:val="19"/>
          <w:szCs w:val="19"/>
          <w:b w:val="1"/>
          <w:bCs w:val="1"/>
          <w:color w:val="auto"/>
        </w:rPr>
        <w:t>Availability</w:t>
      </w:r>
      <w:r>
        <w:rPr>
          <w:rFonts w:ascii="Arial" w:cs="Arial" w:eastAsia="Arial" w:hAnsi="Arial"/>
          <w:sz w:val="19"/>
          <w:szCs w:val="19"/>
          <w:color w:val="auto"/>
        </w:rPr>
        <w:t>” shall mean, at any time, the Maximum Facility Amount minus the aggregate face amount of all Standby Letters of Credit previously issued and then outstanding hereunder;</w:t>
      </w:r>
    </w:p>
    <w:p>
      <w:pPr>
        <w:spacing w:after="0" w:line="170" w:lineRule="exact"/>
        <w:rPr>
          <w:rFonts w:ascii="Arial" w:cs="Arial" w:eastAsia="Arial" w:hAnsi="Arial"/>
          <w:sz w:val="19"/>
          <w:szCs w:val="19"/>
          <w:b w:val="1"/>
          <w:bCs w:val="1"/>
          <w:color w:val="auto"/>
        </w:rPr>
      </w:pPr>
    </w:p>
    <w:p>
      <w:pPr>
        <w:jc w:val="both"/>
        <w:ind w:firstLine="972"/>
        <w:spacing w:after="0" w:line="250" w:lineRule="auto"/>
        <w:tabs>
          <w:tab w:leader="none" w:pos="1372"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On the date hereof and on the date of issuance of any Standby Letter of Credit, the representations and warranties set forth in Section 10 hereof shall be true and correct in all material respects (without duplication of materiality qualifiers);</w:t>
      </w:r>
    </w:p>
    <w:p>
      <w:pPr>
        <w:spacing w:after="0" w:line="186" w:lineRule="exact"/>
        <w:rPr>
          <w:rFonts w:ascii="Arial" w:cs="Arial" w:eastAsia="Arial" w:hAnsi="Arial"/>
          <w:sz w:val="20"/>
          <w:szCs w:val="20"/>
          <w:b w:val="1"/>
          <w:bCs w:val="1"/>
          <w:color w:val="auto"/>
        </w:rPr>
      </w:pPr>
    </w:p>
    <w:p>
      <w:pPr>
        <w:jc w:val="both"/>
        <w:ind w:firstLine="972"/>
        <w:spacing w:after="0" w:line="276" w:lineRule="auto"/>
        <w:tabs>
          <w:tab w:leader="none" w:pos="1344"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On the date hereof and on the date of issuance of any Standby Letter of Credit, except as otherwise approved by the Issuer in its sole discretion, there shall be no actions, suits, proceedings or governmental investigations pending or, to the knowledge of the Borrower, threatened against the Borrower, which could reasonably be expected to result in a material adverse effect on (a) the business, assets, liabilities (actual or contingent), operations or condition (financial or otherwise) of the Borrower, or (b) the validity or enforceability of any of the Facility Documents or the rights or remedies of the Issuer or the ability of the Borrower to perform its obligations thereunder;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3" w:name="page134"/>
    <w:bookmarkEnd w:id="133"/>
    <w:p>
      <w:pPr>
        <w:ind w:firstLine="972"/>
        <w:spacing w:after="0" w:line="262" w:lineRule="auto"/>
        <w:tabs>
          <w:tab w:leader="none" w:pos="1368" w:val="left"/>
        </w:tabs>
        <w:numPr>
          <w:ilvl w:val="0"/>
          <w:numId w:val="108"/>
        </w:numPr>
        <w:rPr>
          <w:rFonts w:ascii="Arial" w:cs="Arial" w:eastAsia="Arial" w:hAnsi="Arial"/>
          <w:sz w:val="20"/>
          <w:szCs w:val="20"/>
          <w:b w:val="1"/>
          <w:bCs w:val="1"/>
          <w:color w:val="auto"/>
        </w:rPr>
      </w:pPr>
      <w:r>
        <w:rPr>
          <w:rFonts w:ascii="Arial" w:cs="Arial" w:eastAsia="Arial" w:hAnsi="Arial"/>
          <w:sz w:val="20"/>
          <w:szCs w:val="20"/>
          <w:color w:val="auto"/>
        </w:rPr>
        <w:t>On the date hereof and on the date of issuance of any Standby Letter of Credit, no “Default” or “Event of Default” (each as defined in the Revolving Credit Agreement) shall have occurred and be continuing.</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Each request for issuance of a Standby Letter of Credit shall be deemed to constitute a representation and warranty by the Borrower on the date thereof as to the satisfaction of the matters specified in this Section 3.</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Borrower’s Obligations.</w:t>
      </w:r>
      <w:r>
        <w:rPr>
          <w:rFonts w:ascii="Arial" w:cs="Arial" w:eastAsia="Arial" w:hAnsi="Arial"/>
          <w:sz w:val="20"/>
          <w:szCs w:val="20"/>
          <w:color w:val="auto"/>
        </w:rPr>
        <w:t xml:space="preserve"> The Borrower unconditionally promises to pay to the Issuer, in accordance with this Section 4, the following amounts (collectively, the “</w:t>
      </w:r>
      <w:r>
        <w:rPr>
          <w:rFonts w:ascii="Arial" w:cs="Arial" w:eastAsia="Arial" w:hAnsi="Arial"/>
          <w:sz w:val="20"/>
          <w:szCs w:val="20"/>
          <w:b w:val="1"/>
          <w:bCs w:val="1"/>
          <w:color w:val="auto"/>
        </w:rPr>
        <w:t>Obligations</w:t>
      </w:r>
      <w:r>
        <w:rPr>
          <w:rFonts w:ascii="Arial" w:cs="Arial" w:eastAsia="Arial" w:hAnsi="Arial"/>
          <w:sz w:val="20"/>
          <w:szCs w:val="20"/>
          <w:color w:val="auto"/>
        </w:rPr>
        <w:t>”):</w:t>
      </w:r>
    </w:p>
    <w:p>
      <w:pPr>
        <w:spacing w:after="0" w:line="177" w:lineRule="exact"/>
        <w:rPr>
          <w:sz w:val="20"/>
          <w:szCs w:val="20"/>
          <w:color w:val="auto"/>
        </w:rPr>
      </w:pPr>
    </w:p>
    <w:p>
      <w:pPr>
        <w:jc w:val="both"/>
        <w:ind w:right="20" w:firstLine="972"/>
        <w:spacing w:after="0" w:line="291" w:lineRule="auto"/>
        <w:tabs>
          <w:tab w:leader="none" w:pos="1334"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The Borrower shall pay to Issuer any and all amounts paid by the Issuer on the basis of a Demand made by a Beneficiary of any Standby Letter of Credit issued hereunder, which amounts shall be due automatically on the date that is three (3) Business Days after the date of such payment by the Issuer without the need for further action of any party;</w:t>
      </w:r>
    </w:p>
    <w:p>
      <w:pPr>
        <w:spacing w:after="0" w:line="151" w:lineRule="exact"/>
        <w:rPr>
          <w:rFonts w:ascii="Arial" w:cs="Arial" w:eastAsia="Arial" w:hAnsi="Arial"/>
          <w:sz w:val="18"/>
          <w:szCs w:val="18"/>
          <w:b w:val="1"/>
          <w:bCs w:val="1"/>
          <w:color w:val="auto"/>
        </w:rPr>
      </w:pPr>
    </w:p>
    <w:p>
      <w:pPr>
        <w:jc w:val="both"/>
        <w:ind w:firstLine="972"/>
        <w:spacing w:after="0" w:line="263" w:lineRule="auto"/>
        <w:tabs>
          <w:tab w:leader="none" w:pos="1345"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On the date of written demand therefor delivered by the Issuer to the Borrower, all charges, fees, deductions or withholdings of any nature agreed upon by the Parties or imposed by a regulatory authority in connection with this Agreement, any Standby Letter of Credit or any transactions hereunder or thereunder, to the extent that such payment is provided for in Section 12, the next paragraph of this Section or in other provisions of this Agreement;</w:t>
      </w:r>
    </w:p>
    <w:p>
      <w:pPr>
        <w:spacing w:after="0" w:line="176" w:lineRule="exact"/>
        <w:rPr>
          <w:rFonts w:ascii="Arial" w:cs="Arial" w:eastAsia="Arial" w:hAnsi="Arial"/>
          <w:sz w:val="19"/>
          <w:szCs w:val="19"/>
          <w:b w:val="1"/>
          <w:bCs w:val="1"/>
          <w:color w:val="auto"/>
        </w:rPr>
      </w:pPr>
    </w:p>
    <w:p>
      <w:pPr>
        <w:jc w:val="both"/>
        <w:ind w:firstLine="972"/>
        <w:spacing w:after="0" w:line="244" w:lineRule="auto"/>
        <w:tabs>
          <w:tab w:leader="none" w:pos="1323" w:val="left"/>
        </w:tabs>
        <w:numPr>
          <w:ilvl w:val="0"/>
          <w:numId w:val="109"/>
        </w:numPr>
        <w:rPr>
          <w:rFonts w:ascii="Arial" w:cs="Arial" w:eastAsia="Arial" w:hAnsi="Arial"/>
          <w:sz w:val="20"/>
          <w:szCs w:val="20"/>
          <w:b w:val="1"/>
          <w:bCs w:val="1"/>
          <w:color w:val="auto"/>
        </w:rPr>
      </w:pPr>
      <w:r>
        <w:rPr>
          <w:rFonts w:ascii="Arial" w:cs="Arial" w:eastAsia="Arial" w:hAnsi="Arial"/>
          <w:sz w:val="20"/>
          <w:szCs w:val="20"/>
          <w:color w:val="auto"/>
        </w:rPr>
        <w:t>On the date of issuance of any Standby Letter of Credit, the Issuer’s standard issuance fee on the face amount of each Standby Letter of Credit upon issuance, together with such other customary fees, commissions and expenses therefor as shall be required by the Issuer or any correspondent thereof (if any); it being understood that if no such fee or commission is specified with respect to any such Standby Letter of Credit, such fee shall be deemed to equal $750 with respect to such Standby Letter of Credit;</w:t>
      </w:r>
    </w:p>
    <w:p>
      <w:pPr>
        <w:spacing w:after="0" w:line="194" w:lineRule="exact"/>
        <w:rPr>
          <w:rFonts w:ascii="Arial" w:cs="Arial" w:eastAsia="Arial" w:hAnsi="Arial"/>
          <w:sz w:val="20"/>
          <w:szCs w:val="20"/>
          <w:b w:val="1"/>
          <w:bCs w:val="1"/>
          <w:color w:val="auto"/>
        </w:rPr>
      </w:pPr>
    </w:p>
    <w:p>
      <w:pPr>
        <w:jc w:val="both"/>
        <w:ind w:firstLine="972"/>
        <w:spacing w:after="0" w:line="282" w:lineRule="auto"/>
        <w:tabs>
          <w:tab w:leader="none" w:pos="1345"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Within five (5) Business Days after written demand therefor delivered by the Issuer to the Borrower, all sums and expenses, including attorneys’ fees, collection, legal and receiver’s expenses, advanced or otherwise incurred by the Issuer in enforcing its rights and collecting overdue amounts in connection with this Agreement, any Standby Letter of Credit or any transactions hereunder or thereunder, to the extent that such payment is provided for in Section 9; and</w:t>
      </w:r>
    </w:p>
    <w:p>
      <w:pPr>
        <w:spacing w:after="0" w:line="155" w:lineRule="exact"/>
        <w:rPr>
          <w:rFonts w:ascii="Arial" w:cs="Arial" w:eastAsia="Arial" w:hAnsi="Arial"/>
          <w:sz w:val="18"/>
          <w:szCs w:val="18"/>
          <w:b w:val="1"/>
          <w:bCs w:val="1"/>
          <w:color w:val="auto"/>
        </w:rPr>
      </w:pPr>
    </w:p>
    <w:p>
      <w:pPr>
        <w:jc w:val="both"/>
        <w:ind w:firstLine="972"/>
        <w:spacing w:after="0" w:line="256" w:lineRule="auto"/>
        <w:tabs>
          <w:tab w:leader="none" w:pos="1336"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The Borrower agrees to pay to the Issuer a letter of credit fee (the “</w:t>
      </w:r>
      <w:r>
        <w:rPr>
          <w:rFonts w:ascii="Arial" w:cs="Arial" w:eastAsia="Arial" w:hAnsi="Arial"/>
          <w:sz w:val="19"/>
          <w:szCs w:val="19"/>
          <w:b w:val="1"/>
          <w:bCs w:val="1"/>
          <w:color w:val="auto"/>
        </w:rPr>
        <w:t>Letter of Credit Fee</w:t>
      </w:r>
      <w:r>
        <w:rPr>
          <w:rFonts w:ascii="Arial" w:cs="Arial" w:eastAsia="Arial" w:hAnsi="Arial"/>
          <w:sz w:val="19"/>
          <w:szCs w:val="19"/>
          <w:color w:val="auto"/>
        </w:rPr>
        <w:t xml:space="preserve">”) with respect to Standby Letters of Credit issued hereunder, which shall accrue at a rate per annum equal to the Adjusted LIBO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three percent (3.0%) (or, in the case of any interest, fee, charge or other amount bearing interest by reference to the Base Rate pursuant to the terms hereof, two percent (2.0%)) on the average daily amount of the Issuer’s LC Exposure during the period from and including the date hereof to the later of the date on which Issuer’s obligations terminate hereunder and the date on which the Issuer ceases to have any LC Exposure. Letter of Credit Fees accrued through and including the first day of each calendar month shall be payable on the third Business Day following the first day of such calendar month, commencing on the first such date to occur after the date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Letter of Credit Fees shall be payable on the date on which the Issuer’s obligations terminate hereunder, and the Borrower shall pay any such fees that have accrued and that are unpaid on such termination date.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All payments by the Borrower to the Issuer hereunder shall be made free and clear of and without deduction for Taxes. If the Borrower shall be required to withhold or deduct Taxes from any sum payable to the Issuer hereunder, (i) the Borrower shall make such necessary withholdings and deductions, (ii) the Borrower shall pay the full amount withheld or deducted to the relevant authority according to applicable law so that the Issuer shall not be required to make any deduction or payment of Taxes, and (iii) unless such Tax is an Excluded Tax, the sum payable to the Issuer shall be increased as may be necessary so that the Issuer receives an amount equal to the sum it would have received had no withholdings or deductions been made. The Borrower shall timely pay to the relevant governmental authority in accordance with applicable law, or at the option of the Issuer timely reimburse it for the payment of, any Other Taxes. If the Issuer determines, in its sole discretion exercised in good faith, that it has received a refund of any Taxes as to which it has been indemnified pursuant to this Section 4 (including by the payment of additional amounts pursuant to this Section 4), it shall pay to the Borrower an amount equal to such refund (but only to the extent of indemnity payments made under this Section 4 with respect to the Taxes giving rise to such refund), net of all out-of-pocket expenses (including Taxes) of the Issuer and without interest (other than any interest paid by the relevant governmental authority with respect to such refund). This paragraph shall not be construed to require the Issuer to make available its Tax returns (or any other information relating to its Taxes that it deems confidential)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4" w:name="page135"/>
    <w:bookmarkEnd w:id="134"/>
    <w:p>
      <w:pPr>
        <w:jc w:val="both"/>
        <w:spacing w:after="0" w:line="256" w:lineRule="auto"/>
        <w:rPr>
          <w:sz w:val="20"/>
          <w:szCs w:val="20"/>
          <w:color w:val="auto"/>
        </w:rPr>
      </w:pPr>
      <w:r>
        <w:rPr>
          <w:rFonts w:ascii="Arial" w:cs="Arial" w:eastAsia="Arial" w:hAnsi="Arial"/>
          <w:sz w:val="19"/>
          <w:szCs w:val="19"/>
          <w:color w:val="auto"/>
        </w:rPr>
        <w:t xml:space="preserve">All Obligations hereunder and under the Facility Documents shall bear interest, in the case of Obligations described in clause 4(a), from the date of the incurrence thereof, and in the case of all other Obligations, from the date of when due to the date of payment, at a rate per annum equal to the Adjusted LIBO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three percent (3.0%) (or, in the case of any interest, fee, charge or other amount bearing interest by reference to the Base Rate pursuant to the terms hereof, two percent (2.0%)); provided, however, that at the Issuer’s option, upon the occurrence of any Event of Default (as hereinafter defined) and during the continuance thereof, amounts outstanding under this Agreement shall bear interest at a per annum rate equal to the Adjusted LIBO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five percent (5.0%) (or, in the case of any interest, fee, charge or other amount bearing interest by reference to the Base Rate pursuant to the terms hereof, four percent (4.0%)), but in no event shall the Obligor pay interest in excess of the maximum rate permitted by applicable law.</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Borrower shall make each payment required to be made by it hereunder or under any other Facility Document prior to 12:00 p.m., New York City time, on the date when due, in immediately available funds, in Dollars, without set-off, deduction or counterclaim. Any amounts received after such time on any date may, in the discretion of the Issuer, be deemed to have been received on the next succeeding Business Day for purposes of calculating interest thereon. All such payments shall be made to the Issuer at the account set forth on Schedule I, or to such other account as may be designated by the Issuer to the Borrower from time to time in writing. All interest and fees hereunder shall be computed on the basis of a year of 360 days, except that interest computed at times when the Base Rate is based on the Prime Rate shall be computed on the basis of a year of 365 days (or 366 days in a leap year), and in each case shall be payable for the actual number of days elapsed (including the first day but excluding the last day), and interest shall continue to accrue at the applicable rate set forth herein whether or not a Default or Event of Default exists or a judgment has been entered.</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Performance of Obligations</w:t>
      </w:r>
      <w:r>
        <w:rPr>
          <w:rFonts w:ascii="Arial" w:cs="Arial" w:eastAsia="Arial" w:hAnsi="Arial"/>
          <w:sz w:val="20"/>
          <w:szCs w:val="20"/>
          <w:color w:val="auto"/>
        </w:rPr>
        <w:t>. The Borrower’s Obligations set forth in Section 4 above shall be absolute, unconditional and irrevocable, and shall be performed strictly in accordance with the terms and conditions of this Agreement, under all circumstances, including but not limited to:</w:t>
      </w:r>
    </w:p>
    <w:p>
      <w:pPr>
        <w:spacing w:after="0" w:line="186" w:lineRule="exact"/>
        <w:rPr>
          <w:sz w:val="20"/>
          <w:szCs w:val="20"/>
          <w:color w:val="auto"/>
        </w:rPr>
      </w:pPr>
    </w:p>
    <w:p>
      <w:pPr>
        <w:ind w:left="2100" w:hanging="1128"/>
        <w:spacing w:after="0"/>
        <w:tabs>
          <w:tab w:leader="none" w:pos="2100" w:val="left"/>
        </w:tabs>
        <w:numPr>
          <w:ilvl w:val="0"/>
          <w:numId w:val="110"/>
        </w:numPr>
        <w:rPr>
          <w:rFonts w:ascii="Courier New" w:cs="Courier New" w:eastAsia="Courier New" w:hAnsi="Courier New"/>
          <w:sz w:val="18"/>
          <w:szCs w:val="18"/>
          <w:color w:val="auto"/>
        </w:rPr>
      </w:pPr>
      <w:r>
        <w:rPr>
          <w:rFonts w:ascii="Arial" w:cs="Arial" w:eastAsia="Arial" w:hAnsi="Arial"/>
          <w:sz w:val="18"/>
          <w:szCs w:val="18"/>
          <w:color w:val="auto"/>
        </w:rPr>
        <w:t>Any declaration that this Agreement or any Standby Letter of Credit issued hereunder are invalid or</w:t>
      </w:r>
    </w:p>
    <w:p>
      <w:pPr>
        <w:spacing w:after="0" w:line="2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Arial" w:cs="Arial" w:eastAsia="Arial" w:hAnsi="Arial"/>
          <w:sz w:val="20"/>
          <w:szCs w:val="20"/>
          <w:color w:val="auto"/>
        </w:rPr>
        <w:t>unenforceable;</w:t>
      </w:r>
    </w:p>
    <w:p>
      <w:pPr>
        <w:spacing w:after="0" w:line="199" w:lineRule="exact"/>
        <w:rPr>
          <w:rFonts w:ascii="Courier New" w:cs="Courier New" w:eastAsia="Courier New" w:hAnsi="Courier New"/>
          <w:sz w:val="18"/>
          <w:szCs w:val="18"/>
          <w:color w:val="auto"/>
        </w:rPr>
      </w:pPr>
    </w:p>
    <w:p>
      <w:pPr>
        <w:ind w:firstLine="972"/>
        <w:spacing w:after="0" w:line="242" w:lineRule="auto"/>
        <w:tabs>
          <w:tab w:leader="none" w:pos="2123" w:val="left"/>
        </w:tabs>
        <w:numPr>
          <w:ilvl w:val="0"/>
          <w:numId w:val="110"/>
        </w:numPr>
        <w:rPr>
          <w:rFonts w:ascii="Courier New" w:cs="Courier New" w:eastAsia="Courier New" w:hAnsi="Courier New"/>
          <w:sz w:val="20"/>
          <w:szCs w:val="20"/>
          <w:color w:val="auto"/>
        </w:rPr>
      </w:pPr>
      <w:r>
        <w:rPr>
          <w:rFonts w:ascii="Arial" w:cs="Arial" w:eastAsia="Arial" w:hAnsi="Arial"/>
          <w:sz w:val="20"/>
          <w:szCs w:val="20"/>
          <w:color w:val="auto"/>
        </w:rPr>
        <w:t>Any amendment or waiver of or consent to departure from the terms and conditions contained herein or any Standby Letter of Credit issued hereunder;</w:t>
      </w:r>
    </w:p>
    <w:p>
      <w:pPr>
        <w:spacing w:after="0" w:line="193" w:lineRule="exact"/>
        <w:rPr>
          <w:rFonts w:ascii="Courier New" w:cs="Courier New" w:eastAsia="Courier New" w:hAnsi="Courier New"/>
          <w:sz w:val="20"/>
          <w:szCs w:val="20"/>
          <w:color w:val="auto"/>
        </w:rPr>
      </w:pPr>
    </w:p>
    <w:p>
      <w:pPr>
        <w:jc w:val="both"/>
        <w:ind w:firstLine="972"/>
        <w:spacing w:after="0"/>
        <w:tabs>
          <w:tab w:leader="none" w:pos="2109" w:val="left"/>
        </w:tabs>
        <w:numPr>
          <w:ilvl w:val="0"/>
          <w:numId w:val="110"/>
        </w:numPr>
        <w:rPr>
          <w:rFonts w:ascii="Courier New" w:cs="Courier New" w:eastAsia="Courier New" w:hAnsi="Courier New"/>
          <w:sz w:val="20"/>
          <w:szCs w:val="20"/>
          <w:color w:val="auto"/>
        </w:rPr>
      </w:pPr>
      <w:r>
        <w:rPr>
          <w:rFonts w:ascii="Arial" w:cs="Arial" w:eastAsia="Arial" w:hAnsi="Arial"/>
          <w:sz w:val="20"/>
          <w:szCs w:val="20"/>
          <w:color w:val="auto"/>
        </w:rPr>
        <w:t>Any claim, set-off, defense or other rights which the Borrower, any Applicant or any other person may have at any time against any Beneficiary or any transferee of a Standby Letter of Credit issued hereunder, the Issuer, or any other person, whether in connection with this Agreement or otherwise;</w:t>
      </w:r>
    </w:p>
    <w:p>
      <w:pPr>
        <w:spacing w:after="0" w:line="197" w:lineRule="exact"/>
        <w:rPr>
          <w:rFonts w:ascii="Courier New" w:cs="Courier New" w:eastAsia="Courier New" w:hAnsi="Courier New"/>
          <w:sz w:val="20"/>
          <w:szCs w:val="20"/>
          <w:color w:val="auto"/>
        </w:rPr>
      </w:pPr>
    </w:p>
    <w:p>
      <w:pPr>
        <w:jc w:val="both"/>
        <w:ind w:firstLine="972"/>
        <w:spacing w:after="0"/>
        <w:tabs>
          <w:tab w:leader="none" w:pos="2109" w:val="left"/>
        </w:tabs>
        <w:numPr>
          <w:ilvl w:val="0"/>
          <w:numId w:val="110"/>
        </w:numPr>
        <w:rPr>
          <w:rFonts w:ascii="Courier New" w:cs="Courier New" w:eastAsia="Courier New" w:hAnsi="Courier New"/>
          <w:sz w:val="20"/>
          <w:szCs w:val="20"/>
          <w:color w:val="auto"/>
        </w:rPr>
      </w:pPr>
      <w:r>
        <w:rPr>
          <w:rFonts w:ascii="Arial" w:cs="Arial" w:eastAsia="Arial" w:hAnsi="Arial"/>
          <w:sz w:val="20"/>
          <w:szCs w:val="20"/>
          <w:color w:val="auto"/>
        </w:rPr>
        <w:t>Any statement or other document, presented in connection with a Standby Letter of Credit issued hereunder, that on its face appears to be genuine and substantially compliant, but proving to be forged, fraudulent, invalid, insufficient, untrue or inaccurate in any respect;</w:t>
      </w:r>
    </w:p>
    <w:p>
      <w:pPr>
        <w:spacing w:after="0" w:line="197" w:lineRule="exact"/>
        <w:rPr>
          <w:rFonts w:ascii="Courier New" w:cs="Courier New" w:eastAsia="Courier New" w:hAnsi="Courier New"/>
          <w:sz w:val="20"/>
          <w:szCs w:val="20"/>
          <w:color w:val="auto"/>
        </w:rPr>
      </w:pPr>
    </w:p>
    <w:p>
      <w:pPr>
        <w:jc w:val="both"/>
        <w:ind w:firstLine="972"/>
        <w:spacing w:after="0" w:line="330" w:lineRule="auto"/>
        <w:tabs>
          <w:tab w:leader="none" w:pos="2096" w:val="left"/>
        </w:tabs>
        <w:numPr>
          <w:ilvl w:val="0"/>
          <w:numId w:val="110"/>
        </w:numPr>
        <w:rPr>
          <w:rFonts w:ascii="Courier New" w:cs="Courier New" w:eastAsia="Courier New" w:hAnsi="Courier New"/>
          <w:sz w:val="16"/>
          <w:szCs w:val="16"/>
          <w:color w:val="auto"/>
        </w:rPr>
      </w:pPr>
      <w:r>
        <w:rPr>
          <w:rFonts w:ascii="Arial" w:cs="Arial" w:eastAsia="Arial" w:hAnsi="Arial"/>
          <w:sz w:val="16"/>
          <w:szCs w:val="16"/>
          <w:color w:val="auto"/>
        </w:rPr>
        <w:t>Payment by the Issuer pursuant to a Standby Letter of Credit issued hereunder, against presentation of a draft, certificate or any other document not compliant with the terms and conditions contained herein or therein; provided, however, that such payment shall not have constituted gross negligence or willful misconduct on the part of the Issuer;</w:t>
      </w:r>
    </w:p>
    <w:p>
      <w:pPr>
        <w:spacing w:after="0" w:line="126" w:lineRule="exact"/>
        <w:rPr>
          <w:rFonts w:ascii="Courier New" w:cs="Courier New" w:eastAsia="Courier New" w:hAnsi="Courier New"/>
          <w:sz w:val="16"/>
          <w:szCs w:val="16"/>
          <w:color w:val="auto"/>
        </w:rPr>
      </w:pPr>
    </w:p>
    <w:p>
      <w:pPr>
        <w:jc w:val="both"/>
        <w:ind w:firstLine="972"/>
        <w:spacing w:after="0"/>
        <w:tabs>
          <w:tab w:leader="none" w:pos="2096" w:val="left"/>
        </w:tabs>
        <w:numPr>
          <w:ilvl w:val="0"/>
          <w:numId w:val="110"/>
        </w:numPr>
        <w:rPr>
          <w:rFonts w:ascii="Courier New" w:cs="Courier New" w:eastAsia="Courier New" w:hAnsi="Courier New"/>
          <w:sz w:val="20"/>
          <w:szCs w:val="20"/>
          <w:color w:val="auto"/>
        </w:rPr>
      </w:pPr>
      <w:r>
        <w:rPr>
          <w:rFonts w:ascii="Arial" w:cs="Arial" w:eastAsia="Arial" w:hAnsi="Arial"/>
          <w:sz w:val="20"/>
          <w:szCs w:val="20"/>
          <w:color w:val="auto"/>
        </w:rPr>
        <w:t>The Issuer’s failure to honor any drawing under any Standby Letter of Credit issued hereunder or to make any payment of a Demand on the ground that such Demand does not conform to the terms and conditions of the relevant Standby Letter of Credit; or</w:t>
      </w:r>
    </w:p>
    <w:p>
      <w:pPr>
        <w:spacing w:after="0" w:line="197" w:lineRule="exact"/>
        <w:rPr>
          <w:rFonts w:ascii="Courier New" w:cs="Courier New" w:eastAsia="Courier New" w:hAnsi="Courier New"/>
          <w:sz w:val="20"/>
          <w:szCs w:val="20"/>
          <w:color w:val="auto"/>
        </w:rPr>
      </w:pPr>
    </w:p>
    <w:p>
      <w:pPr>
        <w:jc w:val="both"/>
        <w:ind w:firstLine="972"/>
        <w:spacing w:after="0"/>
        <w:tabs>
          <w:tab w:leader="none" w:pos="2109" w:val="left"/>
        </w:tabs>
        <w:numPr>
          <w:ilvl w:val="0"/>
          <w:numId w:val="110"/>
        </w:numPr>
        <w:rPr>
          <w:rFonts w:ascii="Courier New" w:cs="Courier New" w:eastAsia="Courier New" w:hAnsi="Courier New"/>
          <w:sz w:val="20"/>
          <w:szCs w:val="20"/>
          <w:color w:val="auto"/>
        </w:rPr>
      </w:pPr>
      <w:r>
        <w:rPr>
          <w:rFonts w:ascii="Arial" w:cs="Arial" w:eastAsia="Arial" w:hAnsi="Arial"/>
          <w:sz w:val="20"/>
          <w:szCs w:val="20"/>
          <w:color w:val="auto"/>
        </w:rPr>
        <w:t>Any circumstance which might constitute a legal or equitable discharge of any Obligations of the Borrower (other than the payment and satisfaction in full of the Obligations in accordance with the terms of the Facility Documents).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Payment of Demands</w:t>
      </w:r>
      <w:r>
        <w:rPr>
          <w:rFonts w:ascii="Arial" w:cs="Arial" w:eastAsia="Arial" w:hAnsi="Arial"/>
          <w:sz w:val="20"/>
          <w:szCs w:val="20"/>
          <w:color w:val="auto"/>
        </w:rPr>
        <w:t>. Pursuant to the issuance of a Standby Letter of Credit, the Issuer and its correspondents may receive, accept and pay any Demands or other documents and instruments, that appear on their face to be compliant with the terms and conditions herein or thereunder, signed by, or issued to, the receiver, bankruptcy trustee, executor, administrator, guardian or conservator of the Beneficiary. The Issuer in its sole discretion shall determine whether Demand has been made prior to the expiration of the Standby Letter of Credit and whether a Demand is in proper and sufficient form to comply with the Standby Credit, which determination shall be conclusive and binding upon the Borrower,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35" w:name="page136"/>
    <w:bookmarkEnd w:id="135"/>
    <w:p>
      <w:pPr>
        <w:jc w:val="both"/>
        <w:ind w:left="1"/>
        <w:spacing w:after="0" w:line="270"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Liability of the Borrower</w:t>
      </w:r>
      <w:r>
        <w:rPr>
          <w:rFonts w:ascii="Arial" w:cs="Arial" w:eastAsia="Arial" w:hAnsi="Arial"/>
          <w:sz w:val="18"/>
          <w:szCs w:val="18"/>
          <w:color w:val="auto"/>
        </w:rPr>
        <w:t>. Neither the Issuer, nor any of the Issuer’s correspondents shall be liable for the actions or omissions of any person with respect to a Standby Letter of Credit issued hereunder. The Borrower’s liability hereunder and in connection with the Standby Letters of Credit issued hereunder, includes but is not limited to: (i) the form, sufficiency, correctness, validity, genuineness, falsification and legal effect of any Demands and other documents or instruments relating to a Standby Letter of Credit issued hereunder and any general and particular conditions stipulated therein,</w:t>
      </w:r>
    </w:p>
    <w:p>
      <w:pPr>
        <w:spacing w:after="0" w:line="1" w:lineRule="exact"/>
        <w:rPr>
          <w:sz w:val="20"/>
          <w:szCs w:val="20"/>
          <w:color w:val="auto"/>
        </w:rPr>
      </w:pPr>
    </w:p>
    <w:p>
      <w:pPr>
        <w:jc w:val="both"/>
        <w:ind w:left="1" w:hanging="1"/>
        <w:spacing w:after="0" w:line="254" w:lineRule="auto"/>
        <w:tabs>
          <w:tab w:leader="none" w:pos="34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the existence, form, sufficiency and breach of any contract, document or other instrument in connection with this Agreement and any Standby Letter of Credit issued hereunder (iii) any delay or failure to give any notice, demand, or protest, errors, omissions, delays or non-delivery of any message however sent, (iv) any other error, neglect or omission if done in good faith, and any action taken in good faith by the Issuer or any of the Issuer’s correspondents, and (v) failure of any person to comply with the terms of the Standby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7 shall not be construed to excuse the Issuer from liability to the Borrower to the extent of any direct damages (as opposed to consequential damages, claims in respect of which are hereby waived by the Borrower to the extent permitted by applicable law) suffered by the Borrower that are caused by the Issuer’s gross negligence or willful misconduct when determining whether drafts and other documents presented under a Letter of Credit comply with the terms thereof.</w:t>
      </w:r>
    </w:p>
    <w:p>
      <w:pPr>
        <w:spacing w:after="0" w:line="185" w:lineRule="exact"/>
        <w:rPr>
          <w:sz w:val="20"/>
          <w:szCs w:val="20"/>
          <w:color w:val="auto"/>
        </w:rPr>
      </w:pPr>
    </w:p>
    <w:p>
      <w:pPr>
        <w:jc w:val="both"/>
        <w:ind w:left="1"/>
        <w:spacing w:after="0" w:line="243"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Terms of the Standby Letter of Credit</w:t>
      </w:r>
      <w:r>
        <w:rPr>
          <w:rFonts w:ascii="Arial" w:cs="Arial" w:eastAsia="Arial" w:hAnsi="Arial"/>
          <w:sz w:val="20"/>
          <w:szCs w:val="20"/>
          <w:color w:val="auto"/>
        </w:rPr>
        <w:t>. Each Application Form submitted by the Borrower to request the issuance of a Standby Letter of Credit shall be deemed to incorporate the terms and conditions of this Agreement. The Issuer, in its sole discretion, may from time to time modify the Application Form without the Borrower’s approval and the Borrower shall be bound by such modification and shall submit the appropriate Application Form for the issuance of a Standby Letter of Credit; provided that, without the prior written consent of the Borrower, no such modification of the Application Form shall include additional conditions precedent to the issuance of Standby Letters of Credit not described in Section 3 unless required by applicable law.</w:t>
      </w:r>
    </w:p>
    <w:p>
      <w:pPr>
        <w:spacing w:after="0" w:line="193" w:lineRule="exact"/>
        <w:rPr>
          <w:sz w:val="20"/>
          <w:szCs w:val="20"/>
          <w:color w:val="auto"/>
        </w:rPr>
      </w:pPr>
    </w:p>
    <w:p>
      <w:pPr>
        <w:jc w:val="both"/>
        <w:ind w:left="1"/>
        <w:spacing w:after="0" w:line="272" w:lineRule="auto"/>
        <w:rPr>
          <w:sz w:val="20"/>
          <w:szCs w:val="20"/>
          <w:color w:val="auto"/>
        </w:rPr>
      </w:pPr>
      <w:r>
        <w:rPr>
          <w:rFonts w:ascii="Arial" w:cs="Arial" w:eastAsia="Arial" w:hAnsi="Arial"/>
          <w:sz w:val="18"/>
          <w:szCs w:val="18"/>
          <w:color w:val="auto"/>
        </w:rPr>
        <w:t>Without releasing the Borrower from any liability under this Agreement or any Standby Letter of Credit issued hereunder, the Issuer may, at the request of the Borrower or the Applicant: (i) increase the amount and extend the term of the Standby Letter of Credit, (ii) modify the terms and conditions governing the making and honoring of Demands and any other document, instrument or act to be carried out pursuant to the Standby Letter of Credit (the Standby Letter of Credit so increased, extended or modified and all action taken by Issuer or Issuer's correspondents pursuant to this Agreement or any Standby Letter of Credit issued hereunder, shall be binding upon Borrower as to all property, goods, documents and instruments covered hereby) and (iii) surrender from time to time to the persons designated by the Borrower or the Applicant (or their respective nominees) all or any part of any property, goods, documents and instruments against payments or other documents or instruments, executed by such persons, and deemed satisfactory by the Issuer.</w:t>
      </w:r>
    </w:p>
    <w:p>
      <w:pPr>
        <w:spacing w:after="0" w:line="171" w:lineRule="exact"/>
        <w:rPr>
          <w:sz w:val="20"/>
          <w:szCs w:val="20"/>
          <w:color w:val="auto"/>
        </w:rPr>
      </w:pPr>
    </w:p>
    <w:p>
      <w:pPr>
        <w:ind w:left="1"/>
        <w:spacing w:after="0"/>
        <w:tabs>
          <w:tab w:leader="none" w:pos="166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6"/>
          <w:szCs w:val="16"/>
          <w:u w:val="single" w:color="auto"/>
          <w:color w:val="auto"/>
        </w:rPr>
        <w:t>Indemnification and Expense Reimbursement</w:t>
      </w:r>
      <w:r>
        <w:rPr>
          <w:rFonts w:ascii="Arial" w:cs="Arial" w:eastAsia="Arial" w:hAnsi="Arial"/>
          <w:sz w:val="16"/>
          <w:szCs w:val="16"/>
          <w:color w:val="auto"/>
        </w:rPr>
        <w:t>.</w:t>
      </w:r>
    </w:p>
    <w:p>
      <w:pPr>
        <w:spacing w:after="0" w:line="216" w:lineRule="exact"/>
        <w:rPr>
          <w:sz w:val="20"/>
          <w:szCs w:val="20"/>
          <w:color w:val="auto"/>
        </w:rPr>
      </w:pPr>
    </w:p>
    <w:p>
      <w:pPr>
        <w:jc w:val="both"/>
        <w:ind w:left="1" w:firstLine="972"/>
        <w:spacing w:after="0" w:line="269" w:lineRule="auto"/>
        <w:tabs>
          <w:tab w:leader="none" w:pos="2110" w:val="left"/>
        </w:tabs>
        <w:numPr>
          <w:ilvl w:val="0"/>
          <w:numId w:val="112"/>
        </w:numPr>
        <w:rPr>
          <w:rFonts w:ascii="Courier New" w:cs="Courier New" w:eastAsia="Courier New" w:hAnsi="Courier New"/>
          <w:sz w:val="18"/>
          <w:szCs w:val="18"/>
          <w:color w:val="auto"/>
        </w:rPr>
      </w:pPr>
      <w:r>
        <w:rPr>
          <w:rFonts w:ascii="Arial" w:cs="Arial" w:eastAsia="Arial" w:hAnsi="Arial"/>
          <w:sz w:val="18"/>
          <w:szCs w:val="18"/>
          <w:color w:val="auto"/>
        </w:rPr>
        <w:t>The Borrower shall indemnify and hold the Issuer and its successors, assigns and correspondents, and their respective directors, partners, officers, employees, agents and affiliates harmless from all liability, claims, demands, losses and expenses, including reasonable attorneys’ fees and other charges arising under or in connection with this Agreement and the Standby Letters of Credit issued hereunder. Acceptance by the Issuer of partial or delinquent payments or failure by the Issuer to exercise any right, power or remedy shall not constitute a waiver of the Borrower’s Obligations hereunder or a modification of this Agreement. The Issuer, its successors and its assigns have all rights, powers and remedies indicated herein and provided by law, and may exercise such rights, proceed against any security and effect any set-off for the Borrower’s Obligations at any time notwithstanding any cessation of Borrower's liability or running of any statute of limitations, which Borrower hereby waives to the fullest extent permitted by law.</w:t>
      </w:r>
    </w:p>
    <w:p>
      <w:pPr>
        <w:spacing w:after="0" w:line="176" w:lineRule="exact"/>
        <w:rPr>
          <w:rFonts w:ascii="Courier New" w:cs="Courier New" w:eastAsia="Courier New" w:hAnsi="Courier New"/>
          <w:sz w:val="18"/>
          <w:szCs w:val="18"/>
          <w:color w:val="auto"/>
        </w:rPr>
      </w:pPr>
    </w:p>
    <w:p>
      <w:pPr>
        <w:jc w:val="both"/>
        <w:ind w:left="1" w:firstLine="972"/>
        <w:spacing w:after="0" w:line="271" w:lineRule="auto"/>
        <w:tabs>
          <w:tab w:leader="none" w:pos="2123" w:val="left"/>
        </w:tabs>
        <w:numPr>
          <w:ilvl w:val="0"/>
          <w:numId w:val="112"/>
        </w:numPr>
        <w:rPr>
          <w:rFonts w:ascii="Courier New" w:cs="Courier New" w:eastAsia="Courier New" w:hAnsi="Courier New"/>
          <w:sz w:val="18"/>
          <w:szCs w:val="18"/>
          <w:color w:val="auto"/>
        </w:rPr>
      </w:pPr>
      <w:r>
        <w:rPr>
          <w:rFonts w:ascii="Arial" w:cs="Arial" w:eastAsia="Arial" w:hAnsi="Arial"/>
          <w:sz w:val="18"/>
          <w:szCs w:val="18"/>
          <w:color w:val="auto"/>
        </w:rPr>
        <w:t>The Borrower shall pay to the Issuer, upon the execution of this Agreement, and otherwise on demand, all reasonable and documented out-of-pocket costs and expenses incurred by the Issuer in connection with the preparation, negotiation and delivery of this Agreement and the other Facility Documents, the administration thereof, and any modifications thereto, and the collection of all of the Obligations, including but not limited to enforcement actions with respect thereto, whether through judicial proceedings or otherwise, or in defending or prosecuting any actions or proceedings arising out of or relating to this Agreement, including reasonable fees and expenses of counsel, expenses for auditors, appraisers and environmental consultants, recording and filing fees and taxes.</w:t>
      </w:r>
    </w:p>
    <w:p>
      <w:pPr>
        <w:spacing w:after="0" w:line="169" w:lineRule="exact"/>
        <w:rPr>
          <w:rFonts w:ascii="Courier New" w:cs="Courier New" w:eastAsia="Courier New" w:hAnsi="Courier New"/>
          <w:sz w:val="18"/>
          <w:szCs w:val="18"/>
          <w:color w:val="auto"/>
        </w:rPr>
      </w:pPr>
    </w:p>
    <w:p>
      <w:pPr>
        <w:jc w:val="both"/>
        <w:ind w:left="1" w:firstLine="972"/>
        <w:spacing w:after="0" w:line="280" w:lineRule="auto"/>
        <w:tabs>
          <w:tab w:leader="none" w:pos="2110" w:val="left"/>
        </w:tabs>
        <w:numPr>
          <w:ilvl w:val="0"/>
          <w:numId w:val="112"/>
        </w:numPr>
        <w:rPr>
          <w:rFonts w:ascii="Courier New" w:cs="Courier New" w:eastAsia="Courier New" w:hAnsi="Courier New"/>
          <w:sz w:val="18"/>
          <w:szCs w:val="18"/>
          <w:color w:val="auto"/>
        </w:rPr>
      </w:pPr>
      <w:r>
        <w:rPr>
          <w:rFonts w:ascii="Arial" w:cs="Arial" w:eastAsia="Arial" w:hAnsi="Arial"/>
          <w:sz w:val="18"/>
          <w:szCs w:val="18"/>
          <w:color w:val="auto"/>
        </w:rPr>
        <w:t>To the extent permitted by applicable law, the Borrower shall not assert, and hereby waives, any claim against the Issuer and its successors, assigns and correspondents, and their respective directors, partners, officers, employees, agents and affiliates, on any theory of liability, for special, indirect, consequential or punitive damages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250825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36" w:name="page137"/>
    <w:bookmarkEnd w:id="136"/>
    <w:p>
      <w:pPr>
        <w:jc w:val="both"/>
        <w:spacing w:after="0" w:line="262" w:lineRule="auto"/>
        <w:rPr>
          <w:sz w:val="20"/>
          <w:szCs w:val="20"/>
          <w:color w:val="auto"/>
        </w:rPr>
      </w:pPr>
      <w:r>
        <w:rPr>
          <w:rFonts w:ascii="Arial" w:cs="Arial" w:eastAsia="Arial" w:hAnsi="Arial"/>
          <w:sz w:val="20"/>
          <w:szCs w:val="20"/>
          <w:color w:val="auto"/>
        </w:rPr>
        <w:t>opposed to direct or actual damages) arising out of, in connection with, or as a result of, this Agreement or any agreement or instrument contemplated hereby or any Standby Letter of Credit.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Borrower’s Representations and Warranties</w:t>
      </w:r>
      <w:r>
        <w:rPr>
          <w:rFonts w:ascii="Arial" w:cs="Arial" w:eastAsia="Arial" w:hAnsi="Arial"/>
          <w:sz w:val="20"/>
          <w:szCs w:val="20"/>
          <w:color w:val="auto"/>
        </w:rPr>
        <w:t>. The Borrower represents and warrants to the Issuer (which representations and warranties shall be deemed to be repeated by the Borrower on each day on which any Application Form is submitted hereunder) that:</w:t>
      </w:r>
    </w:p>
    <w:p>
      <w:pPr>
        <w:spacing w:after="0" w:line="186" w:lineRule="exact"/>
        <w:rPr>
          <w:sz w:val="20"/>
          <w:szCs w:val="20"/>
          <w:color w:val="auto"/>
        </w:rPr>
      </w:pPr>
    </w:p>
    <w:p>
      <w:pPr>
        <w:ind w:firstLine="972"/>
        <w:spacing w:after="0" w:line="242" w:lineRule="auto"/>
        <w:tabs>
          <w:tab w:leader="none" w:pos="2123" w:val="left"/>
        </w:tabs>
        <w:numPr>
          <w:ilvl w:val="0"/>
          <w:numId w:val="113"/>
        </w:numPr>
        <w:rPr>
          <w:rFonts w:ascii="Courier New" w:cs="Courier New" w:eastAsia="Courier New" w:hAnsi="Courier New"/>
          <w:sz w:val="20"/>
          <w:szCs w:val="20"/>
          <w:color w:val="auto"/>
        </w:rPr>
      </w:pPr>
      <w:r>
        <w:rPr>
          <w:rFonts w:ascii="Arial" w:cs="Arial" w:eastAsia="Arial" w:hAnsi="Arial"/>
          <w:sz w:val="20"/>
          <w:szCs w:val="20"/>
          <w:color w:val="auto"/>
        </w:rPr>
        <w:t>It is a corporation duly organized, validly existing and in good standing under the laws of the jurisdiction of its organization or incorporation;</w:t>
      </w:r>
    </w:p>
    <w:p>
      <w:pPr>
        <w:spacing w:after="0" w:line="193" w:lineRule="exact"/>
        <w:rPr>
          <w:rFonts w:ascii="Courier New" w:cs="Courier New" w:eastAsia="Courier New" w:hAnsi="Courier New"/>
          <w:sz w:val="20"/>
          <w:szCs w:val="20"/>
          <w:color w:val="auto"/>
        </w:rPr>
      </w:pPr>
    </w:p>
    <w:p>
      <w:pPr>
        <w:jc w:val="both"/>
        <w:ind w:firstLine="972"/>
        <w:spacing w:after="0" w:line="280" w:lineRule="auto"/>
        <w:tabs>
          <w:tab w:leader="none" w:pos="2096" w:val="left"/>
        </w:tabs>
        <w:numPr>
          <w:ilvl w:val="0"/>
          <w:numId w:val="113"/>
        </w:numPr>
        <w:rPr>
          <w:rFonts w:ascii="Courier New" w:cs="Courier New" w:eastAsia="Courier New" w:hAnsi="Courier New"/>
          <w:sz w:val="18"/>
          <w:szCs w:val="18"/>
          <w:color w:val="auto"/>
        </w:rPr>
      </w:pPr>
      <w:r>
        <w:rPr>
          <w:rFonts w:ascii="Arial" w:cs="Arial" w:eastAsia="Arial" w:hAnsi="Arial"/>
          <w:sz w:val="18"/>
          <w:szCs w:val="18"/>
          <w:color w:val="auto"/>
        </w:rPr>
        <w:t>It is duly qualified, in good standing and authorized to do business in each jurisdiction to the extent required by applicable law, regulation or rule, except where the failure to do so could not reasonably be expected to result in a material adverse effect on its business, assets, liabilities (actual or contingent), operations or condition (financial or otherwise);</w:t>
      </w:r>
    </w:p>
    <w:p>
      <w:pPr>
        <w:spacing w:after="0" w:line="161" w:lineRule="exact"/>
        <w:rPr>
          <w:rFonts w:ascii="Courier New" w:cs="Courier New" w:eastAsia="Courier New" w:hAnsi="Courier New"/>
          <w:sz w:val="18"/>
          <w:szCs w:val="18"/>
          <w:color w:val="auto"/>
        </w:rPr>
      </w:pPr>
    </w:p>
    <w:p>
      <w:pPr>
        <w:ind w:firstLine="972"/>
        <w:spacing w:after="0" w:line="242" w:lineRule="auto"/>
        <w:tabs>
          <w:tab w:leader="none" w:pos="2109" w:val="left"/>
        </w:tabs>
        <w:numPr>
          <w:ilvl w:val="0"/>
          <w:numId w:val="113"/>
        </w:numPr>
        <w:rPr>
          <w:rFonts w:ascii="Courier New" w:cs="Courier New" w:eastAsia="Courier New" w:hAnsi="Courier New"/>
          <w:sz w:val="20"/>
          <w:szCs w:val="20"/>
          <w:color w:val="auto"/>
        </w:rPr>
      </w:pPr>
      <w:r>
        <w:rPr>
          <w:rFonts w:ascii="Arial" w:cs="Arial" w:eastAsia="Arial" w:hAnsi="Arial"/>
          <w:sz w:val="20"/>
          <w:szCs w:val="20"/>
          <w:color w:val="auto"/>
        </w:rPr>
        <w:t>It has the power to enter into and perform its obligations under this Agreement, and has taken all necessary action to authorize such execution, delivery and performance;</w:t>
      </w:r>
    </w:p>
    <w:p>
      <w:pPr>
        <w:spacing w:after="0" w:line="193" w:lineRule="exact"/>
        <w:rPr>
          <w:rFonts w:ascii="Courier New" w:cs="Courier New" w:eastAsia="Courier New" w:hAnsi="Courier New"/>
          <w:sz w:val="20"/>
          <w:szCs w:val="20"/>
          <w:color w:val="auto"/>
        </w:rPr>
      </w:pPr>
    </w:p>
    <w:p>
      <w:pPr>
        <w:jc w:val="both"/>
        <w:ind w:firstLine="972"/>
        <w:spacing w:after="0" w:line="280" w:lineRule="auto"/>
        <w:tabs>
          <w:tab w:leader="none" w:pos="2096" w:val="left"/>
        </w:tabs>
        <w:numPr>
          <w:ilvl w:val="0"/>
          <w:numId w:val="113"/>
        </w:numPr>
        <w:rPr>
          <w:rFonts w:ascii="Courier New" w:cs="Courier New" w:eastAsia="Courier New" w:hAnsi="Courier New"/>
          <w:sz w:val="18"/>
          <w:szCs w:val="18"/>
          <w:color w:val="auto"/>
        </w:rPr>
      </w:pPr>
      <w:r>
        <w:rPr>
          <w:rFonts w:ascii="Arial" w:cs="Arial" w:eastAsia="Arial" w:hAnsi="Arial"/>
          <w:sz w:val="18"/>
          <w:szCs w:val="18"/>
          <w:color w:val="auto"/>
        </w:rPr>
        <w:t>The execution, delivery and performance of this Agreement by the Borrower does not and will not violate or conflict with any applicable law, any provision of its organizational documents, any order or judgment of any court or other agency of government or any of its assets or any contractual restriction binding on or affecting it or any of its assets;</w:t>
      </w:r>
    </w:p>
    <w:p>
      <w:pPr>
        <w:spacing w:after="0" w:line="161" w:lineRule="exact"/>
        <w:rPr>
          <w:rFonts w:ascii="Courier New" w:cs="Courier New" w:eastAsia="Courier New" w:hAnsi="Courier New"/>
          <w:sz w:val="18"/>
          <w:szCs w:val="18"/>
          <w:color w:val="auto"/>
        </w:rPr>
      </w:pPr>
    </w:p>
    <w:p>
      <w:pPr>
        <w:jc w:val="both"/>
        <w:ind w:firstLine="972"/>
        <w:spacing w:after="0" w:line="342" w:lineRule="auto"/>
        <w:tabs>
          <w:tab w:leader="none" w:pos="132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governmental and other consents, authorizations, approvals, licenses and orders that are required to have been obtained with respect to this Agreement and the transactions contemplated herein have been obtained and are in full force and effect and all conditions of any such consents, authorizations, approvals, licenses and orders have been complied with;</w:t>
      </w:r>
    </w:p>
    <w:p>
      <w:pPr>
        <w:spacing w:after="0" w:line="118" w:lineRule="exact"/>
        <w:rPr>
          <w:rFonts w:ascii="Arial" w:cs="Arial" w:eastAsia="Arial" w:hAnsi="Arial"/>
          <w:sz w:val="16"/>
          <w:szCs w:val="16"/>
          <w:color w:val="auto"/>
        </w:rPr>
      </w:pPr>
    </w:p>
    <w:p>
      <w:pPr>
        <w:jc w:val="both"/>
        <w:ind w:firstLine="972"/>
        <w:spacing w:after="0" w:line="263" w:lineRule="auto"/>
        <w:tabs>
          <w:tab w:leader="none" w:pos="139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76" w:lineRule="exact"/>
        <w:rPr>
          <w:rFonts w:ascii="Arial" w:cs="Arial" w:eastAsia="Arial" w:hAnsi="Arial"/>
          <w:sz w:val="19"/>
          <w:szCs w:val="19"/>
          <w:color w:val="auto"/>
        </w:rPr>
      </w:pPr>
    </w:p>
    <w:p>
      <w:pPr>
        <w:ind w:firstLine="972"/>
        <w:spacing w:after="0" w:line="260" w:lineRule="auto"/>
        <w:tabs>
          <w:tab w:leader="none" w:pos="133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No Event of Default or Default has occurred or is continuing, and no Event of Default or Default would occur as a result of its entering into or performing its obligations hereunder;</w:t>
      </w:r>
    </w:p>
    <w:p>
      <w:pPr>
        <w:spacing w:after="0" w:line="176" w:lineRule="exact"/>
        <w:rPr>
          <w:rFonts w:ascii="Arial" w:cs="Arial" w:eastAsia="Arial" w:hAnsi="Arial"/>
          <w:sz w:val="20"/>
          <w:szCs w:val="20"/>
          <w:color w:val="auto"/>
        </w:rPr>
      </w:pPr>
    </w:p>
    <w:p>
      <w:pPr>
        <w:jc w:val="both"/>
        <w:ind w:firstLine="972"/>
        <w:spacing w:after="0" w:line="258" w:lineRule="auto"/>
        <w:tabs>
          <w:tab w:leader="none" w:pos="134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There is no action, suit or proceeding at law or in equity or before any court, tribunal, governmental body, agency, official or arbitrator, pending or, to its knowledge, threatened against the Borrower or any of its subsidiaries (i) that involves the legality, validity or enforceability of this Agreement or its ability to perform its obligations under this Agreement or (ii) that if adversely determined, could reasonably be expected to result in a material adverse effect on (a) the business, assets, liabilities (actual or contingent), operations or condition (financial or otherwise) of the Borrower, or (b) the validity or enforceability of any of the Facility Documents or the rights or remedies of the Issuer or the ability of the Borrower to perform its obligations thereunder;</w:t>
      </w:r>
    </w:p>
    <w:p>
      <w:pPr>
        <w:spacing w:after="0" w:line="179" w:lineRule="exact"/>
        <w:rPr>
          <w:rFonts w:ascii="Arial" w:cs="Arial" w:eastAsia="Arial" w:hAnsi="Arial"/>
          <w:sz w:val="19"/>
          <w:szCs w:val="19"/>
          <w:color w:val="auto"/>
        </w:rPr>
      </w:pPr>
    </w:p>
    <w:p>
      <w:pPr>
        <w:jc w:val="both"/>
        <w:ind w:firstLine="972"/>
        <w:spacing w:after="0" w:line="282" w:lineRule="auto"/>
        <w:tabs>
          <w:tab w:leader="none" w:pos="134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Neither the Borrower nor any Applicant is listed on the Specially Designated Nationals and Blocked Persons List maintained by the OFAC pursuant to Executive Order No. 13224, 66 Fed. Reg. 49079 (Sept. 25, 2001), and/or any other list maintained pursuant to any of the rules and regulations of OFAC or pursuant to any other applicable Executive Orders or otherwise subject to any sanction imposed pursuant to an OFAC implemented regulation;</w:t>
      </w:r>
    </w:p>
    <w:p>
      <w:pPr>
        <w:spacing w:after="0" w:line="161" w:lineRule="exact"/>
        <w:rPr>
          <w:rFonts w:ascii="Arial" w:cs="Arial" w:eastAsia="Arial" w:hAnsi="Arial"/>
          <w:sz w:val="18"/>
          <w:szCs w:val="18"/>
          <w:color w:val="auto"/>
        </w:rPr>
      </w:pPr>
    </w:p>
    <w:p>
      <w:pPr>
        <w:ind w:left="1340" w:hanging="368"/>
        <w:spacing w:after="0"/>
        <w:tabs>
          <w:tab w:leader="none" w:pos="13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Borrower is Solvent; and</w:t>
      </w:r>
    </w:p>
    <w:p>
      <w:pPr>
        <w:spacing w:after="0" w:line="215" w:lineRule="exact"/>
        <w:rPr>
          <w:rFonts w:ascii="Arial" w:cs="Arial" w:eastAsia="Arial" w:hAnsi="Arial"/>
          <w:sz w:val="20"/>
          <w:szCs w:val="20"/>
          <w:color w:val="auto"/>
        </w:rPr>
      </w:pPr>
    </w:p>
    <w:p>
      <w:pPr>
        <w:jc w:val="both"/>
        <w:ind w:firstLine="972"/>
        <w:spacing w:after="0" w:line="258" w:lineRule="auto"/>
        <w:tabs>
          <w:tab w:leader="none" w:pos="133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Facility Documents do not contain any untrue statement of material fact or omit to state a material fact necessary in order to make the statements contained in this Agreement or the Facility Documents, when taken as a whole at the time made, not misleading in light of the circumstances under which such statements were made. There is no fact known to the Borrower which materially adversely affects or could reasonably be expected to result in a material adverse effect on (a) the business, assets, liabilities (actual or contingent), operations or condition (financial or otherwise) of the Borrower, or (b) the validity or enforceability of any of the Facility Documents or the rights or remedies of the Issuer or the ability of the Borrower to perform its obligations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37" w:name="page138"/>
    <w:bookmarkEnd w:id="137"/>
    <w:p>
      <w:pPr>
        <w:spacing w:after="0" w:line="262"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Event of Default</w:t>
      </w:r>
      <w:r>
        <w:rPr>
          <w:rFonts w:ascii="Arial" w:cs="Arial" w:eastAsia="Arial" w:hAnsi="Arial"/>
          <w:sz w:val="20"/>
          <w:szCs w:val="20"/>
          <w:color w:val="auto"/>
        </w:rPr>
        <w:t>. The occurrence and continuation of any of the following events or conditions shall constitute an Event of Default under this Agreement:</w:t>
      </w:r>
    </w:p>
    <w:p>
      <w:pPr>
        <w:spacing w:after="0" w:line="174" w:lineRule="exact"/>
        <w:rPr>
          <w:sz w:val="20"/>
          <w:szCs w:val="20"/>
          <w:color w:val="auto"/>
        </w:rPr>
      </w:pPr>
    </w:p>
    <w:p>
      <w:pPr>
        <w:jc w:val="both"/>
        <w:ind w:left="680" w:hanging="364"/>
        <w:spacing w:after="0" w:line="232" w:lineRule="auto"/>
        <w:rPr>
          <w:sz w:val="20"/>
          <w:szCs w:val="20"/>
          <w:color w:val="auto"/>
        </w:rPr>
      </w:pPr>
      <w:r>
        <w:rPr>
          <w:rFonts w:ascii="Courier New" w:cs="Courier New" w:eastAsia="Courier New" w:hAnsi="Courier New"/>
          <w:sz w:val="20"/>
          <w:szCs w:val="20"/>
          <w:color w:val="auto"/>
        </w:rPr>
        <w:t>(a)</w:t>
      </w:r>
      <w:r>
        <w:rPr>
          <w:rFonts w:ascii="Arial" w:cs="Arial" w:eastAsia="Arial" w:hAnsi="Arial"/>
          <w:sz w:val="20"/>
          <w:szCs w:val="20"/>
          <w:color w:val="auto"/>
        </w:rPr>
        <w:t>The Borrower fails to pay when due or otherwise perform any of the Obligations hereunder or pursuant to a Standby</w:t>
      </w:r>
      <w:r>
        <w:rPr>
          <w:rFonts w:ascii="Courier New" w:cs="Courier New" w:eastAsia="Courier New" w:hAnsi="Courier New"/>
          <w:sz w:val="20"/>
          <w:szCs w:val="20"/>
          <w:color w:val="auto"/>
        </w:rPr>
        <w:t xml:space="preserve"> </w:t>
      </w:r>
      <w:r>
        <w:rPr>
          <w:rFonts w:ascii="Arial" w:cs="Arial" w:eastAsia="Arial" w:hAnsi="Arial"/>
          <w:sz w:val="20"/>
          <w:szCs w:val="20"/>
          <w:color w:val="auto"/>
        </w:rPr>
        <w:t>Letter of Credit issued hereunder;</w:t>
      </w:r>
    </w:p>
    <w:p>
      <w:pPr>
        <w:spacing w:after="0" w:line="196" w:lineRule="exact"/>
        <w:rPr>
          <w:sz w:val="20"/>
          <w:szCs w:val="20"/>
          <w:color w:val="auto"/>
        </w:rPr>
      </w:pPr>
    </w:p>
    <w:p>
      <w:pPr>
        <w:jc w:val="both"/>
        <w:ind w:left="680" w:hanging="364"/>
        <w:spacing w:after="0" w:line="249" w:lineRule="auto"/>
        <w:rPr>
          <w:sz w:val="20"/>
          <w:szCs w:val="20"/>
          <w:color w:val="auto"/>
        </w:rPr>
      </w:pPr>
      <w:r>
        <w:rPr>
          <w:rFonts w:ascii="Courier New" w:cs="Courier New" w:eastAsia="Courier New" w:hAnsi="Courier New"/>
          <w:sz w:val="19"/>
          <w:szCs w:val="19"/>
          <w:color w:val="auto"/>
        </w:rPr>
        <w:t>(b)</w:t>
      </w:r>
      <w:r>
        <w:rPr>
          <w:rFonts w:ascii="Arial" w:cs="Arial" w:eastAsia="Arial" w:hAnsi="Arial"/>
          <w:sz w:val="19"/>
          <w:szCs w:val="19"/>
          <w:color w:val="auto"/>
        </w:rPr>
        <w:t>An action for bankruptcy, reorganization, restructuring, declaration of insolvency, dissolution is commenced by or</w:t>
      </w:r>
      <w:r>
        <w:rPr>
          <w:rFonts w:ascii="Courier New" w:cs="Courier New" w:eastAsia="Courier New" w:hAnsi="Courier New"/>
          <w:sz w:val="19"/>
          <w:szCs w:val="19"/>
          <w:color w:val="auto"/>
        </w:rPr>
        <w:t xml:space="preserve"> </w:t>
      </w:r>
      <w:r>
        <w:rPr>
          <w:rFonts w:ascii="Arial" w:cs="Arial" w:eastAsia="Arial" w:hAnsi="Arial"/>
          <w:sz w:val="19"/>
          <w:szCs w:val="19"/>
          <w:color w:val="auto"/>
        </w:rPr>
        <w:t>against the Borrower or the Borrower is unable to pay its debts when they become due;</w:t>
      </w:r>
    </w:p>
    <w:p>
      <w:pPr>
        <w:spacing w:after="0" w:line="187" w:lineRule="exact"/>
        <w:rPr>
          <w:sz w:val="20"/>
          <w:szCs w:val="20"/>
          <w:color w:val="auto"/>
        </w:rPr>
      </w:pPr>
    </w:p>
    <w:p>
      <w:pPr>
        <w:jc w:val="both"/>
        <w:ind w:left="680" w:hanging="364"/>
        <w:spacing w:after="0" w:line="249" w:lineRule="auto"/>
        <w:rPr>
          <w:sz w:val="20"/>
          <w:szCs w:val="20"/>
          <w:color w:val="auto"/>
        </w:rPr>
      </w:pPr>
      <w:r>
        <w:rPr>
          <w:rFonts w:ascii="Courier New" w:cs="Courier New" w:eastAsia="Courier New" w:hAnsi="Courier New"/>
          <w:sz w:val="19"/>
          <w:szCs w:val="19"/>
          <w:color w:val="auto"/>
        </w:rPr>
        <w:t>(c)</w:t>
      </w:r>
      <w:r>
        <w:rPr>
          <w:rFonts w:ascii="Arial" w:cs="Arial" w:eastAsia="Arial" w:hAnsi="Arial"/>
          <w:sz w:val="19"/>
          <w:szCs w:val="19"/>
          <w:color w:val="auto"/>
        </w:rPr>
        <w:t>Any representation or warranty made by Borrower hereunder or under any Facility Document or the Revolving Credit</w:t>
      </w:r>
      <w:r>
        <w:rPr>
          <w:rFonts w:ascii="Courier New" w:cs="Courier New" w:eastAsia="Courier New" w:hAnsi="Courier New"/>
          <w:sz w:val="19"/>
          <w:szCs w:val="19"/>
          <w:color w:val="auto"/>
        </w:rPr>
        <w:t xml:space="preserve"> </w:t>
      </w:r>
      <w:r>
        <w:rPr>
          <w:rFonts w:ascii="Arial" w:cs="Arial" w:eastAsia="Arial" w:hAnsi="Arial"/>
          <w:sz w:val="19"/>
          <w:szCs w:val="19"/>
          <w:color w:val="auto"/>
        </w:rPr>
        <w:t>Agreement shall have been untrue or incorrect in any material respect when made or deemed made;</w:t>
      </w:r>
    </w:p>
    <w:p>
      <w:pPr>
        <w:spacing w:after="0" w:line="187" w:lineRule="exact"/>
        <w:rPr>
          <w:sz w:val="20"/>
          <w:szCs w:val="20"/>
          <w:color w:val="auto"/>
        </w:rPr>
      </w:pPr>
    </w:p>
    <w:p>
      <w:pPr>
        <w:jc w:val="both"/>
        <w:ind w:left="680" w:hanging="364"/>
        <w:spacing w:after="0" w:line="234" w:lineRule="auto"/>
        <w:rPr>
          <w:sz w:val="20"/>
          <w:szCs w:val="20"/>
          <w:color w:val="auto"/>
        </w:rPr>
      </w:pPr>
      <w:r>
        <w:rPr>
          <w:rFonts w:ascii="Courier New" w:cs="Courier New" w:eastAsia="Courier New" w:hAnsi="Courier New"/>
          <w:sz w:val="20"/>
          <w:szCs w:val="20"/>
          <w:color w:val="auto"/>
        </w:rPr>
        <w:t>(d)</w:t>
      </w:r>
      <w:r>
        <w:rPr>
          <w:rFonts w:ascii="Arial" w:cs="Arial" w:eastAsia="Arial" w:hAnsi="Arial"/>
          <w:sz w:val="20"/>
          <w:szCs w:val="20"/>
          <w:color w:val="auto"/>
        </w:rPr>
        <w:t>The occurrence of any event under any agreement or instrument involving the extension of credit to Borrower in an</w:t>
      </w:r>
      <w:r>
        <w:rPr>
          <w:rFonts w:ascii="Courier New" w:cs="Courier New" w:eastAsia="Courier New" w:hAnsi="Courier New"/>
          <w:sz w:val="20"/>
          <w:szCs w:val="20"/>
          <w:color w:val="auto"/>
        </w:rPr>
        <w:t xml:space="preserve"> </w:t>
      </w:r>
      <w:r>
        <w:rPr>
          <w:rFonts w:ascii="Arial" w:cs="Arial" w:eastAsia="Arial" w:hAnsi="Arial"/>
          <w:sz w:val="20"/>
          <w:szCs w:val="20"/>
          <w:color w:val="auto"/>
        </w:rPr>
        <w:t>aggregate amount in excess of $750,000 which gives the holder of such obligation the right to accelerate its maturity, whether or not such right is exercised;</w:t>
      </w:r>
    </w:p>
    <w:p>
      <w:pPr>
        <w:spacing w:after="0" w:line="198" w:lineRule="exact"/>
        <w:rPr>
          <w:sz w:val="20"/>
          <w:szCs w:val="20"/>
          <w:color w:val="auto"/>
        </w:rPr>
      </w:pPr>
    </w:p>
    <w:p>
      <w:pPr>
        <w:jc w:val="both"/>
        <w:ind w:left="680" w:hanging="364"/>
        <w:spacing w:after="0" w:line="234" w:lineRule="auto"/>
        <w:rPr>
          <w:sz w:val="20"/>
          <w:szCs w:val="20"/>
          <w:color w:val="auto"/>
        </w:rPr>
      </w:pPr>
      <w:r>
        <w:rPr>
          <w:rFonts w:ascii="Courier New" w:cs="Courier New" w:eastAsia="Courier New" w:hAnsi="Courier New"/>
          <w:sz w:val="20"/>
          <w:szCs w:val="20"/>
          <w:color w:val="auto"/>
        </w:rPr>
        <w:t>(e)</w:t>
      </w:r>
      <w:r>
        <w:rPr>
          <w:rFonts w:ascii="Arial" w:cs="Arial" w:eastAsia="Arial" w:hAnsi="Arial"/>
          <w:sz w:val="20"/>
          <w:szCs w:val="20"/>
          <w:color w:val="auto"/>
        </w:rPr>
        <w:t>The Borrower, without the prior written consent of the Issuer, becomes a party to any merger, amalgamation or</w:t>
      </w:r>
      <w:r>
        <w:rPr>
          <w:rFonts w:ascii="Courier New" w:cs="Courier New" w:eastAsia="Courier New" w:hAnsi="Courier New"/>
          <w:sz w:val="20"/>
          <w:szCs w:val="20"/>
          <w:color w:val="auto"/>
        </w:rPr>
        <w:t xml:space="preserve"> </w:t>
      </w:r>
      <w:r>
        <w:rPr>
          <w:rFonts w:ascii="Arial" w:cs="Arial" w:eastAsia="Arial" w:hAnsi="Arial"/>
          <w:sz w:val="20"/>
          <w:szCs w:val="20"/>
          <w:color w:val="auto"/>
        </w:rPr>
        <w:t>consolidation or transfers all or substantially all of its assets to another person or entity that is not permitted by the Revolving Credit Agreement; or</w:t>
      </w:r>
    </w:p>
    <w:p>
      <w:pPr>
        <w:spacing w:after="0" w:line="198" w:lineRule="exact"/>
        <w:rPr>
          <w:sz w:val="20"/>
          <w:szCs w:val="20"/>
          <w:color w:val="auto"/>
        </w:rPr>
      </w:pPr>
    </w:p>
    <w:p>
      <w:pPr>
        <w:jc w:val="both"/>
        <w:ind w:left="680" w:hanging="364"/>
        <w:spacing w:after="0" w:line="232" w:lineRule="auto"/>
        <w:rPr>
          <w:sz w:val="20"/>
          <w:szCs w:val="20"/>
          <w:color w:val="auto"/>
        </w:rPr>
      </w:pPr>
      <w:r>
        <w:rPr>
          <w:rFonts w:ascii="Courier New" w:cs="Courier New" w:eastAsia="Courier New" w:hAnsi="Courier New"/>
          <w:sz w:val="20"/>
          <w:szCs w:val="20"/>
          <w:color w:val="auto"/>
        </w:rPr>
        <w:t>(f)</w:t>
      </w:r>
      <w:r>
        <w:rPr>
          <w:rFonts w:ascii="Arial" w:cs="Arial" w:eastAsia="Arial" w:hAnsi="Arial"/>
          <w:sz w:val="20"/>
          <w:szCs w:val="20"/>
          <w:color w:val="auto"/>
        </w:rPr>
        <w:t>Any “Event of Default” (as defined in the Revolving Credit Agreement) shall occur under the Revolving Credit</w:t>
      </w:r>
      <w:r>
        <w:rPr>
          <w:rFonts w:ascii="Courier New" w:cs="Courier New" w:eastAsia="Courier New" w:hAnsi="Courier New"/>
          <w:sz w:val="20"/>
          <w:szCs w:val="20"/>
          <w:color w:val="auto"/>
        </w:rPr>
        <w:t xml:space="preserve"> </w:t>
      </w:r>
      <w:r>
        <w:rPr>
          <w:rFonts w:ascii="Arial" w:cs="Arial" w:eastAsia="Arial" w:hAnsi="Arial"/>
          <w:sz w:val="20"/>
          <w:szCs w:val="20"/>
          <w:color w:val="auto"/>
        </w:rPr>
        <w:t>Agreement;</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then Issuer, in its sole discretion, may: (i) require the Borrower to pay or deposit with Issuer cash in an amount equal to up to 103% of the face amount of all undrawn Standby Letters of Credit then outstanding, which cash shall be held as collateral security for the performance by the Borrower of its obligations hereunder; (ii) declare all other amounts owing hereunder or under any other Facility Document immediately due and payable without demand or notice and the Borrower shall pay to or deposit with Issuer the amount thereof; (iii) waive any default, provided however that such waiver shall not be deemed a waiver of any prior or subsequent default; (iv) take such action as the Issuer in its sole discretion deems necessary or desirable to remedy any default, provided however that such action shall not be deemed a waiver of such default or any prior or subsequent default, (v) terminate the financial arrangement under this Agreement and elect not to renew any Standby Letter of Credit or cause the Borrower to provide a substitute issuing bank; or (vi) take any other action available to a creditor pursuant to the terms of any Facility Document or applicable law, either by suit in equity or by action at law, or both, including for specific performance of any covenant or other agreement contained in any Facility Document or in aid of the exercise of any power granted in any Facility Document. The Borrower hereby agrees and undertakes to notify the Issuer within five (5) business days after discovering or obtaining knowledge of any condition or event constituting a Default or Event of Default or that, with the lapse of time would constitute an Event of Default.</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Increased Costs; Illegality</w:t>
      </w:r>
      <w:r>
        <w:rPr>
          <w:rFonts w:ascii="Arial" w:cs="Arial" w:eastAsia="Arial" w:hAnsi="Arial"/>
          <w:sz w:val="19"/>
          <w:szCs w:val="19"/>
          <w:color w:val="auto"/>
        </w:rPr>
        <w:t>. The Borrower hereby agrees to pay promptly after the Issuer’s demand therefor any increased costs arising from (a) any Change in Law, or (b) reserve requirements (except as reflected in the definition of Adjusted LIBO Rate), or any changes in existing reserve requirements, imposed on Issuer with respect to this Agreement or any Standby Letter of Credit issued hereunder. If any of the above-mentioned measures, or any other similar measure, should result in (i) any increase in the cost to Issuer of issuing and maintaining the Standby Letter of Credit issued pursuant to this Agreement or of any transaction hereunder and thereunder, or (ii) any reduction in the amount of principal, interest or any fee receivable by the Issuer in respect of this Agreement or any Standby Letter of Credit issued hereunder, the Issuer shall provide the Borrower with a certificate specifying the amount so demanded, which certificate shall be conclusive and binding on the Borrower in the absence of manifest error, and the Borrower shall pay to Issuer upon demand such increased cost or reduction.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If, at any time, the Issuer determines (which determination shall be conclusive absent manifest error) that adequate and reasonable means do not exist for ascertaining the Adjusted LIBO Rate, or (ii) the Issuer determines that the Adjusted LIBO Rate will not adequately and fairly reflect the cost to Issuer of making or maintaining its extensions of credit hereunder, then then the Issuer shall give notice thereof to the Borrower by telephone, telecopy or e-mail as promptly as practicable thereafter and, until the Issuer notifies the Borrower that the circumstances giving rise to such notice no longer exist, the Letter of Credit Fees and all Obligations hereunder shall bear interest by reference to the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38" w:name="page139"/>
    <w:bookmarkEnd w:id="138"/>
    <w:p>
      <w:pPr>
        <w:jc w:val="both"/>
        <w:spacing w:after="0" w:line="257" w:lineRule="auto"/>
        <w:rPr>
          <w:sz w:val="20"/>
          <w:szCs w:val="20"/>
          <w:color w:val="auto"/>
        </w:rPr>
      </w:pPr>
      <w:r>
        <w:rPr>
          <w:rFonts w:ascii="Arial" w:cs="Arial" w:eastAsia="Arial" w:hAnsi="Arial"/>
          <w:sz w:val="19"/>
          <w:szCs w:val="19"/>
          <w:color w:val="auto"/>
        </w:rPr>
        <w:t>Without duplication of any other rights that the Issuer has hereunder, if the Issuer determines that any law has made it unlawful, or that any governmental authority has asserted that it is unlawful for the Issuer to make, maintain or fund any extension of credit whose interest is determined by reference to the LIBO Rate, or to determine or charge interest rates based upon the LIBO Rate, or any governmental authority has imposed material restrictions on the authority of the Issuer to purchase or sell, or to take deposits of, Dollars in the London interbank market, then, on notice thereof by the Issuer to the Borrower, the interest rate applicable to all Obligations hereunder shall, if necessary to avoid such illegality, be determined by Issuer by reference to the Base Rate, in each case until the Issuer notifies the Borrower that the circumstances giving rise to such determination no longer exist.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Right of Set-Off</w:t>
      </w:r>
      <w:r>
        <w:rPr>
          <w:rFonts w:ascii="Arial" w:cs="Arial" w:eastAsia="Arial" w:hAnsi="Arial"/>
          <w:sz w:val="19"/>
          <w:szCs w:val="19"/>
          <w:color w:val="auto"/>
        </w:rPr>
        <w:t>. In addition to any rights or remedies now or hereafter granted under applicable law or otherwise, if an Event of Default shall have occurred or be continuing, the Issuer, in its own discretion, may (but shall not be obliged to) set-off against any Borrower’s obligation due and payable by the Borrower under this Agreement or any Standby Letter of Credit issued hereunder on which a demand has been made by the Beneficiary, any moneys held by the Issuer for the account of the Borrower and in any currency whether or not such monies are then due and payable. The Issuer shall promptly thereafter notify the Borrower of any such set-off.</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Notices</w:t>
      </w:r>
      <w:r>
        <w:rPr>
          <w:rFonts w:ascii="Arial" w:cs="Arial" w:eastAsia="Arial" w:hAnsi="Arial"/>
          <w:sz w:val="19"/>
          <w:szCs w:val="19"/>
          <w:color w:val="auto"/>
        </w:rPr>
        <w:t>. All notifications, requests, demands and other communications hereunder to either the Issuer or the Borrower shall be in writing, unless otherwise advised by notice by the Party changing its notice information to the other Party. Any communication shall be deemed effective only upon receipt at the following addresses:</w:t>
      </w:r>
    </w:p>
    <w:p>
      <w:pPr>
        <w:sectPr>
          <w:pgSz w:w="11900" w:h="16838" w:orient="portrait"/>
          <w:cols w:equalWidth="0" w:num="1">
            <w:col w:w="10060"/>
          </w:cols>
          <w:pgMar w:left="920" w:top="121" w:right="91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If to the Borrower, to:</w:t>
      </w:r>
    </w:p>
    <w:p>
      <w:pPr>
        <w:spacing w:after="0" w:line="202" w:lineRule="exact"/>
        <w:rPr>
          <w:sz w:val="20"/>
          <w:szCs w:val="20"/>
          <w:color w:val="auto"/>
        </w:rPr>
      </w:pPr>
    </w:p>
    <w:p>
      <w:pPr>
        <w:ind w:left="760" w:right="820"/>
        <w:spacing w:after="0" w:line="259" w:lineRule="auto"/>
        <w:rPr>
          <w:sz w:val="20"/>
          <w:szCs w:val="20"/>
          <w:color w:val="auto"/>
        </w:rPr>
      </w:pPr>
      <w:r>
        <w:rPr>
          <w:rFonts w:ascii="Arial" w:cs="Arial" w:eastAsia="Arial" w:hAnsi="Arial"/>
          <w:sz w:val="18"/>
          <w:szCs w:val="18"/>
          <w:color w:val="auto"/>
        </w:rPr>
        <w:t>Capital Southwest Corporation Lincoln Center Tower</w:t>
      </w:r>
    </w:p>
    <w:p>
      <w:pPr>
        <w:spacing w:after="0" w:line="1" w:lineRule="exact"/>
        <w:rPr>
          <w:sz w:val="20"/>
          <w:szCs w:val="20"/>
          <w:color w:val="auto"/>
        </w:rPr>
      </w:pPr>
    </w:p>
    <w:p>
      <w:pPr>
        <w:ind w:left="760" w:right="840"/>
        <w:spacing w:after="0" w:line="225" w:lineRule="auto"/>
        <w:rPr>
          <w:sz w:val="20"/>
          <w:szCs w:val="20"/>
          <w:color w:val="auto"/>
        </w:rPr>
      </w:pPr>
      <w:r>
        <w:rPr>
          <w:rFonts w:ascii="Arial" w:cs="Arial" w:eastAsia="Arial" w:hAnsi="Arial"/>
          <w:sz w:val="20"/>
          <w:szCs w:val="20"/>
          <w:color w:val="auto"/>
        </w:rPr>
        <w:t>5400 LBJ Freeway, Suite 1300 Dallas, TX 75240 Attention: Michael Sarner Telephone: 214-884-3829 Facsimile: 214-238-5701</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msarner@capitalsouthwest.com</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20" w:right="1040"/>
        <w:spacing w:after="0" w:line="244" w:lineRule="auto"/>
        <w:rPr>
          <w:sz w:val="20"/>
          <w:szCs w:val="20"/>
          <w:color w:val="auto"/>
        </w:rPr>
      </w:pPr>
      <w:r>
        <w:rPr>
          <w:rFonts w:ascii="Arial" w:cs="Arial" w:eastAsia="Arial" w:hAnsi="Arial"/>
          <w:sz w:val="19"/>
          <w:szCs w:val="19"/>
          <w:color w:val="auto"/>
        </w:rPr>
        <w:t>Thompson &amp; Knight LLP 811 Main Street, Suite 2500 Houston, Texas 77002 Telephone: (713) 951-5803 Facsimile: (832) 397-8012 E-mail: Cassandra.Mott@tklaw.com</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If to the Issuer, to:</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ING Capital LLC</w:t>
      </w:r>
    </w:p>
    <w:p>
      <w:pPr>
        <w:spacing w:after="0" w:line="227" w:lineRule="auto"/>
        <w:rPr>
          <w:sz w:val="20"/>
          <w:szCs w:val="20"/>
          <w:color w:val="auto"/>
        </w:rPr>
      </w:pPr>
      <w:r>
        <w:rPr>
          <w:rFonts w:ascii="Arial" w:cs="Arial" w:eastAsia="Arial" w:hAnsi="Arial"/>
          <w:sz w:val="20"/>
          <w:szCs w:val="20"/>
          <w:color w:val="auto"/>
        </w:rPr>
        <w:t>1133 Avenue of the Americas</w:t>
      </w:r>
    </w:p>
    <w:p>
      <w:pPr>
        <w:spacing w:after="0" w:line="226" w:lineRule="auto"/>
        <w:rPr>
          <w:sz w:val="20"/>
          <w:szCs w:val="20"/>
          <w:color w:val="auto"/>
        </w:rPr>
      </w:pPr>
      <w:r>
        <w:rPr>
          <w:rFonts w:ascii="Arial" w:cs="Arial" w:eastAsia="Arial" w:hAnsi="Arial"/>
          <w:sz w:val="20"/>
          <w:szCs w:val="20"/>
          <w:color w:val="auto"/>
        </w:rPr>
        <w:t>New York, New York 10036</w:t>
      </w:r>
    </w:p>
    <w:p>
      <w:pPr>
        <w:spacing w:after="0" w:line="225" w:lineRule="auto"/>
        <w:rPr>
          <w:sz w:val="20"/>
          <w:szCs w:val="20"/>
          <w:color w:val="auto"/>
        </w:rPr>
      </w:pPr>
      <w:r>
        <w:rPr>
          <w:rFonts w:ascii="Arial" w:cs="Arial" w:eastAsia="Arial" w:hAnsi="Arial"/>
          <w:sz w:val="20"/>
          <w:szCs w:val="20"/>
          <w:color w:val="auto"/>
        </w:rPr>
        <w:t>Attention: Grace Fu</w:t>
      </w:r>
    </w:p>
    <w:p>
      <w:pPr>
        <w:spacing w:after="0" w:line="226" w:lineRule="auto"/>
        <w:rPr>
          <w:sz w:val="20"/>
          <w:szCs w:val="20"/>
          <w:color w:val="auto"/>
        </w:rPr>
      </w:pPr>
      <w:r>
        <w:rPr>
          <w:rFonts w:ascii="Arial" w:cs="Arial" w:eastAsia="Arial" w:hAnsi="Arial"/>
          <w:sz w:val="20"/>
          <w:szCs w:val="20"/>
          <w:color w:val="auto"/>
        </w:rPr>
        <w:t>Telephone: (646) 424-7213</w:t>
      </w:r>
    </w:p>
    <w:p>
      <w:pPr>
        <w:spacing w:after="0" w:line="225" w:lineRule="auto"/>
        <w:rPr>
          <w:sz w:val="20"/>
          <w:szCs w:val="20"/>
          <w:color w:val="auto"/>
        </w:rPr>
      </w:pPr>
      <w:r>
        <w:rPr>
          <w:rFonts w:ascii="Arial" w:cs="Arial" w:eastAsia="Arial" w:hAnsi="Arial"/>
          <w:sz w:val="20"/>
          <w:szCs w:val="20"/>
          <w:color w:val="auto"/>
        </w:rPr>
        <w:t>Facsimile: (646) 424-6919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grace.fu@ing.com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Dechert LLP</w:t>
      </w:r>
    </w:p>
    <w:p>
      <w:pPr>
        <w:spacing w:after="0" w:line="227" w:lineRule="auto"/>
        <w:rPr>
          <w:sz w:val="20"/>
          <w:szCs w:val="20"/>
          <w:color w:val="auto"/>
        </w:rPr>
      </w:pPr>
      <w:r>
        <w:rPr>
          <w:rFonts w:ascii="Arial" w:cs="Arial" w:eastAsia="Arial" w:hAnsi="Arial"/>
          <w:sz w:val="20"/>
          <w:szCs w:val="20"/>
          <w:color w:val="auto"/>
        </w:rPr>
        <w:t>1095 Avenue of the Americas</w:t>
      </w:r>
    </w:p>
    <w:p>
      <w:pPr>
        <w:spacing w:after="0" w:line="226" w:lineRule="auto"/>
        <w:rPr>
          <w:sz w:val="20"/>
          <w:szCs w:val="20"/>
          <w:color w:val="auto"/>
        </w:rPr>
      </w:pPr>
      <w:r>
        <w:rPr>
          <w:rFonts w:ascii="Arial" w:cs="Arial" w:eastAsia="Arial" w:hAnsi="Arial"/>
          <w:sz w:val="20"/>
          <w:szCs w:val="20"/>
          <w:color w:val="auto"/>
        </w:rPr>
        <w:t>New York, New York 10036</w:t>
      </w:r>
    </w:p>
    <w:p>
      <w:pPr>
        <w:spacing w:after="0" w:line="225" w:lineRule="auto"/>
        <w:rPr>
          <w:sz w:val="20"/>
          <w:szCs w:val="20"/>
          <w:color w:val="auto"/>
        </w:rPr>
      </w:pPr>
      <w:r>
        <w:rPr>
          <w:rFonts w:ascii="Arial" w:cs="Arial" w:eastAsia="Arial" w:hAnsi="Arial"/>
          <w:sz w:val="20"/>
          <w:szCs w:val="20"/>
          <w:color w:val="auto"/>
        </w:rPr>
        <w:t>Attention: Jay R. Alicandri, Esq.</w:t>
      </w:r>
    </w:p>
    <w:p>
      <w:pPr>
        <w:spacing w:after="0" w:line="226" w:lineRule="auto"/>
        <w:rPr>
          <w:sz w:val="20"/>
          <w:szCs w:val="20"/>
          <w:color w:val="auto"/>
        </w:rPr>
      </w:pPr>
      <w:r>
        <w:rPr>
          <w:rFonts w:ascii="Arial" w:cs="Arial" w:eastAsia="Arial" w:hAnsi="Arial"/>
          <w:sz w:val="20"/>
          <w:szCs w:val="20"/>
          <w:color w:val="auto"/>
        </w:rPr>
        <w:t>Telephone: (212) 698-3800</w:t>
      </w:r>
    </w:p>
    <w:p>
      <w:pPr>
        <w:spacing w:after="0" w:line="225" w:lineRule="auto"/>
        <w:rPr>
          <w:sz w:val="20"/>
          <w:szCs w:val="20"/>
          <w:color w:val="auto"/>
        </w:rPr>
      </w:pPr>
      <w:r>
        <w:rPr>
          <w:rFonts w:ascii="Arial" w:cs="Arial" w:eastAsia="Arial" w:hAnsi="Arial"/>
          <w:sz w:val="20"/>
          <w:szCs w:val="20"/>
          <w:color w:val="auto"/>
        </w:rPr>
        <w:t>Facsimile: (212) 698-3599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jay.alicandri@dechert.com</w:t>
      </w:r>
    </w:p>
    <w:p>
      <w:pPr>
        <w:spacing w:after="0" w:line="200" w:lineRule="exact"/>
        <w:rPr>
          <w:sz w:val="20"/>
          <w:szCs w:val="20"/>
          <w:color w:val="auto"/>
        </w:rPr>
      </w:pPr>
    </w:p>
    <w:p>
      <w:pPr>
        <w:sectPr>
          <w:pgSz w:w="11900" w:h="16838" w:orient="portrait"/>
          <w:cols w:equalWidth="0" w:num="2">
            <w:col w:w="4040" w:space="620"/>
            <w:col w:w="5400"/>
          </w:cols>
          <w:pgMar w:left="920" w:top="121" w:right="91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Borrower shall give the Issuer prior written notice of any change in its place of business and address.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Such communications shall be deemed effective (a) if sent by United States Postal Service registered or certified mail, postage prepaid and return receipt requested, in an envelope addressed as aforesaid, when received, (b) if sent to an officer of the recipient, at the time of receipt such officer, or (c) if sent by facsimile or electronic mail, when that transmission is received by the recipient in legible form. Furthermore, the Borrower authorizes the Issuer to execute any of Borrower’s duly signed Application sent to the Issuer via fax without need for further confirmation. The Issuer reserves the right to verify, from time to time, at its sole discretion, such Applications directly by telephone.</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Waiver and Modification</w:t>
      </w:r>
      <w:r>
        <w:rPr>
          <w:rFonts w:ascii="Arial" w:cs="Arial" w:eastAsia="Arial" w:hAnsi="Arial"/>
          <w:sz w:val="18"/>
          <w:szCs w:val="18"/>
          <w:color w:val="auto"/>
        </w:rPr>
        <w:t>. (a) No failure or delay by the Issuer in exercising any right or power under this Agreement or any Facility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Issuer’s rights and remedies under this Agreement and the other Facility Documents are cumulative and are not exclusive of any rights or remedies that they would otherwise have. No waiver of any provision of this Agreement or any Facility Document or consent to any departure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type w:val="continuous"/>
        </w:sectPr>
      </w:pPr>
    </w:p>
    <w:bookmarkStart w:id="139" w:name="page140"/>
    <w:bookmarkEnd w:id="139"/>
    <w:p>
      <w:pPr>
        <w:spacing w:after="0" w:line="262" w:lineRule="auto"/>
        <w:rPr>
          <w:sz w:val="20"/>
          <w:szCs w:val="20"/>
          <w:color w:val="auto"/>
        </w:rPr>
      </w:pPr>
      <w:r>
        <w:rPr>
          <w:rFonts w:ascii="Arial" w:cs="Arial" w:eastAsia="Arial" w:hAnsi="Arial"/>
          <w:sz w:val="20"/>
          <w:szCs w:val="20"/>
          <w:color w:val="auto"/>
        </w:rPr>
        <w:t>therefrom shall in any event be effective unless the same shall be permitted by paragraph (b) of this Section, and then such waiver or consent shall be effective only in the specific instance and for the purpose for which given.</w:t>
      </w:r>
    </w:p>
    <w:p>
      <w:pPr>
        <w:spacing w:after="0" w:line="174" w:lineRule="exact"/>
        <w:rPr>
          <w:sz w:val="20"/>
          <w:szCs w:val="20"/>
          <w:color w:val="auto"/>
        </w:rPr>
      </w:pPr>
    </w:p>
    <w:p>
      <w:pPr>
        <w:jc w:val="both"/>
        <w:ind w:firstLine="648"/>
        <w:spacing w:after="0" w:line="242" w:lineRule="auto"/>
        <w:tabs>
          <w:tab w:leader="none" w:pos="133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No amendment, modification or waiver of any provision of this Agreement or any of the Standby Letters of Credit issued hereunder and no consent by the Issuer to any departure therefrom shall be effective unless such amendment, modification or waiver shall be in writing and signed by two duly authorized officers of the Issuer and a duly authorized officer of the Borrower, and the same shall then be effective only for the period and on the conditions and for the specified instances specified in writing.</w:t>
      </w:r>
    </w:p>
    <w:p>
      <w:pPr>
        <w:spacing w:after="0" w:line="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SECTION 16</w:t>
      </w:r>
      <w:r>
        <w:rPr>
          <w:rFonts w:ascii="Arial" w:cs="Arial" w:eastAsia="Arial" w:hAnsi="Arial"/>
          <w:sz w:val="18"/>
          <w:szCs w:val="18"/>
          <w:u w:val="single" w:color="auto"/>
          <w:color w:val="auto"/>
        </w:rPr>
        <w:t>Entire Agreement; Counterparts; Severability</w:t>
      </w:r>
      <w:r>
        <w:rPr>
          <w:rFonts w:ascii="Arial" w:cs="Arial" w:eastAsia="Arial" w:hAnsi="Arial"/>
          <w:sz w:val="18"/>
          <w:szCs w:val="18"/>
          <w:color w:val="auto"/>
        </w:rPr>
        <w:t>.</w:t>
      </w:r>
    </w:p>
    <w:p>
      <w:pPr>
        <w:spacing w:after="0" w:line="200" w:lineRule="exact"/>
        <w:rPr>
          <w:sz w:val="20"/>
          <w:szCs w:val="20"/>
          <w:color w:val="auto"/>
        </w:rPr>
      </w:pPr>
    </w:p>
    <w:p>
      <w:pPr>
        <w:jc w:val="both"/>
        <w:ind w:firstLine="648"/>
        <w:spacing w:after="0" w:line="250" w:lineRule="auto"/>
        <w:tabs>
          <w:tab w:leader="none" w:pos="132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This Agreement and the Standby Letters of Credit issued hereunder constitute the entire agreement and understanding of the parties with respect to the subject matter hereof and thereof and supersedes all oral communication and prior writings with respect thereto.</w:t>
      </w:r>
    </w:p>
    <w:p>
      <w:pPr>
        <w:spacing w:after="0" w:line="186" w:lineRule="exact"/>
        <w:rPr>
          <w:rFonts w:ascii="Arial" w:cs="Arial" w:eastAsia="Arial" w:hAnsi="Arial"/>
          <w:sz w:val="20"/>
          <w:szCs w:val="20"/>
          <w:color w:val="auto"/>
        </w:rPr>
      </w:pPr>
    </w:p>
    <w:p>
      <w:pPr>
        <w:jc w:val="both"/>
        <w:ind w:firstLine="648"/>
        <w:spacing w:after="0" w:line="246" w:lineRule="auto"/>
        <w:tabs>
          <w:tab w:leader="none" w:pos="137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This Agreement may be executed and delivered in counterparts, each of which, when so executed and delivered, will be deemed an original and all of which, taken together, shall constitute one instrument. Delivery of an executed signature page of this Agreement by electronic means that reproduce an image of the actual executed signature page shall be effective as delivery of a manually executed counterpart hereof.</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jc w:val="both"/>
        <w:ind w:firstLine="648"/>
        <w:spacing w:after="0" w:line="243" w:lineRule="auto"/>
        <w:tabs>
          <w:tab w:leader="none" w:pos="133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 w:lineRule="exact"/>
        <w:rPr>
          <w:rFonts w:ascii="Arial" w:cs="Arial" w:eastAsia="Arial" w:hAnsi="Arial"/>
          <w:sz w:val="20"/>
          <w:szCs w:val="20"/>
          <w:color w:val="auto"/>
        </w:rPr>
      </w:pPr>
    </w:p>
    <w:p>
      <w:pPr>
        <w:jc w:val="both"/>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and the Standby Letters of Credit issued hereunder shall be binding and inure to the benefit of the parties hereto and their respective successors and assigns, provided that, the Borrower may not assign any of its rights or delegate any of its obligations under this Agreement without the prior written consent of the Issuer.</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Governing Law</w:t>
      </w:r>
      <w:r>
        <w:rPr>
          <w:rFonts w:ascii="Arial" w:cs="Arial" w:eastAsia="Arial" w:hAnsi="Arial"/>
          <w:sz w:val="19"/>
          <w:szCs w:val="19"/>
          <w:color w:val="auto"/>
        </w:rPr>
        <w:t>. Except as otherwise provided herein or in any Application issued pursuant hereto, the UCP and ISP, as in force on the date of issuance of each Standby Letter of Credit hereunder, shall in all respects be deemed a part hereof and incorporated by reference herein, and this Agreement, each other Facility Document and (unless the Issuer otherwise agrees in writing) each Standby Letter of Credit shall be governed by and construed in accordance with the laws of the State of New York and the UCP AND ISP (“</w:t>
      </w:r>
      <w:r>
        <w:rPr>
          <w:rFonts w:ascii="Arial" w:cs="Arial" w:eastAsia="Arial" w:hAnsi="Arial"/>
          <w:sz w:val="19"/>
          <w:szCs w:val="19"/>
          <w:b w:val="1"/>
          <w:bCs w:val="1"/>
          <w:color w:val="auto"/>
        </w:rPr>
        <w:t>Governing Laws</w:t>
      </w:r>
      <w:r>
        <w:rPr>
          <w:rFonts w:ascii="Arial" w:cs="Arial" w:eastAsia="Arial" w:hAnsi="Arial"/>
          <w:sz w:val="19"/>
          <w:szCs w:val="19"/>
          <w:color w:val="auto"/>
        </w:rPr>
        <w:t>”). The Borrower hereby acknowledges that (i) if a Standby Letter of Credit indicates that the same is governed by any laws, regulations or rules other than the Governing Laws (“</w:t>
      </w:r>
      <w:r>
        <w:rPr>
          <w:rFonts w:ascii="Arial" w:cs="Arial" w:eastAsia="Arial" w:hAnsi="Arial"/>
          <w:sz w:val="19"/>
          <w:szCs w:val="19"/>
          <w:b w:val="1"/>
          <w:bCs w:val="1"/>
          <w:color w:val="auto"/>
        </w:rPr>
        <w:t>Specified Laws</w:t>
      </w:r>
      <w:r>
        <w:rPr>
          <w:rFonts w:ascii="Arial" w:cs="Arial" w:eastAsia="Arial" w:hAnsi="Arial"/>
          <w:sz w:val="19"/>
          <w:szCs w:val="19"/>
          <w:color w:val="auto"/>
        </w:rPr>
        <w:t>”) and (ii) the Issuer makes payment under the thereunder, in compliance with the Specified Laws, Borrower shall pay to the Issuer any and all the amounts indicated in Section 4, notwithstanding any contrary provisions of the Specified Laws or any other applicable laws or regulations. No provision of the Governing Laws or the Specified Laws, now existing or as they may be changed from time to time, shall be used or relied upon or in any way raised as a defense by Borrower to any payment Borrower is obligated to make hereunder.</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Issuer may otherwise have to bring any action or proceeding relating to this Agreement against the Borrower or its properties in the courts of any jurisdiction.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SECTION 20. </w:t>
      </w:r>
      <w:r>
        <w:rPr>
          <w:rFonts w:ascii="Arial" w:cs="Arial" w:eastAsia="Arial" w:hAnsi="Arial"/>
          <w:sz w:val="20"/>
          <w:szCs w:val="20"/>
          <w:u w:val="single" w:color="auto"/>
          <w:color w:val="auto"/>
        </w:rPr>
        <w:t>WAIVER OF JURY TRIAL</w:t>
      </w:r>
      <w:r>
        <w:rPr>
          <w:rFonts w:ascii="Arial" w:cs="Arial" w:eastAsia="Arial" w:hAnsi="Arial"/>
          <w:sz w:val="20"/>
          <w:szCs w:val="20"/>
          <w:b w:val="1"/>
          <w:bCs w:val="1"/>
          <w:color w:val="auto"/>
        </w:rPr>
        <w:t>.</w:t>
      </w:r>
      <w:r>
        <w:rPr>
          <w:rFonts w:ascii="Arial" w:cs="Arial" w:eastAsia="Arial" w:hAnsi="Arial"/>
          <w:sz w:val="20"/>
          <w:szCs w:val="20"/>
          <w:color w:val="auto"/>
        </w:rPr>
        <w:t xml:space="preserve"> EACH PARTY HERETO HEREBY WAIVES, TO THE FULLEST EXTENT PERMITTED BY APPLICABLE LAW, ANY RIGHT IT MAY HAVE TO A TRIAL BY JURY IN ANY LEGAL PROCEEDING DIRECTLY OR INDIRECTLY ARISING OUT OF OR RELATING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0" w:name="page141"/>
    <w:bookmarkEnd w:id="140"/>
    <w:p>
      <w:pPr>
        <w:jc w:val="both"/>
        <w:spacing w:after="0" w:line="259" w:lineRule="auto"/>
        <w:rPr>
          <w:sz w:val="20"/>
          <w:szCs w:val="20"/>
          <w:color w:val="auto"/>
        </w:rPr>
      </w:pPr>
      <w:r>
        <w:rPr>
          <w:rFonts w:ascii="Arial" w:cs="Arial" w:eastAsia="Arial" w:hAnsi="Arial"/>
          <w:sz w:val="19"/>
          <w:szCs w:val="19"/>
          <w:color w:val="auto"/>
        </w:rPr>
        <w:t>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4"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EU Bail-In</w:t>
      </w:r>
      <w:r>
        <w:rPr>
          <w:rFonts w:ascii="Arial" w:cs="Arial" w:eastAsia="Arial" w:hAnsi="Arial"/>
          <w:sz w:val="18"/>
          <w:szCs w:val="18"/>
          <w:color w:val="auto"/>
        </w:rPr>
        <w:t>. Notwithstanding anything to the contrary in any Facility Document or in any other agreement, arrangement or understanding among any such parties, each party hereto acknowledges that any liability of any EEA Financial Institution arising under any Facility Document, to the extent such liability is unsecured, may be subject to the write-down and conversion powers of an EEA Resolution Authority and agrees and consents to, and acknowledges and agrees to be bound by: (a) the application of any Write-Down and Conversion Powers by an EEA Resolution Authority to any such liabilities arising hereunder which may be payable to it by any party hereto that is an EEA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any EEA Resolution Authority. For purposes of this Section 21, “</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any liability of an EEA Financial Institution; “</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 “</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 “</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 and “</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USA PATRIOT Act</w:t>
      </w:r>
      <w:r>
        <w:rPr>
          <w:rFonts w:ascii="Arial" w:cs="Arial" w:eastAsia="Arial" w:hAnsi="Arial"/>
          <w:sz w:val="19"/>
          <w:szCs w:val="19"/>
          <w:color w:val="auto"/>
        </w:rPr>
        <w:t>. The Issuer hereby notifies the Borrower that pursuant to the requirements of the USA PATRIOT Act (Title III of Pub. L. 107-56 (signed into law October 26, 2001) (the “</w:t>
      </w:r>
      <w:r>
        <w:rPr>
          <w:rFonts w:ascii="Arial" w:cs="Arial" w:eastAsia="Arial" w:hAnsi="Arial"/>
          <w:sz w:val="19"/>
          <w:szCs w:val="19"/>
          <w:b w:val="1"/>
          <w:bCs w:val="1"/>
          <w:color w:val="auto"/>
        </w:rPr>
        <w:t>Act</w:t>
      </w:r>
      <w:r>
        <w:rPr>
          <w:rFonts w:ascii="Arial" w:cs="Arial" w:eastAsia="Arial" w:hAnsi="Arial"/>
          <w:sz w:val="19"/>
          <w:szCs w:val="19"/>
          <w:color w:val="auto"/>
        </w:rPr>
        <w:t>”), it is required to obtain, verify and record information that identifies the Borrower, which information includes the name and address of the Borrower and other information that will allow the Issuer to identify the Borrower in accordance with the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41" w:name="page142"/>
    <w:bookmarkEnd w:id="141"/>
    <w:p>
      <w:pPr>
        <w:spacing w:after="0" w:line="251" w:lineRule="auto"/>
        <w:rPr>
          <w:sz w:val="20"/>
          <w:szCs w:val="20"/>
          <w:color w:val="auto"/>
        </w:rPr>
      </w:pPr>
      <w:r>
        <w:rPr>
          <w:rFonts w:ascii="Arial" w:cs="Arial" w:eastAsia="Arial" w:hAnsi="Arial"/>
          <w:sz w:val="22"/>
          <w:szCs w:val="22"/>
          <w:color w:val="auto"/>
        </w:rPr>
        <w:t>IN WITNESS WHEREOF, the parties hereto, by their officers thereunto duly authorized, have executed and delivered this Agreement as of the date first above written.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tcPr>
          <w:p>
            <w:pPr>
              <w:spacing w:after="0"/>
              <w:rPr>
                <w:sz w:val="20"/>
                <w:szCs w:val="20"/>
                <w:color w:val="auto"/>
              </w:rPr>
            </w:pPr>
            <w:r>
              <w:rPr>
                <w:rFonts w:ascii="Arial" w:cs="Arial" w:eastAsia="Arial" w:hAnsi="Arial"/>
                <w:sz w:val="22"/>
                <w:szCs w:val="22"/>
                <w:color w:val="auto"/>
                <w:w w:val="95"/>
              </w:rPr>
              <w:t>ISSUER:</w:t>
            </w:r>
          </w:p>
        </w:tc>
        <w:tc>
          <w:tcPr>
            <w:tcW w:w="2920" w:type="dxa"/>
            <w:vAlign w:val="bottom"/>
          </w:tcPr>
          <w:p>
            <w:pPr>
              <w:spacing w:after="0"/>
              <w:rPr>
                <w:sz w:val="23"/>
                <w:szCs w:val="23"/>
                <w:color w:val="auto"/>
              </w:rPr>
            </w:pPr>
          </w:p>
        </w:tc>
        <w:tc>
          <w:tcPr>
            <w:tcW w:w="6280" w:type="dxa"/>
            <w:vAlign w:val="bottom"/>
            <w:gridSpan w:val="3"/>
          </w:tcPr>
          <w:p>
            <w:pPr>
              <w:ind w:left="1280"/>
              <w:spacing w:after="0"/>
              <w:rPr>
                <w:sz w:val="20"/>
                <w:szCs w:val="20"/>
                <w:color w:val="auto"/>
              </w:rPr>
            </w:pPr>
            <w:r>
              <w:rPr>
                <w:rFonts w:ascii="Arial" w:cs="Arial" w:eastAsia="Arial" w:hAnsi="Arial"/>
                <w:sz w:val="22"/>
                <w:szCs w:val="22"/>
                <w:color w:val="auto"/>
              </w:rPr>
              <w:t>BORROWER:</w:t>
            </w:r>
          </w:p>
        </w:tc>
        <w:tc>
          <w:tcPr>
            <w:tcW w:w="0" w:type="dxa"/>
            <w:vAlign w:val="bottom"/>
          </w:tcPr>
          <w:p>
            <w:pPr>
              <w:spacing w:after="0"/>
              <w:rPr>
                <w:sz w:val="1"/>
                <w:szCs w:val="1"/>
                <w:color w:val="auto"/>
              </w:rPr>
            </w:pPr>
          </w:p>
        </w:tc>
      </w:tr>
      <w:tr>
        <w:trPr>
          <w:trHeight w:val="486"/>
        </w:trPr>
        <w:tc>
          <w:tcPr>
            <w:tcW w:w="3780" w:type="dxa"/>
            <w:vAlign w:val="bottom"/>
            <w:gridSpan w:val="2"/>
          </w:tcPr>
          <w:p>
            <w:pPr>
              <w:spacing w:after="0"/>
              <w:rPr>
                <w:sz w:val="20"/>
                <w:szCs w:val="20"/>
                <w:color w:val="auto"/>
              </w:rPr>
            </w:pPr>
            <w:r>
              <w:rPr>
                <w:rFonts w:ascii="Arial" w:cs="Arial" w:eastAsia="Arial" w:hAnsi="Arial"/>
                <w:sz w:val="22"/>
                <w:szCs w:val="22"/>
                <w:color w:val="auto"/>
              </w:rPr>
              <w:t>ING CAPITAL LLC</w:t>
            </w:r>
          </w:p>
        </w:tc>
        <w:tc>
          <w:tcPr>
            <w:tcW w:w="6280" w:type="dxa"/>
            <w:vAlign w:val="bottom"/>
            <w:gridSpan w:val="3"/>
          </w:tcPr>
          <w:p>
            <w:pPr>
              <w:ind w:left="1280"/>
              <w:spacing w:after="0"/>
              <w:rPr>
                <w:sz w:val="20"/>
                <w:szCs w:val="20"/>
                <w:color w:val="auto"/>
              </w:rPr>
            </w:pPr>
            <w:r>
              <w:rPr>
                <w:rFonts w:ascii="Arial" w:cs="Arial" w:eastAsia="Arial" w:hAnsi="Arial"/>
                <w:sz w:val="22"/>
                <w:szCs w:val="22"/>
                <w:color w:val="auto"/>
              </w:rPr>
              <w:t>CAPITAL SOUTHWEST CORPORATION</w:t>
            </w:r>
          </w:p>
        </w:tc>
        <w:tc>
          <w:tcPr>
            <w:tcW w:w="0" w:type="dxa"/>
            <w:vAlign w:val="bottom"/>
          </w:tcPr>
          <w:p>
            <w:pPr>
              <w:spacing w:after="0"/>
              <w:rPr>
                <w:sz w:val="1"/>
                <w:szCs w:val="1"/>
                <w:color w:val="auto"/>
              </w:rPr>
            </w:pPr>
          </w:p>
        </w:tc>
      </w:tr>
      <w:tr>
        <w:trPr>
          <w:trHeight w:val="4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920" w:type="dxa"/>
            <w:vAlign w:val="bottom"/>
          </w:tcPr>
          <w:p>
            <w:pPr>
              <w:spacing w:after="0"/>
              <w:rPr>
                <w:sz w:val="20"/>
                <w:szCs w:val="20"/>
                <w:color w:val="auto"/>
              </w:rPr>
            </w:pPr>
            <w:r>
              <w:rPr>
                <w:rFonts w:ascii="Arial" w:cs="Arial" w:eastAsia="Arial" w:hAnsi="Arial"/>
                <w:sz w:val="22"/>
                <w:szCs w:val="22"/>
                <w:color w:val="auto"/>
              </w:rPr>
              <w:t>/s/ Patrick Frisch</w:t>
            </w:r>
          </w:p>
        </w:tc>
        <w:tc>
          <w:tcPr>
            <w:tcW w:w="1900" w:type="dxa"/>
            <w:vAlign w:val="bottom"/>
            <w:gridSpan w:val="2"/>
          </w:tcPr>
          <w:p>
            <w:pPr>
              <w:ind w:left="1280"/>
              <w:spacing w:after="0"/>
              <w:rPr>
                <w:sz w:val="20"/>
                <w:szCs w:val="20"/>
                <w:color w:val="auto"/>
              </w:rPr>
            </w:pPr>
            <w:r>
              <w:rPr>
                <w:rFonts w:ascii="Arial" w:cs="Arial" w:eastAsia="Arial" w:hAnsi="Arial"/>
                <w:sz w:val="22"/>
                <w:szCs w:val="22"/>
                <w:color w:val="auto"/>
              </w:rPr>
              <w:t>By:</w:t>
            </w:r>
          </w:p>
        </w:tc>
        <w:tc>
          <w:tcPr>
            <w:tcW w:w="4380" w:type="dxa"/>
            <w:vAlign w:val="bottom"/>
          </w:tcPr>
          <w:p>
            <w:pPr>
              <w:spacing w:after="0"/>
              <w:rPr>
                <w:sz w:val="20"/>
                <w:szCs w:val="20"/>
                <w:color w:val="auto"/>
              </w:rPr>
            </w:pPr>
            <w:r>
              <w:rPr>
                <w:rFonts w:ascii="Arial" w:cs="Arial" w:eastAsia="Arial" w:hAnsi="Arial"/>
                <w:sz w:val="22"/>
                <w:szCs w:val="22"/>
                <w:color w:val="auto"/>
              </w:rPr>
              <w:t>/s/ Michael Sarner</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vMerge w:val="restart"/>
          </w:tcPr>
          <w:p>
            <w:pPr>
              <w:spacing w:after="0"/>
              <w:rPr>
                <w:sz w:val="20"/>
                <w:szCs w:val="20"/>
                <w:color w:val="auto"/>
              </w:rPr>
            </w:pPr>
            <w:r>
              <w:rPr>
                <w:rFonts w:ascii="Arial" w:cs="Arial" w:eastAsia="Arial" w:hAnsi="Arial"/>
                <w:sz w:val="22"/>
                <w:szCs w:val="22"/>
                <w:color w:val="auto"/>
                <w:w w:val="92"/>
              </w:rPr>
              <w:t>Name:</w:t>
            </w: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22"/>
                <w:szCs w:val="22"/>
                <w:color w:val="auto"/>
              </w:rPr>
              <w:t>Patrick Frisch</w:t>
            </w:r>
          </w:p>
        </w:tc>
        <w:tc>
          <w:tcPr>
            <w:tcW w:w="1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4380" w:type="dxa"/>
            <w:vAlign w:val="bottom"/>
          </w:tcPr>
          <w:p>
            <w:pPr>
              <w:spacing w:after="0" w:line="216" w:lineRule="exact"/>
              <w:rPr>
                <w:sz w:val="20"/>
                <w:szCs w:val="20"/>
                <w:color w:val="auto"/>
              </w:rPr>
            </w:pPr>
            <w:r>
              <w:rPr>
                <w:rFonts w:ascii="Arial" w:cs="Arial" w:eastAsia="Arial" w:hAnsi="Arial"/>
                <w:sz w:val="22"/>
                <w:szCs w:val="22"/>
                <w:color w:val="auto"/>
              </w:rPr>
              <w:t>Michael Sarner</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2920" w:type="dxa"/>
            <w:vAlign w:val="bottom"/>
          </w:tcPr>
          <w:p>
            <w:pPr>
              <w:spacing w:after="0"/>
              <w:rPr>
                <w:sz w:val="20"/>
                <w:szCs w:val="20"/>
                <w:color w:val="auto"/>
              </w:rPr>
            </w:pPr>
            <w:r>
              <w:rPr>
                <w:rFonts w:ascii="Arial" w:cs="Arial" w:eastAsia="Arial" w:hAnsi="Arial"/>
                <w:sz w:val="22"/>
                <w:szCs w:val="22"/>
                <w:color w:val="auto"/>
              </w:rPr>
              <w:t>Managing Director</w:t>
            </w:r>
          </w:p>
        </w:tc>
        <w:tc>
          <w:tcPr>
            <w:tcW w:w="1900" w:type="dxa"/>
            <w:vAlign w:val="bottom"/>
            <w:gridSpan w:val="2"/>
          </w:tcPr>
          <w:p>
            <w:pPr>
              <w:ind w:left="1280"/>
              <w:spacing w:after="0"/>
              <w:rPr>
                <w:sz w:val="20"/>
                <w:szCs w:val="20"/>
                <w:color w:val="auto"/>
              </w:rPr>
            </w:pPr>
            <w:r>
              <w:rPr>
                <w:rFonts w:ascii="Arial" w:cs="Arial" w:eastAsia="Arial" w:hAnsi="Arial"/>
                <w:sz w:val="22"/>
                <w:szCs w:val="22"/>
                <w:color w:val="auto"/>
              </w:rPr>
              <w:t>Title:</w:t>
            </w:r>
          </w:p>
        </w:tc>
        <w:tc>
          <w:tcPr>
            <w:tcW w:w="438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0" w:type="dxa"/>
            <w:vAlign w:val="bottom"/>
          </w:tcPr>
          <w:p>
            <w:pPr>
              <w:spacing w:after="0"/>
              <w:rPr>
                <w:sz w:val="1"/>
                <w:szCs w:val="1"/>
                <w:color w:val="auto"/>
              </w:rPr>
            </w:pPr>
          </w:p>
        </w:tc>
      </w:tr>
      <w:tr>
        <w:trPr>
          <w:trHeight w:val="698"/>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2920" w:type="dxa"/>
            <w:vAlign w:val="bottom"/>
          </w:tcPr>
          <w:p>
            <w:pPr>
              <w:spacing w:after="0"/>
              <w:rPr>
                <w:sz w:val="20"/>
                <w:szCs w:val="20"/>
                <w:color w:val="auto"/>
              </w:rPr>
            </w:pPr>
            <w:r>
              <w:rPr>
                <w:rFonts w:ascii="Arial" w:cs="Arial" w:eastAsia="Arial" w:hAnsi="Arial"/>
                <w:sz w:val="22"/>
                <w:szCs w:val="22"/>
                <w:color w:val="auto"/>
              </w:rPr>
              <w:t>/s/ Grace Fu</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2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22"/>
                <w:szCs w:val="22"/>
                <w:color w:val="auto"/>
              </w:rPr>
              <w:t>Grace Fu</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2920" w:type="dxa"/>
            <w:vAlign w:val="bottom"/>
          </w:tcPr>
          <w:p>
            <w:pPr>
              <w:spacing w:after="0"/>
              <w:rPr>
                <w:sz w:val="20"/>
                <w:szCs w:val="20"/>
                <w:color w:val="auto"/>
              </w:rPr>
            </w:pPr>
            <w:r>
              <w:rPr>
                <w:rFonts w:ascii="Arial" w:cs="Arial" w:eastAsia="Arial" w:hAnsi="Arial"/>
                <w:sz w:val="22"/>
                <w:szCs w:val="22"/>
                <w:color w:val="auto"/>
              </w:rPr>
              <w:t>Director</w:t>
            </w:r>
          </w:p>
        </w:tc>
        <w:tc>
          <w:tcPr>
            <w:tcW w:w="1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8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18" w:right="91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400" w:type="dxa"/>
            <w:vAlign w:val="bottom"/>
          </w:tcPr>
          <w:p>
            <w:pPr>
              <w:ind w:left="2120"/>
              <w:spacing w:after="0"/>
              <w:rPr>
                <w:sz w:val="20"/>
                <w:szCs w:val="20"/>
                <w:color w:val="auto"/>
              </w:rPr>
            </w:pPr>
            <w:r>
              <w:rPr>
                <w:rFonts w:ascii="Arial" w:cs="Arial" w:eastAsia="Arial" w:hAnsi="Arial"/>
                <w:sz w:val="20"/>
                <w:szCs w:val="20"/>
                <w:color w:val="auto"/>
              </w:rPr>
              <w:t>Schedule I</w:t>
            </w:r>
          </w:p>
        </w:tc>
        <w:tc>
          <w:tcPr>
            <w:tcW w:w="2160" w:type="dxa"/>
            <w:vAlign w:val="bottom"/>
          </w:tcPr>
          <w:p>
            <w:pPr>
              <w:spacing w:after="0"/>
              <w:rPr>
                <w:sz w:val="21"/>
                <w:szCs w:val="21"/>
                <w:color w:val="auto"/>
              </w:rPr>
            </w:pPr>
          </w:p>
        </w:tc>
      </w:tr>
      <w:tr>
        <w:trPr>
          <w:trHeight w:val="459"/>
        </w:trPr>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400" w:type="dxa"/>
            <w:vAlign w:val="bottom"/>
          </w:tcPr>
          <w:p>
            <w:pPr>
              <w:ind w:left="1740"/>
              <w:spacing w:after="0"/>
              <w:rPr>
                <w:sz w:val="20"/>
                <w:szCs w:val="20"/>
                <w:color w:val="auto"/>
              </w:rPr>
            </w:pPr>
            <w:r>
              <w:rPr>
                <w:rFonts w:ascii="Arial" w:cs="Arial" w:eastAsia="Arial" w:hAnsi="Arial"/>
                <w:sz w:val="20"/>
                <w:szCs w:val="20"/>
                <w:color w:val="auto"/>
              </w:rPr>
              <w:t>Issuer Account Info</w:t>
            </w:r>
          </w:p>
        </w:tc>
        <w:tc>
          <w:tcPr>
            <w:tcW w:w="2160" w:type="dxa"/>
            <w:vAlign w:val="bottom"/>
          </w:tcPr>
          <w:p>
            <w:pPr>
              <w:spacing w:after="0"/>
              <w:rPr>
                <w:sz w:val="24"/>
                <w:szCs w:val="24"/>
                <w:color w:val="auto"/>
              </w:rPr>
            </w:pPr>
          </w:p>
        </w:tc>
      </w:tr>
      <w:tr>
        <w:trPr>
          <w:trHeight w:val="226"/>
        </w:trPr>
        <w:tc>
          <w:tcPr>
            <w:tcW w:w="120" w:type="dxa"/>
            <w:vAlign w:val="bottom"/>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2160" w:type="dxa"/>
            <w:vAlign w:val="bottom"/>
          </w:tcPr>
          <w:p>
            <w:pPr>
              <w:spacing w:after="0"/>
              <w:rPr>
                <w:sz w:val="19"/>
                <w:szCs w:val="19"/>
                <w:color w:val="auto"/>
              </w:rPr>
            </w:pPr>
          </w:p>
        </w:tc>
      </w:tr>
      <w:tr>
        <w:trPr>
          <w:trHeight w:val="225"/>
        </w:trPr>
        <w:tc>
          <w:tcPr>
            <w:tcW w:w="120" w:type="dxa"/>
            <w:vAlign w:val="bottom"/>
            <w:tcBorders>
              <w:right w:val="single" w:sz="8" w:color="808080"/>
            </w:tcBorders>
          </w:tcPr>
          <w:p>
            <w:pPr>
              <w:spacing w:after="0"/>
              <w:rPr>
                <w:sz w:val="19"/>
                <w:szCs w:val="19"/>
                <w:color w:val="auto"/>
              </w:rPr>
            </w:pPr>
          </w:p>
        </w:tc>
        <w:tc>
          <w:tcPr>
            <w:tcW w:w="2380" w:type="dxa"/>
            <w:vAlign w:val="bottom"/>
            <w:tcBorders>
              <w:right w:val="single" w:sz="8" w:color="808080"/>
            </w:tcBorders>
          </w:tcPr>
          <w:p>
            <w:pPr>
              <w:ind w:left="100"/>
              <w:spacing w:after="0"/>
              <w:rPr>
                <w:sz w:val="20"/>
                <w:szCs w:val="20"/>
                <w:color w:val="auto"/>
              </w:rPr>
            </w:pPr>
            <w:r>
              <w:rPr>
                <w:rFonts w:ascii="Arial" w:cs="Arial" w:eastAsia="Arial" w:hAnsi="Arial"/>
                <w:sz w:val="14"/>
                <w:szCs w:val="14"/>
                <w:b w:val="1"/>
                <w:bCs w:val="1"/>
                <w:color w:val="auto"/>
              </w:rPr>
              <w:t>Bank Name:</w:t>
            </w:r>
          </w:p>
        </w:tc>
        <w:tc>
          <w:tcPr>
            <w:tcW w:w="5400" w:type="dxa"/>
            <w:vAlign w:val="bottom"/>
            <w:tcBorders>
              <w:right w:val="single" w:sz="8" w:color="808080"/>
            </w:tcBorders>
          </w:tcPr>
          <w:p>
            <w:pPr>
              <w:ind w:left="120"/>
              <w:spacing w:after="0"/>
              <w:rPr>
                <w:sz w:val="20"/>
                <w:szCs w:val="20"/>
                <w:color w:val="auto"/>
              </w:rPr>
            </w:pPr>
            <w:r>
              <w:rPr>
                <w:rFonts w:ascii="Arial" w:cs="Arial" w:eastAsia="Arial" w:hAnsi="Arial"/>
                <w:sz w:val="14"/>
                <w:szCs w:val="14"/>
                <w:b w:val="1"/>
                <w:bCs w:val="1"/>
                <w:color w:val="auto"/>
              </w:rPr>
              <w:t>JP Morgan Chase Bank, N.A., New York, NY</w:t>
            </w:r>
          </w:p>
        </w:tc>
        <w:tc>
          <w:tcPr>
            <w:tcW w:w="2160" w:type="dxa"/>
            <w:vAlign w:val="bottom"/>
          </w:tcPr>
          <w:p>
            <w:pPr>
              <w:spacing w:after="0"/>
              <w:rPr>
                <w:sz w:val="19"/>
                <w:szCs w:val="19"/>
                <w:color w:val="auto"/>
              </w:rPr>
            </w:pPr>
          </w:p>
        </w:tc>
      </w:tr>
      <w:tr>
        <w:trPr>
          <w:trHeight w:val="39"/>
        </w:trPr>
        <w:tc>
          <w:tcPr>
            <w:tcW w:w="120" w:type="dxa"/>
            <w:vAlign w:val="bottom"/>
            <w:tcBorders>
              <w:right w:val="single" w:sz="8" w:color="808080"/>
            </w:tcBorders>
          </w:tcPr>
          <w:p>
            <w:pPr>
              <w:spacing w:after="0"/>
              <w:rPr>
                <w:sz w:val="3"/>
                <w:szCs w:val="3"/>
                <w:color w:val="auto"/>
              </w:rPr>
            </w:pPr>
          </w:p>
        </w:tc>
        <w:tc>
          <w:tcPr>
            <w:tcW w:w="2380" w:type="dxa"/>
            <w:vAlign w:val="bottom"/>
            <w:tcBorders>
              <w:bottom w:val="single" w:sz="8" w:color="808080"/>
              <w:right w:val="single" w:sz="8" w:color="808080"/>
            </w:tcBorders>
          </w:tcPr>
          <w:p>
            <w:pPr>
              <w:spacing w:after="0"/>
              <w:rPr>
                <w:sz w:val="3"/>
                <w:szCs w:val="3"/>
                <w:color w:val="auto"/>
              </w:rPr>
            </w:pPr>
          </w:p>
        </w:tc>
        <w:tc>
          <w:tcPr>
            <w:tcW w:w="5400" w:type="dxa"/>
            <w:vAlign w:val="bottom"/>
            <w:tcBorders>
              <w:bottom w:val="single" w:sz="8" w:color="808080"/>
              <w:right w:val="single" w:sz="8" w:color="808080"/>
            </w:tcBorders>
          </w:tcPr>
          <w:p>
            <w:pPr>
              <w:spacing w:after="0"/>
              <w:rPr>
                <w:sz w:val="3"/>
                <w:szCs w:val="3"/>
                <w:color w:val="auto"/>
              </w:rPr>
            </w:pPr>
          </w:p>
        </w:tc>
        <w:tc>
          <w:tcPr>
            <w:tcW w:w="2160" w:type="dxa"/>
            <w:vAlign w:val="bottom"/>
          </w:tcPr>
          <w:p>
            <w:pPr>
              <w:spacing w:after="0"/>
              <w:rPr>
                <w:sz w:val="3"/>
                <w:szCs w:val="3"/>
                <w:color w:val="auto"/>
              </w:rPr>
            </w:pPr>
          </w:p>
        </w:tc>
      </w:tr>
      <w:tr>
        <w:trPr>
          <w:trHeight w:val="225"/>
        </w:trPr>
        <w:tc>
          <w:tcPr>
            <w:tcW w:w="120" w:type="dxa"/>
            <w:vAlign w:val="bottom"/>
            <w:tcBorders>
              <w:right w:val="single" w:sz="8" w:color="808080"/>
            </w:tcBorders>
          </w:tcPr>
          <w:p>
            <w:pPr>
              <w:spacing w:after="0"/>
              <w:rPr>
                <w:sz w:val="19"/>
                <w:szCs w:val="19"/>
                <w:color w:val="auto"/>
              </w:rPr>
            </w:pPr>
          </w:p>
        </w:tc>
        <w:tc>
          <w:tcPr>
            <w:tcW w:w="2380" w:type="dxa"/>
            <w:vAlign w:val="bottom"/>
            <w:tcBorders>
              <w:right w:val="single" w:sz="8" w:color="808080"/>
            </w:tcBorders>
          </w:tcPr>
          <w:p>
            <w:pPr>
              <w:ind w:left="100"/>
              <w:spacing w:after="0"/>
              <w:rPr>
                <w:sz w:val="20"/>
                <w:szCs w:val="20"/>
                <w:color w:val="auto"/>
              </w:rPr>
            </w:pPr>
            <w:r>
              <w:rPr>
                <w:rFonts w:ascii="Arial" w:cs="Arial" w:eastAsia="Arial" w:hAnsi="Arial"/>
                <w:sz w:val="14"/>
                <w:szCs w:val="14"/>
                <w:b w:val="1"/>
                <w:bCs w:val="1"/>
                <w:color w:val="auto"/>
              </w:rPr>
              <w:t>ABA/Routing No.:</w:t>
            </w:r>
          </w:p>
        </w:tc>
        <w:tc>
          <w:tcPr>
            <w:tcW w:w="5400" w:type="dxa"/>
            <w:vAlign w:val="bottom"/>
            <w:tcBorders>
              <w:right w:val="single" w:sz="8" w:color="808080"/>
            </w:tcBorders>
          </w:tcPr>
          <w:p>
            <w:pPr>
              <w:ind w:left="120"/>
              <w:spacing w:after="0"/>
              <w:rPr>
                <w:sz w:val="20"/>
                <w:szCs w:val="20"/>
                <w:color w:val="auto"/>
              </w:rPr>
            </w:pPr>
            <w:r>
              <w:rPr>
                <w:rFonts w:ascii="Arial" w:cs="Arial" w:eastAsia="Arial" w:hAnsi="Arial"/>
                <w:sz w:val="14"/>
                <w:szCs w:val="14"/>
                <w:b w:val="1"/>
                <w:bCs w:val="1"/>
                <w:color w:val="auto"/>
              </w:rPr>
              <w:t>0210 0002 1</w:t>
            </w:r>
          </w:p>
        </w:tc>
        <w:tc>
          <w:tcPr>
            <w:tcW w:w="2160" w:type="dxa"/>
            <w:vAlign w:val="bottom"/>
          </w:tcPr>
          <w:p>
            <w:pPr>
              <w:spacing w:after="0"/>
              <w:rPr>
                <w:sz w:val="19"/>
                <w:szCs w:val="19"/>
                <w:color w:val="auto"/>
              </w:rPr>
            </w:pPr>
          </w:p>
        </w:tc>
      </w:tr>
      <w:tr>
        <w:trPr>
          <w:trHeight w:val="39"/>
        </w:trPr>
        <w:tc>
          <w:tcPr>
            <w:tcW w:w="120" w:type="dxa"/>
            <w:vAlign w:val="bottom"/>
            <w:tcBorders>
              <w:right w:val="single" w:sz="8" w:color="808080"/>
            </w:tcBorders>
          </w:tcPr>
          <w:p>
            <w:pPr>
              <w:spacing w:after="0"/>
              <w:rPr>
                <w:sz w:val="3"/>
                <w:szCs w:val="3"/>
                <w:color w:val="auto"/>
              </w:rPr>
            </w:pPr>
          </w:p>
        </w:tc>
        <w:tc>
          <w:tcPr>
            <w:tcW w:w="2380" w:type="dxa"/>
            <w:vAlign w:val="bottom"/>
            <w:tcBorders>
              <w:bottom w:val="single" w:sz="8" w:color="808080"/>
              <w:right w:val="single" w:sz="8" w:color="808080"/>
            </w:tcBorders>
          </w:tcPr>
          <w:p>
            <w:pPr>
              <w:spacing w:after="0"/>
              <w:rPr>
                <w:sz w:val="3"/>
                <w:szCs w:val="3"/>
                <w:color w:val="auto"/>
              </w:rPr>
            </w:pPr>
          </w:p>
        </w:tc>
        <w:tc>
          <w:tcPr>
            <w:tcW w:w="5400" w:type="dxa"/>
            <w:vAlign w:val="bottom"/>
            <w:tcBorders>
              <w:bottom w:val="single" w:sz="8" w:color="808080"/>
              <w:right w:val="single" w:sz="8" w:color="808080"/>
            </w:tcBorders>
          </w:tcPr>
          <w:p>
            <w:pPr>
              <w:spacing w:after="0"/>
              <w:rPr>
                <w:sz w:val="3"/>
                <w:szCs w:val="3"/>
                <w:color w:val="auto"/>
              </w:rPr>
            </w:pPr>
          </w:p>
        </w:tc>
        <w:tc>
          <w:tcPr>
            <w:tcW w:w="2160" w:type="dxa"/>
            <w:vAlign w:val="bottom"/>
          </w:tcPr>
          <w:p>
            <w:pPr>
              <w:spacing w:after="0"/>
              <w:rPr>
                <w:sz w:val="3"/>
                <w:szCs w:val="3"/>
                <w:color w:val="auto"/>
              </w:rPr>
            </w:pPr>
          </w:p>
        </w:tc>
      </w:tr>
      <w:tr>
        <w:trPr>
          <w:trHeight w:val="225"/>
        </w:trPr>
        <w:tc>
          <w:tcPr>
            <w:tcW w:w="120" w:type="dxa"/>
            <w:vAlign w:val="bottom"/>
            <w:tcBorders>
              <w:right w:val="single" w:sz="8" w:color="808080"/>
            </w:tcBorders>
          </w:tcPr>
          <w:p>
            <w:pPr>
              <w:spacing w:after="0"/>
              <w:rPr>
                <w:sz w:val="19"/>
                <w:szCs w:val="19"/>
                <w:color w:val="auto"/>
              </w:rPr>
            </w:pPr>
          </w:p>
        </w:tc>
        <w:tc>
          <w:tcPr>
            <w:tcW w:w="2380" w:type="dxa"/>
            <w:vAlign w:val="bottom"/>
            <w:tcBorders>
              <w:right w:val="single" w:sz="8" w:color="808080"/>
            </w:tcBorders>
          </w:tcPr>
          <w:p>
            <w:pPr>
              <w:ind w:left="100"/>
              <w:spacing w:after="0"/>
              <w:rPr>
                <w:sz w:val="20"/>
                <w:szCs w:val="20"/>
                <w:color w:val="auto"/>
              </w:rPr>
            </w:pPr>
            <w:r>
              <w:rPr>
                <w:rFonts w:ascii="Arial" w:cs="Arial" w:eastAsia="Arial" w:hAnsi="Arial"/>
                <w:sz w:val="14"/>
                <w:szCs w:val="14"/>
                <w:b w:val="1"/>
                <w:bCs w:val="1"/>
                <w:color w:val="auto"/>
              </w:rPr>
              <w:t>Account Name:</w:t>
            </w:r>
          </w:p>
        </w:tc>
        <w:tc>
          <w:tcPr>
            <w:tcW w:w="5400" w:type="dxa"/>
            <w:vAlign w:val="bottom"/>
            <w:tcBorders>
              <w:right w:val="single" w:sz="8" w:color="808080"/>
            </w:tcBorders>
          </w:tcPr>
          <w:p>
            <w:pPr>
              <w:ind w:left="120"/>
              <w:spacing w:after="0"/>
              <w:rPr>
                <w:sz w:val="20"/>
                <w:szCs w:val="20"/>
                <w:color w:val="auto"/>
              </w:rPr>
            </w:pPr>
            <w:r>
              <w:rPr>
                <w:rFonts w:ascii="Arial" w:cs="Arial" w:eastAsia="Arial" w:hAnsi="Arial"/>
                <w:sz w:val="14"/>
                <w:szCs w:val="14"/>
                <w:b w:val="1"/>
                <w:bCs w:val="1"/>
                <w:color w:val="auto"/>
              </w:rPr>
              <w:t>ING Capital LLC Loans Agency</w:t>
            </w:r>
          </w:p>
        </w:tc>
        <w:tc>
          <w:tcPr>
            <w:tcW w:w="2160" w:type="dxa"/>
            <w:vAlign w:val="bottom"/>
          </w:tcPr>
          <w:p>
            <w:pPr>
              <w:spacing w:after="0"/>
              <w:rPr>
                <w:sz w:val="19"/>
                <w:szCs w:val="19"/>
                <w:color w:val="auto"/>
              </w:rPr>
            </w:pPr>
          </w:p>
        </w:tc>
      </w:tr>
      <w:tr>
        <w:trPr>
          <w:trHeight w:val="39"/>
        </w:trPr>
        <w:tc>
          <w:tcPr>
            <w:tcW w:w="120" w:type="dxa"/>
            <w:vAlign w:val="bottom"/>
            <w:tcBorders>
              <w:right w:val="single" w:sz="8" w:color="808080"/>
            </w:tcBorders>
          </w:tcPr>
          <w:p>
            <w:pPr>
              <w:spacing w:after="0"/>
              <w:rPr>
                <w:sz w:val="3"/>
                <w:szCs w:val="3"/>
                <w:color w:val="auto"/>
              </w:rPr>
            </w:pPr>
          </w:p>
        </w:tc>
        <w:tc>
          <w:tcPr>
            <w:tcW w:w="2380" w:type="dxa"/>
            <w:vAlign w:val="bottom"/>
            <w:tcBorders>
              <w:bottom w:val="single" w:sz="8" w:color="808080"/>
              <w:right w:val="single" w:sz="8" w:color="808080"/>
            </w:tcBorders>
          </w:tcPr>
          <w:p>
            <w:pPr>
              <w:spacing w:after="0"/>
              <w:rPr>
                <w:sz w:val="3"/>
                <w:szCs w:val="3"/>
                <w:color w:val="auto"/>
              </w:rPr>
            </w:pPr>
          </w:p>
        </w:tc>
        <w:tc>
          <w:tcPr>
            <w:tcW w:w="5400" w:type="dxa"/>
            <w:vAlign w:val="bottom"/>
            <w:tcBorders>
              <w:bottom w:val="single" w:sz="8" w:color="808080"/>
              <w:right w:val="single" w:sz="8" w:color="808080"/>
            </w:tcBorders>
          </w:tcPr>
          <w:p>
            <w:pPr>
              <w:spacing w:after="0"/>
              <w:rPr>
                <w:sz w:val="3"/>
                <w:szCs w:val="3"/>
                <w:color w:val="auto"/>
              </w:rPr>
            </w:pPr>
          </w:p>
        </w:tc>
        <w:tc>
          <w:tcPr>
            <w:tcW w:w="2160" w:type="dxa"/>
            <w:vAlign w:val="bottom"/>
          </w:tcPr>
          <w:p>
            <w:pPr>
              <w:spacing w:after="0"/>
              <w:rPr>
                <w:sz w:val="3"/>
                <w:szCs w:val="3"/>
                <w:color w:val="auto"/>
              </w:rPr>
            </w:pPr>
          </w:p>
        </w:tc>
      </w:tr>
      <w:tr>
        <w:trPr>
          <w:trHeight w:val="225"/>
        </w:trPr>
        <w:tc>
          <w:tcPr>
            <w:tcW w:w="120" w:type="dxa"/>
            <w:vAlign w:val="bottom"/>
            <w:tcBorders>
              <w:right w:val="single" w:sz="8" w:color="808080"/>
            </w:tcBorders>
          </w:tcPr>
          <w:p>
            <w:pPr>
              <w:spacing w:after="0"/>
              <w:rPr>
                <w:sz w:val="19"/>
                <w:szCs w:val="19"/>
                <w:color w:val="auto"/>
              </w:rPr>
            </w:pPr>
          </w:p>
        </w:tc>
        <w:tc>
          <w:tcPr>
            <w:tcW w:w="2380" w:type="dxa"/>
            <w:vAlign w:val="bottom"/>
            <w:tcBorders>
              <w:right w:val="single" w:sz="8" w:color="808080"/>
            </w:tcBorders>
          </w:tcPr>
          <w:p>
            <w:pPr>
              <w:ind w:left="100"/>
              <w:spacing w:after="0"/>
              <w:rPr>
                <w:sz w:val="20"/>
                <w:szCs w:val="20"/>
                <w:color w:val="auto"/>
              </w:rPr>
            </w:pPr>
            <w:r>
              <w:rPr>
                <w:rFonts w:ascii="Arial" w:cs="Arial" w:eastAsia="Arial" w:hAnsi="Arial"/>
                <w:sz w:val="14"/>
                <w:szCs w:val="14"/>
                <w:b w:val="1"/>
                <w:bCs w:val="1"/>
                <w:color w:val="auto"/>
              </w:rPr>
              <w:t>Account No.:</w:t>
            </w:r>
          </w:p>
        </w:tc>
        <w:tc>
          <w:tcPr>
            <w:tcW w:w="5400" w:type="dxa"/>
            <w:vAlign w:val="bottom"/>
            <w:tcBorders>
              <w:right w:val="single" w:sz="8" w:color="808080"/>
            </w:tcBorders>
          </w:tcPr>
          <w:p>
            <w:pPr>
              <w:ind w:left="120"/>
              <w:spacing w:after="0"/>
              <w:rPr>
                <w:sz w:val="20"/>
                <w:szCs w:val="20"/>
                <w:color w:val="auto"/>
              </w:rPr>
            </w:pPr>
            <w:r>
              <w:rPr>
                <w:rFonts w:ascii="Arial" w:cs="Arial" w:eastAsia="Arial" w:hAnsi="Arial"/>
                <w:sz w:val="14"/>
                <w:szCs w:val="14"/>
                <w:b w:val="1"/>
                <w:bCs w:val="1"/>
                <w:color w:val="auto"/>
              </w:rPr>
              <w:t>066 297 311</w:t>
            </w:r>
          </w:p>
        </w:tc>
        <w:tc>
          <w:tcPr>
            <w:tcW w:w="2160" w:type="dxa"/>
            <w:vAlign w:val="bottom"/>
          </w:tcPr>
          <w:p>
            <w:pPr>
              <w:spacing w:after="0"/>
              <w:rPr>
                <w:sz w:val="19"/>
                <w:szCs w:val="19"/>
                <w:color w:val="auto"/>
              </w:rPr>
            </w:pPr>
          </w:p>
        </w:tc>
      </w:tr>
      <w:tr>
        <w:trPr>
          <w:trHeight w:val="39"/>
        </w:trPr>
        <w:tc>
          <w:tcPr>
            <w:tcW w:w="120" w:type="dxa"/>
            <w:vAlign w:val="bottom"/>
            <w:tcBorders>
              <w:right w:val="single" w:sz="8" w:color="808080"/>
            </w:tcBorders>
          </w:tcPr>
          <w:p>
            <w:pPr>
              <w:spacing w:after="0"/>
              <w:rPr>
                <w:sz w:val="3"/>
                <w:szCs w:val="3"/>
                <w:color w:val="auto"/>
              </w:rPr>
            </w:pPr>
          </w:p>
        </w:tc>
        <w:tc>
          <w:tcPr>
            <w:tcW w:w="2380" w:type="dxa"/>
            <w:vAlign w:val="bottom"/>
            <w:tcBorders>
              <w:bottom w:val="single" w:sz="8" w:color="808080"/>
              <w:right w:val="single" w:sz="8" w:color="808080"/>
            </w:tcBorders>
          </w:tcPr>
          <w:p>
            <w:pPr>
              <w:spacing w:after="0"/>
              <w:rPr>
                <w:sz w:val="3"/>
                <w:szCs w:val="3"/>
                <w:color w:val="auto"/>
              </w:rPr>
            </w:pPr>
          </w:p>
        </w:tc>
        <w:tc>
          <w:tcPr>
            <w:tcW w:w="5400" w:type="dxa"/>
            <w:vAlign w:val="bottom"/>
            <w:tcBorders>
              <w:bottom w:val="single" w:sz="8" w:color="808080"/>
              <w:right w:val="single" w:sz="8" w:color="808080"/>
            </w:tcBorders>
          </w:tcPr>
          <w:p>
            <w:pPr>
              <w:spacing w:after="0"/>
              <w:rPr>
                <w:sz w:val="3"/>
                <w:szCs w:val="3"/>
                <w:color w:val="auto"/>
              </w:rPr>
            </w:pPr>
          </w:p>
        </w:tc>
        <w:tc>
          <w:tcPr>
            <w:tcW w:w="2160" w:type="dxa"/>
            <w:vAlign w:val="bottom"/>
          </w:tcPr>
          <w:p>
            <w:pPr>
              <w:spacing w:after="0"/>
              <w:rPr>
                <w:sz w:val="3"/>
                <w:szCs w:val="3"/>
                <w:color w:val="auto"/>
              </w:rPr>
            </w:pPr>
          </w:p>
        </w:tc>
      </w:tr>
      <w:tr>
        <w:trPr>
          <w:trHeight w:val="225"/>
        </w:trPr>
        <w:tc>
          <w:tcPr>
            <w:tcW w:w="120" w:type="dxa"/>
            <w:vAlign w:val="bottom"/>
            <w:tcBorders>
              <w:right w:val="single" w:sz="8" w:color="808080"/>
            </w:tcBorders>
          </w:tcPr>
          <w:p>
            <w:pPr>
              <w:spacing w:after="0"/>
              <w:rPr>
                <w:sz w:val="19"/>
                <w:szCs w:val="19"/>
                <w:color w:val="auto"/>
              </w:rPr>
            </w:pPr>
          </w:p>
        </w:tc>
        <w:tc>
          <w:tcPr>
            <w:tcW w:w="2380" w:type="dxa"/>
            <w:vAlign w:val="bottom"/>
            <w:tcBorders>
              <w:right w:val="single" w:sz="8" w:color="808080"/>
            </w:tcBorders>
          </w:tcPr>
          <w:p>
            <w:pPr>
              <w:ind w:left="100"/>
              <w:spacing w:after="0"/>
              <w:rPr>
                <w:sz w:val="20"/>
                <w:szCs w:val="20"/>
                <w:color w:val="auto"/>
              </w:rPr>
            </w:pPr>
            <w:r>
              <w:rPr>
                <w:rFonts w:ascii="Arial" w:cs="Arial" w:eastAsia="Arial" w:hAnsi="Arial"/>
                <w:sz w:val="14"/>
                <w:szCs w:val="14"/>
                <w:b w:val="1"/>
                <w:bCs w:val="1"/>
                <w:color w:val="auto"/>
              </w:rPr>
              <w:t>Attention:</w:t>
            </w:r>
          </w:p>
        </w:tc>
        <w:tc>
          <w:tcPr>
            <w:tcW w:w="5400" w:type="dxa"/>
            <w:vAlign w:val="bottom"/>
            <w:tcBorders>
              <w:right w:val="single" w:sz="8" w:color="808080"/>
            </w:tcBorders>
          </w:tcPr>
          <w:p>
            <w:pPr>
              <w:ind w:left="120"/>
              <w:spacing w:after="0"/>
              <w:rPr>
                <w:sz w:val="20"/>
                <w:szCs w:val="20"/>
                <w:color w:val="auto"/>
              </w:rPr>
            </w:pPr>
            <w:r>
              <w:rPr>
                <w:rFonts w:ascii="Arial" w:cs="Arial" w:eastAsia="Arial" w:hAnsi="Arial"/>
                <w:sz w:val="14"/>
                <w:szCs w:val="14"/>
                <w:b w:val="1"/>
                <w:bCs w:val="1"/>
                <w:color w:val="auto"/>
              </w:rPr>
              <w:t>Mark LaGreca</w:t>
            </w:r>
          </w:p>
        </w:tc>
        <w:tc>
          <w:tcPr>
            <w:tcW w:w="2160" w:type="dxa"/>
            <w:vAlign w:val="bottom"/>
          </w:tcPr>
          <w:p>
            <w:pPr>
              <w:spacing w:after="0"/>
              <w:rPr>
                <w:sz w:val="19"/>
                <w:szCs w:val="19"/>
                <w:color w:val="auto"/>
              </w:rPr>
            </w:pPr>
          </w:p>
        </w:tc>
      </w:tr>
      <w:tr>
        <w:trPr>
          <w:trHeight w:val="39"/>
        </w:trPr>
        <w:tc>
          <w:tcPr>
            <w:tcW w:w="120" w:type="dxa"/>
            <w:vAlign w:val="bottom"/>
            <w:tcBorders>
              <w:right w:val="single" w:sz="8" w:color="808080"/>
            </w:tcBorders>
          </w:tcPr>
          <w:p>
            <w:pPr>
              <w:spacing w:after="0"/>
              <w:rPr>
                <w:sz w:val="3"/>
                <w:szCs w:val="3"/>
                <w:color w:val="auto"/>
              </w:rPr>
            </w:pPr>
          </w:p>
        </w:tc>
        <w:tc>
          <w:tcPr>
            <w:tcW w:w="2380" w:type="dxa"/>
            <w:vAlign w:val="bottom"/>
            <w:tcBorders>
              <w:bottom w:val="single" w:sz="8" w:color="808080"/>
              <w:right w:val="single" w:sz="8" w:color="808080"/>
            </w:tcBorders>
          </w:tcPr>
          <w:p>
            <w:pPr>
              <w:spacing w:after="0"/>
              <w:rPr>
                <w:sz w:val="3"/>
                <w:szCs w:val="3"/>
                <w:color w:val="auto"/>
              </w:rPr>
            </w:pPr>
          </w:p>
        </w:tc>
        <w:tc>
          <w:tcPr>
            <w:tcW w:w="5400" w:type="dxa"/>
            <w:vAlign w:val="bottom"/>
            <w:tcBorders>
              <w:bottom w:val="single" w:sz="8" w:color="808080"/>
              <w:right w:val="single" w:sz="8" w:color="808080"/>
            </w:tcBorders>
          </w:tcPr>
          <w:p>
            <w:pPr>
              <w:spacing w:after="0"/>
              <w:rPr>
                <w:sz w:val="3"/>
                <w:szCs w:val="3"/>
                <w:color w:val="auto"/>
              </w:rPr>
            </w:pPr>
          </w:p>
        </w:tc>
        <w:tc>
          <w:tcPr>
            <w:tcW w:w="2160" w:type="dxa"/>
            <w:vAlign w:val="bottom"/>
          </w:tcPr>
          <w:p>
            <w:pPr>
              <w:spacing w:after="0"/>
              <w:rPr>
                <w:sz w:val="3"/>
                <w:szCs w:val="3"/>
                <w:color w:val="auto"/>
              </w:rPr>
            </w:pPr>
          </w:p>
        </w:tc>
      </w:tr>
      <w:tr>
        <w:trPr>
          <w:trHeight w:val="225"/>
        </w:trPr>
        <w:tc>
          <w:tcPr>
            <w:tcW w:w="120" w:type="dxa"/>
            <w:vAlign w:val="bottom"/>
            <w:tcBorders>
              <w:right w:val="single" w:sz="8" w:color="808080"/>
            </w:tcBorders>
          </w:tcPr>
          <w:p>
            <w:pPr>
              <w:spacing w:after="0"/>
              <w:rPr>
                <w:sz w:val="19"/>
                <w:szCs w:val="19"/>
                <w:color w:val="auto"/>
              </w:rPr>
            </w:pPr>
          </w:p>
        </w:tc>
        <w:tc>
          <w:tcPr>
            <w:tcW w:w="2380" w:type="dxa"/>
            <w:vAlign w:val="bottom"/>
            <w:tcBorders>
              <w:right w:val="single" w:sz="8" w:color="808080"/>
            </w:tcBorders>
          </w:tcPr>
          <w:p>
            <w:pPr>
              <w:ind w:left="100"/>
              <w:spacing w:after="0"/>
              <w:rPr>
                <w:sz w:val="20"/>
                <w:szCs w:val="20"/>
                <w:color w:val="auto"/>
              </w:rPr>
            </w:pPr>
            <w:r>
              <w:rPr>
                <w:rFonts w:ascii="Arial" w:cs="Arial" w:eastAsia="Arial" w:hAnsi="Arial"/>
                <w:sz w:val="14"/>
                <w:szCs w:val="14"/>
                <w:b w:val="1"/>
                <w:bCs w:val="1"/>
                <w:color w:val="auto"/>
              </w:rPr>
              <w:t>Reference:</w:t>
            </w:r>
          </w:p>
        </w:tc>
        <w:tc>
          <w:tcPr>
            <w:tcW w:w="5400" w:type="dxa"/>
            <w:vAlign w:val="bottom"/>
            <w:tcBorders>
              <w:right w:val="single" w:sz="8" w:color="808080"/>
            </w:tcBorders>
          </w:tcPr>
          <w:p>
            <w:pPr>
              <w:ind w:left="120"/>
              <w:spacing w:after="0"/>
              <w:rPr>
                <w:sz w:val="20"/>
                <w:szCs w:val="20"/>
                <w:color w:val="auto"/>
              </w:rPr>
            </w:pPr>
            <w:r>
              <w:rPr>
                <w:rFonts w:ascii="Arial" w:cs="Arial" w:eastAsia="Arial" w:hAnsi="Arial"/>
                <w:sz w:val="14"/>
                <w:szCs w:val="14"/>
                <w:b w:val="1"/>
                <w:bCs w:val="1"/>
                <w:color w:val="auto"/>
              </w:rPr>
              <w:t>Capital Southwest Corporation</w:t>
            </w:r>
          </w:p>
        </w:tc>
        <w:tc>
          <w:tcPr>
            <w:tcW w:w="2160" w:type="dxa"/>
            <w:vAlign w:val="bottom"/>
          </w:tcPr>
          <w:p>
            <w:pPr>
              <w:spacing w:after="0"/>
              <w:rPr>
                <w:sz w:val="19"/>
                <w:szCs w:val="19"/>
                <w:color w:val="auto"/>
              </w:rPr>
            </w:pPr>
          </w:p>
        </w:tc>
      </w:tr>
      <w:tr>
        <w:trPr>
          <w:trHeight w:val="39"/>
        </w:trPr>
        <w:tc>
          <w:tcPr>
            <w:tcW w:w="120" w:type="dxa"/>
            <w:vAlign w:val="bottom"/>
            <w:tcBorders>
              <w:right w:val="single" w:sz="8" w:color="808080"/>
            </w:tcBorders>
          </w:tcPr>
          <w:p>
            <w:pPr>
              <w:spacing w:after="0"/>
              <w:rPr>
                <w:sz w:val="3"/>
                <w:szCs w:val="3"/>
                <w:color w:val="auto"/>
              </w:rPr>
            </w:pPr>
          </w:p>
        </w:tc>
        <w:tc>
          <w:tcPr>
            <w:tcW w:w="2380" w:type="dxa"/>
            <w:vAlign w:val="bottom"/>
            <w:tcBorders>
              <w:bottom w:val="single" w:sz="8" w:color="808080"/>
              <w:right w:val="single" w:sz="8" w:color="808080"/>
            </w:tcBorders>
          </w:tcPr>
          <w:p>
            <w:pPr>
              <w:spacing w:after="0"/>
              <w:rPr>
                <w:sz w:val="3"/>
                <w:szCs w:val="3"/>
                <w:color w:val="auto"/>
              </w:rPr>
            </w:pPr>
          </w:p>
        </w:tc>
        <w:tc>
          <w:tcPr>
            <w:tcW w:w="5400" w:type="dxa"/>
            <w:vAlign w:val="bottom"/>
            <w:tcBorders>
              <w:bottom w:val="single" w:sz="8" w:color="808080"/>
              <w:right w:val="single" w:sz="8" w:color="808080"/>
            </w:tcBorders>
          </w:tcPr>
          <w:p>
            <w:pPr>
              <w:spacing w:after="0"/>
              <w:rPr>
                <w:sz w:val="3"/>
                <w:szCs w:val="3"/>
                <w:color w:val="auto"/>
              </w:rPr>
            </w:pPr>
          </w:p>
        </w:tc>
        <w:tc>
          <w:tcPr>
            <w:tcW w:w="2160" w:type="dxa"/>
            <w:vAlign w:val="bottom"/>
          </w:tcPr>
          <w:p>
            <w:pPr>
              <w:spacing w:after="0"/>
              <w:rPr>
                <w:sz w:val="3"/>
                <w:szCs w:val="3"/>
                <w:color w:val="auto"/>
              </w:rPr>
            </w:pPr>
          </w:p>
        </w:tc>
      </w:tr>
      <w:tr>
        <w:trPr>
          <w:trHeight w:val="460"/>
        </w:trPr>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2" w:right="9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0"/>
          <w:szCs w:val="20"/>
          <w:color w:val="auto"/>
        </w:rPr>
        <w:t>Exhibit A</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 Form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299720</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4" w:name="page145"/>
    <w:bookmarkEnd w:id="144"/>
    <w:p>
      <w:pPr>
        <w:ind w:left="1"/>
        <w:spacing w:after="0"/>
        <w:rPr>
          <w:sz w:val="20"/>
          <w:szCs w:val="20"/>
          <w:color w:val="auto"/>
        </w:rPr>
      </w:pPr>
      <w:r>
        <w:rPr>
          <w:rFonts w:ascii="Courier New" w:cs="Courier New" w:eastAsia="Courier New" w:hAnsi="Courier New"/>
          <w:sz w:val="16"/>
          <w:szCs w:val="16"/>
          <w:color w:val="auto"/>
        </w:rPr>
        <w:t>[DATE]</w:t>
      </w:r>
    </w:p>
    <w:p>
      <w:pPr>
        <w:spacing w:after="0" w:line="1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ING CAPITAL LLC</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1335 AVENUE OF THE AMERICAS</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NEW YORK, NY 10036</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ATTN: GRACE FU</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FAX : 646-424-7213</w:t>
      </w:r>
    </w:p>
    <w:p>
      <w:pPr>
        <w:spacing w:after="0" w:line="1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u w:val="single" w:color="auto"/>
          <w:color w:val="auto"/>
        </w:rPr>
        <w:t>RE : IRREVOCABLE STANDBY LETTER OF CREDIT IN FAVOR OF [________]</w:t>
      </w:r>
    </w:p>
    <w:p>
      <w:pPr>
        <w:spacing w:after="0" w:line="8" w:lineRule="exact"/>
        <w:rPr>
          <w:sz w:val="20"/>
          <w:szCs w:val="20"/>
          <w:color w:val="auto"/>
        </w:rPr>
      </w:pPr>
    </w:p>
    <w:p>
      <w:pPr>
        <w:ind w:left="1" w:right="1859"/>
        <w:spacing w:after="0" w:line="251" w:lineRule="auto"/>
        <w:rPr>
          <w:sz w:val="20"/>
          <w:szCs w:val="20"/>
          <w:color w:val="auto"/>
        </w:rPr>
      </w:pPr>
      <w:r>
        <w:rPr>
          <w:rFonts w:ascii="Courier New" w:cs="Courier New" w:eastAsia="Courier New" w:hAnsi="Courier New"/>
          <w:sz w:val="16"/>
          <w:szCs w:val="16"/>
          <w:color w:val="auto"/>
        </w:rPr>
        <w:t>THIS LETTER OF CREDIT APPLICATION IS SUBJECT TO THE TERMS AND CONDITIONS OF THE MASTER REIMBURSEMENT AGREEMENT BETWEEN ING CAPITAL LLC AND CAPITAL SOUTHWEST CORPORATION DATED APRIL [__], 2018.</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PLEASE ISSUE AN IRREVOCABLE STANDBY LETTER OF CREDIT IN FAVOR OF:</w:t>
      </w:r>
    </w:p>
    <w:p>
      <w:pPr>
        <w:spacing w:after="0" w:line="1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[____________]</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ATTN: [____________]</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TEL: [____________]</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FAX: [____________]</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EMAIL: [____________]</w:t>
      </w:r>
    </w:p>
    <w:p>
      <w:pPr>
        <w:spacing w:after="0" w:line="197" w:lineRule="exact"/>
        <w:rPr>
          <w:sz w:val="20"/>
          <w:szCs w:val="20"/>
          <w:color w:val="auto"/>
        </w:rPr>
      </w:pPr>
    </w:p>
    <w:p>
      <w:pPr>
        <w:ind w:left="1" w:right="6339" w:hanging="1"/>
        <w:spacing w:after="0" w:line="250" w:lineRule="auto"/>
        <w:tabs>
          <w:tab w:leader="none" w:pos="39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SOUTHWEST CORPORATION LINCOLN CENTER TOWER</w:t>
      </w:r>
    </w:p>
    <w:p>
      <w:pPr>
        <w:ind w:left="1" w:right="681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5400 LBJ FREEWAY, SUITE 1300 DALLAS, TX 75240</w:t>
      </w: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ATTN: MICHAEL SARNER</w:t>
      </w:r>
    </w:p>
    <w:p>
      <w:pPr>
        <w:spacing w:after="0" w:line="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214-884-3829</w:t>
      </w:r>
    </w:p>
    <w:p>
      <w:pPr>
        <w:spacing w:after="0" w:line="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FAX: 713-230-1251</w:t>
      </w:r>
    </w:p>
    <w:p>
      <w:pPr>
        <w:spacing w:after="0" w:line="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EMAIL: MSARNER@CAPITALSOUTHWEST.COM</w:t>
      </w:r>
    </w:p>
    <w:p>
      <w:pPr>
        <w:spacing w:after="0" w:line="1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WE HEREBY OPEN OUR IRREVOCABLE STANDBY LETTER OF CREDIT NUMBER --------------- IN</w:t>
      </w:r>
    </w:p>
    <w:p>
      <w:pPr>
        <w:spacing w:after="0" w:line="8" w:lineRule="exact"/>
        <w:rPr>
          <w:sz w:val="20"/>
          <w:szCs w:val="20"/>
          <w:color w:val="auto"/>
        </w:rPr>
      </w:pPr>
    </w:p>
    <w:p>
      <w:pPr>
        <w:ind w:left="1" w:right="1379"/>
        <w:spacing w:after="0" w:line="252" w:lineRule="auto"/>
        <w:rPr>
          <w:sz w:val="20"/>
          <w:szCs w:val="20"/>
          <w:color w:val="auto"/>
        </w:rPr>
      </w:pPr>
      <w:r>
        <w:rPr>
          <w:rFonts w:ascii="Courier New" w:cs="Courier New" w:eastAsia="Courier New" w:hAnsi="Courier New"/>
          <w:sz w:val="16"/>
          <w:szCs w:val="16"/>
          <w:color w:val="auto"/>
        </w:rPr>
        <w:t>FAVOR OF YOURSELVES BY ORDER AND FOR ACCOUNT OF [BENEFICIARY], [LOCATION], AVAILABLE AT SIGHT FOR AN AMOUNT OF [_________] U.S. DOLLARS AGAINST: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 [DESCRIPTION].</w:t>
      </w:r>
    </w:p>
    <w:p>
      <w:pPr>
        <w:spacing w:after="0" w:line="19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 [DESCRIPTION].</w:t>
      </w:r>
    </w:p>
    <w:p>
      <w:pPr>
        <w:spacing w:after="0" w:line="3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SPECIAL CONDITIONS</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 w:right="1859" w:hanging="1"/>
        <w:spacing w:after="0" w:line="244" w:lineRule="auto"/>
        <w:tabs>
          <w:tab w:leader="none" w:pos="19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 AMOUNT AVAILABLE FOR DRAWING UNDER THIS LETTER OF CREDIT WILL BE REDUCED BY THE AMOUNT OF ANY PAYMENTS MADE OUTSIDE THIS LETTER OF CREDIT TO </w:t>
      </w:r>
      <w:r>
        <w:rPr>
          <w:rFonts w:ascii="Courier New" w:cs="Courier New" w:eastAsia="Courier New" w:hAnsi="Courier New"/>
          <w:sz w:val="18"/>
          <w:szCs w:val="18"/>
          <w:color w:val="auto"/>
        </w:rPr>
        <w:t xml:space="preserve">[BENEFICIARY] </w:t>
      </w:r>
      <w:r>
        <w:rPr>
          <w:rFonts w:ascii="Courier New" w:cs="Courier New" w:eastAsia="Courier New" w:hAnsi="Courier New"/>
          <w:sz w:val="16"/>
          <w:szCs w:val="16"/>
          <w:color w:val="auto"/>
        </w:rPr>
        <w:t>IF SUCH PAYMENTS ARE MADE THROUGH ING CAPITAL LLC, NEW YORK</w:t>
      </w:r>
      <w:r>
        <w:rPr>
          <w:rFonts w:ascii="Courier New" w:cs="Courier New" w:eastAsia="Courier New" w:hAnsi="Courier New"/>
          <w:sz w:val="18"/>
          <w:szCs w:val="18"/>
          <w:color w:val="auto"/>
        </w:rPr>
        <w:t xml:space="preserve"> AND REFERENCE THIS LETTER OF CREDIT.</w:t>
      </w:r>
    </w:p>
    <w:p>
      <w:pPr>
        <w:spacing w:after="0" w:line="189"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SHIPMENTS AND PARTIAL AND MULTIPLE DRAWINGS ARE PERMITTED.</w:t>
      </w:r>
    </w:p>
    <w:p>
      <w:pPr>
        <w:spacing w:after="0" w:line="196"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MUST BE PRESENTED AT OUR COUNTERS NOT LATER THAN [DATE].</w:t>
      </w:r>
    </w:p>
    <w:p>
      <w:pPr>
        <w:spacing w:after="0" w:line="196" w:lineRule="exact"/>
        <w:rPr>
          <w:rFonts w:ascii="Courier New" w:cs="Courier New" w:eastAsia="Courier New" w:hAnsi="Courier New"/>
          <w:sz w:val="16"/>
          <w:szCs w:val="16"/>
          <w:color w:val="auto"/>
        </w:rPr>
      </w:pPr>
    </w:p>
    <w:p>
      <w:pPr>
        <w:ind w:left="1" w:right="2159" w:hanging="1"/>
        <w:spacing w:after="0" w:line="252" w:lineRule="auto"/>
        <w:tabs>
          <w:tab w:leader="none" w:pos="19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TYPOGRAPHICAL AND SPELLING ERRORS, WITH EXCEPTION OF QUANTITY, AMOUNT, AND MERCHANDISE DESCRIPTION ARE NOT CONSIDERED DISCREPANCIES.</w:t>
      </w:r>
    </w:p>
    <w:p>
      <w:pPr>
        <w:spacing w:after="0" w:line="186" w:lineRule="exact"/>
        <w:rPr>
          <w:rFonts w:ascii="Courier New" w:cs="Courier New" w:eastAsia="Courier New" w:hAnsi="Courier New"/>
          <w:sz w:val="16"/>
          <w:szCs w:val="16"/>
          <w:color w:val="auto"/>
        </w:rPr>
      </w:pPr>
    </w:p>
    <w:p>
      <w:pPr>
        <w:jc w:val="both"/>
        <w:ind w:left="1" w:right="1379" w:hanging="1"/>
        <w:spacing w:after="0" w:line="252" w:lineRule="auto"/>
        <w:tabs>
          <w:tab w:leader="none" w:pos="19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INVOICE(S) REFERENCED ABOVE IN EXCESS OF THE U.S. DOLLAR AMOUNT OF THIS LETTER OF CREDIT IS ACCEPTABLE, HOWEVER, PAYMENT NOT TO EXCEED VALUE OF THIS CREDIT.</w:t>
      </w:r>
    </w:p>
    <w:p>
      <w:pPr>
        <w:spacing w:after="0" w:line="186" w:lineRule="exact"/>
        <w:rPr>
          <w:rFonts w:ascii="Courier New" w:cs="Courier New" w:eastAsia="Courier New" w:hAnsi="Courier New"/>
          <w:sz w:val="16"/>
          <w:szCs w:val="16"/>
          <w:color w:val="auto"/>
        </w:rPr>
      </w:pPr>
    </w:p>
    <w:p>
      <w:pPr>
        <w:ind w:left="1" w:right="1959" w:hanging="1"/>
        <w:spacing w:after="0" w:line="252" w:lineRule="auto"/>
        <w:tabs>
          <w:tab w:leader="none" w:pos="19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BANKING CHARGES EXCEPT THOSE OF THE OPENING BANK'S ARE FOR BENEFICIARY'S ACCOUNT.</w:t>
      </w:r>
    </w:p>
    <w:p>
      <w:pPr>
        <w:spacing w:after="0" w:line="186" w:lineRule="exact"/>
        <w:rPr>
          <w:rFonts w:ascii="Courier New" w:cs="Courier New" w:eastAsia="Courier New" w:hAnsi="Courier New"/>
          <w:sz w:val="16"/>
          <w:szCs w:val="16"/>
          <w:color w:val="auto"/>
        </w:rPr>
      </w:pPr>
    </w:p>
    <w:p>
      <w:pPr>
        <w:ind w:left="1" w:right="1379" w:hanging="1"/>
        <w:spacing w:after="0" w:line="251" w:lineRule="auto"/>
        <w:tabs>
          <w:tab w:leader="none" w:pos="19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LETTER OF CREDIT SHALL TAKE EFFECT IN ACCORDANCE WITH ITS TERMS BUT SUCH TERMS SHALL NOT ALTER, ADD TO, OR IN ANY WAY AFFECT THE TERMS OF THE MASTER REIMBURSEMENT AGREEMENT BETWEEN ING CAPITAL LLC AND CAPITAL SOUTHWEST CORPORATION TO WHICH THIS LETTER OF CREDIT RELATES.</w:t>
      </w:r>
    </w:p>
    <w:p>
      <w:pPr>
        <w:spacing w:after="0" w:line="187" w:lineRule="exact"/>
        <w:rPr>
          <w:rFonts w:ascii="Courier New" w:cs="Courier New" w:eastAsia="Courier New" w:hAnsi="Courier New"/>
          <w:sz w:val="16"/>
          <w:szCs w:val="16"/>
          <w:color w:val="auto"/>
        </w:rPr>
      </w:pPr>
    </w:p>
    <w:p>
      <w:pPr>
        <w:ind w:left="1" w:right="1379" w:hanging="1"/>
        <w:spacing w:after="0" w:line="252" w:lineRule="auto"/>
        <w:tabs>
          <w:tab w:leader="none" w:pos="19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HEREBY ENGAGE WITH THE BENEFICIARY THAT DOCUMENTS DRAWN UNDER AND IN COMPLIANCE WITH THE TERMS OF THIS CREDIT WILL BE DULY HONORED UPON PRESENTATION AS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83" w:right="1440" w:bottom="1440" w:gutter="0" w:footer="0" w:header="0"/>
        </w:sectPr>
      </w:pPr>
    </w:p>
    <w:bookmarkStart w:id="145" w:name="page146"/>
    <w:bookmarkEnd w:id="145"/>
    <w:p>
      <w:pPr>
        <w:ind w:left="1" w:right="1459" w:hanging="1"/>
        <w:spacing w:after="0" w:line="252" w:lineRule="auto"/>
        <w:tabs>
          <w:tab w:leader="none" w:pos="19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ELECTRONIC COPY IS THE OPERATIVE INSTRUMENT UNTIL RECEIPT OF ORIGINAL LETTER OF CREDIT.</w:t>
      </w:r>
    </w:p>
    <w:p>
      <w:pPr>
        <w:spacing w:after="0" w:line="186" w:lineRule="exact"/>
        <w:rPr>
          <w:rFonts w:ascii="Courier New" w:cs="Courier New" w:eastAsia="Courier New" w:hAnsi="Courier New"/>
          <w:sz w:val="16"/>
          <w:szCs w:val="16"/>
          <w:color w:val="auto"/>
        </w:rPr>
      </w:pPr>
    </w:p>
    <w:p>
      <w:pPr>
        <w:ind w:left="1" w:right="1379" w:hanging="1"/>
        <w:spacing w:after="0" w:line="252" w:lineRule="auto"/>
        <w:tabs>
          <w:tab w:leader="none" w:pos="19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CREDIT IS SUBJECT TO THE UNIFORM CUSTOMS AND PRACTICE FOR DOCUMENTARY CREDITS (2007 REVISION) INTERNATIONAL CHAMBER OF COMMERCE PUBLICATION NUMBER 600.</w:t>
      </w:r>
    </w:p>
    <w:p>
      <w:pPr>
        <w:spacing w:after="0" w:line="200" w:lineRule="exact"/>
        <w:rPr>
          <w:sz w:val="20"/>
          <w:szCs w:val="20"/>
          <w:color w:val="auto"/>
        </w:rPr>
      </w:pPr>
    </w:p>
    <w:p>
      <w:pPr>
        <w:spacing w:after="0" w:line="36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ING CAPITAL LLC, NEW YORK</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VERY TRULY YOURS,</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CAPITAL SOUTHWEST CORPORATION</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0" w:right="1440"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SOUTHWEST CORPORATION</w:t>
      </w:r>
    </w:p>
    <w:p>
      <w:pPr>
        <w:jc w:val="center"/>
        <w:spacing w:after="0"/>
        <w:rPr>
          <w:sz w:val="20"/>
          <w:szCs w:val="20"/>
          <w:color w:val="auto"/>
        </w:rPr>
      </w:pPr>
      <w:r>
        <w:rPr>
          <w:rFonts w:ascii="Arial" w:cs="Arial" w:eastAsia="Arial" w:hAnsi="Arial"/>
          <w:sz w:val="18"/>
          <w:szCs w:val="18"/>
          <w:color w:val="auto"/>
        </w:rPr>
        <w:t>List of Subsidiaries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3"/>
          </w:tcPr>
          <w:p>
            <w:pPr>
              <w:ind w:left="920"/>
              <w:spacing w:after="0"/>
              <w:rPr>
                <w:sz w:val="20"/>
                <w:szCs w:val="20"/>
                <w:color w:val="auto"/>
              </w:rPr>
            </w:pPr>
            <w:r>
              <w:rPr>
                <w:rFonts w:ascii="Arial" w:cs="Arial" w:eastAsia="Arial" w:hAnsi="Arial"/>
                <w:sz w:val="18"/>
                <w:szCs w:val="18"/>
                <w:color w:val="auto"/>
              </w:rPr>
              <w:t>Name of Subsidiary</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State of Incorporation</w:t>
            </w: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6520" w:type="dxa"/>
            <w:vAlign w:val="bottom"/>
            <w:gridSpan w:val="3"/>
          </w:tcPr>
          <w:p>
            <w:pPr>
              <w:ind w:left="920"/>
              <w:spacing w:after="0"/>
              <w:rPr>
                <w:sz w:val="20"/>
                <w:szCs w:val="20"/>
                <w:color w:val="auto"/>
              </w:rPr>
            </w:pPr>
            <w:r>
              <w:rPr>
                <w:rFonts w:ascii="Arial" w:cs="Arial" w:eastAsia="Arial" w:hAnsi="Arial"/>
                <w:sz w:val="18"/>
                <w:szCs w:val="18"/>
                <w:color w:val="auto"/>
              </w:rPr>
              <w:t>I-45 SLF LLC</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900" w:type="dxa"/>
            <w:vAlign w:val="bottom"/>
          </w:tcPr>
          <w:p>
            <w:pPr>
              <w:spacing w:after="0"/>
              <w:rPr>
                <w:sz w:val="24"/>
                <w:szCs w:val="24"/>
                <w:color w:val="auto"/>
              </w:rPr>
            </w:pPr>
          </w:p>
        </w:tc>
      </w:tr>
      <w:tr>
        <w:trPr>
          <w:trHeight w:val="176"/>
        </w:trPr>
        <w:tc>
          <w:tcPr>
            <w:tcW w:w="6520" w:type="dxa"/>
            <w:vAlign w:val="bottom"/>
            <w:gridSpan w:val="3"/>
          </w:tcPr>
          <w:p>
            <w:pPr>
              <w:ind w:left="920"/>
              <w:spacing w:after="0" w:line="176" w:lineRule="exact"/>
              <w:rPr>
                <w:sz w:val="20"/>
                <w:szCs w:val="20"/>
                <w:color w:val="auto"/>
              </w:rPr>
            </w:pPr>
            <w:r>
              <w:rPr>
                <w:rFonts w:ascii="Arial" w:cs="Arial" w:eastAsia="Arial" w:hAnsi="Arial"/>
                <w:sz w:val="18"/>
                <w:szCs w:val="18"/>
                <w:color w:val="auto"/>
              </w:rPr>
              <w:t>Media Recovery, Inc.</w:t>
            </w: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86"/>
              </w:rPr>
              <w:t>Nevada</w:t>
            </w:r>
          </w:p>
        </w:tc>
        <w:tc>
          <w:tcPr>
            <w:tcW w:w="900" w:type="dxa"/>
            <w:vAlign w:val="bottom"/>
          </w:tcPr>
          <w:p>
            <w:pPr>
              <w:spacing w:after="0"/>
              <w:rPr>
                <w:sz w:val="15"/>
                <w:szCs w:val="15"/>
                <w:color w:val="auto"/>
              </w:rPr>
            </w:pPr>
          </w:p>
        </w:tc>
      </w:tr>
      <w:tr>
        <w:trPr>
          <w:trHeight w:val="176"/>
        </w:trPr>
        <w:tc>
          <w:tcPr>
            <w:tcW w:w="6520" w:type="dxa"/>
            <w:vAlign w:val="bottom"/>
            <w:gridSpan w:val="3"/>
          </w:tcPr>
          <w:p>
            <w:pPr>
              <w:ind w:left="920"/>
              <w:spacing w:after="0" w:line="176" w:lineRule="exact"/>
              <w:rPr>
                <w:sz w:val="20"/>
                <w:szCs w:val="20"/>
                <w:color w:val="auto"/>
              </w:rPr>
            </w:pPr>
            <w:r>
              <w:rPr>
                <w:rFonts w:ascii="Arial" w:cs="Arial" w:eastAsia="Arial" w:hAnsi="Arial"/>
                <w:sz w:val="18"/>
                <w:szCs w:val="18"/>
                <w:color w:val="auto"/>
              </w:rPr>
              <w:t>TitanLiner, Inc.</w:t>
            </w: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86"/>
              </w:rPr>
              <w:t>Nevada</w:t>
            </w:r>
          </w:p>
        </w:tc>
        <w:tc>
          <w:tcPr>
            <w:tcW w:w="900" w:type="dxa"/>
            <w:vAlign w:val="bottom"/>
          </w:tcPr>
          <w:p>
            <w:pPr>
              <w:spacing w:after="0"/>
              <w:rPr>
                <w:sz w:val="15"/>
                <w:szCs w:val="15"/>
                <w:color w:val="auto"/>
              </w:rPr>
            </w:pPr>
          </w:p>
        </w:tc>
      </w:tr>
      <w:tr>
        <w:trPr>
          <w:trHeight w:val="176"/>
        </w:trPr>
        <w:tc>
          <w:tcPr>
            <w:tcW w:w="6520" w:type="dxa"/>
            <w:vAlign w:val="bottom"/>
            <w:gridSpan w:val="3"/>
          </w:tcPr>
          <w:p>
            <w:pPr>
              <w:ind w:left="920"/>
              <w:spacing w:after="0" w:line="176" w:lineRule="exact"/>
              <w:rPr>
                <w:sz w:val="20"/>
                <w:szCs w:val="20"/>
                <w:color w:val="auto"/>
              </w:rPr>
            </w:pPr>
            <w:r>
              <w:rPr>
                <w:rFonts w:ascii="Arial" w:cs="Arial" w:eastAsia="Arial" w:hAnsi="Arial"/>
                <w:sz w:val="18"/>
                <w:szCs w:val="18"/>
                <w:color w:val="auto"/>
              </w:rPr>
              <w:t>Capital Southwest Management Corporation</w:t>
            </w: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86"/>
              </w:rPr>
              <w:t>Nevada</w:t>
            </w:r>
          </w:p>
        </w:tc>
        <w:tc>
          <w:tcPr>
            <w:tcW w:w="900" w:type="dxa"/>
            <w:vAlign w:val="bottom"/>
          </w:tcPr>
          <w:p>
            <w:pPr>
              <w:spacing w:after="0"/>
              <w:rPr>
                <w:sz w:val="15"/>
                <w:szCs w:val="15"/>
                <w:color w:val="auto"/>
              </w:rPr>
            </w:pPr>
          </w:p>
        </w:tc>
      </w:tr>
      <w:tr>
        <w:trPr>
          <w:trHeight w:val="230"/>
        </w:trPr>
        <w:tc>
          <w:tcPr>
            <w:tcW w:w="6520" w:type="dxa"/>
            <w:vAlign w:val="bottom"/>
            <w:gridSpan w:val="3"/>
          </w:tcPr>
          <w:p>
            <w:pPr>
              <w:ind w:left="920"/>
              <w:spacing w:after="0"/>
              <w:rPr>
                <w:sz w:val="20"/>
                <w:szCs w:val="20"/>
                <w:color w:val="auto"/>
              </w:rPr>
            </w:pPr>
            <w:r>
              <w:rPr>
                <w:rFonts w:ascii="Arial" w:cs="Arial" w:eastAsia="Arial" w:hAnsi="Arial"/>
                <w:sz w:val="18"/>
                <w:szCs w:val="18"/>
                <w:color w:val="auto"/>
              </w:rPr>
              <w:t>Capital Southwest Equity Investments, Inc.</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900" w:type="dxa"/>
            <w:vAlign w:val="bottom"/>
          </w:tcPr>
          <w:p>
            <w:pPr>
              <w:spacing w:after="0"/>
              <w:rPr>
                <w:sz w:val="20"/>
                <w:szCs w:val="20"/>
                <w:color w:val="auto"/>
              </w:rPr>
            </w:pPr>
          </w:p>
        </w:tc>
      </w:tr>
      <w:tr>
        <w:trPr>
          <w:trHeight w:val="398"/>
        </w:trPr>
        <w:tc>
          <w:tcPr>
            <w:tcW w:w="9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2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We consent to the incorporation by reference in the Registration Statements (No. 333-207296, No. 333-177433, No. 333-177432, No. 333-118681) on Form S-8 of Capital Southwest Corporation and Subsidiaries (the Company) of our reports dated June 5, 2018, relating to the consolidated financial statements, the financial statement schedule and the effectiveness of internal control over financial reporting of the Company, appearing in this Annual Report on Form 10-K of the Company for the year ended March 31, 2018.</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We have issued our reports dated June 1, 2017, with respect to the consolidated financial statements and schedules included in the Annual Report of Capital Southwest Corporation on Form 10-K for the year ended March 31, 2018. We consent to the incorporation by reference of said reports in the Registration Statements of Capital Southwest Corporation on Forms S-8 (File No. 333-207296, effective October 5, 2015; File No. 333-177433, effective October 21, 2011; File No. 333-177432, effective October 21, 2011; File No. 333-118681, effective August 31, 2004).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00" w:lineRule="exact"/>
        <w:rPr>
          <w:sz w:val="20"/>
          <w:szCs w:val="20"/>
          <w:color w:val="auto"/>
        </w:rPr>
      </w:pPr>
    </w:p>
    <w:p>
      <w:pPr>
        <w:spacing w:after="0" w:line="29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consent to the inclusion as an exhibit to the Annual Report on the Form 10-K of Capital Southwest Corporation of our report dated May 17, 2018, relating to the financial statements of I-45 SLF LLC for the year ended March 31, 2018.</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00" w:lineRule="exact"/>
        <w:rPr>
          <w:sz w:val="20"/>
          <w:szCs w:val="20"/>
          <w:color w:val="auto"/>
        </w:rPr>
      </w:pPr>
    </w:p>
    <w:p>
      <w:pPr>
        <w:spacing w:after="0" w:line="29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We consent to the inclusion as an exhibit to the Annual Report on Form 10-K of Capital Southwest Corporation of our report dated May 31, 2018, relating to the financial statements of TitanLiner, Inc. for the year ended December 31, 2017 We also consent to the incorporation by reference of said reports in the Registration Statements of Capital Southwest Corporation on Forms S-8 (File No. 333-207296, effective October 5, 2015; File No. 333-177433, effective October 21, 2011; File No. 333-177432, effective October 21, 2011; File No. 333-118681, effective August 31,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rPr>
          <w:sz w:val="20"/>
          <w:szCs w:val="20"/>
          <w:color w:val="auto"/>
        </w:rPr>
      </w:pPr>
      <w:r>
        <w:rPr>
          <w:rFonts w:ascii="Arial" w:cs="Arial" w:eastAsia="Arial" w:hAnsi="Arial"/>
          <w:sz w:val="18"/>
          <w:szCs w:val="18"/>
          <w:color w:val="auto"/>
        </w:rPr>
        <w:t>June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Bowen S. Diehl, certify that:</w:t>
      </w:r>
    </w:p>
    <w:p>
      <w:pPr>
        <w:spacing w:after="0" w:line="158" w:lineRule="exact"/>
        <w:rPr>
          <w:sz w:val="20"/>
          <w:szCs w:val="20"/>
          <w:color w:val="auto"/>
        </w:rPr>
      </w:pPr>
    </w:p>
    <w:p>
      <w:pPr>
        <w:ind w:left="320" w:hanging="317"/>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 Southwest Corporation (the “registrant”);</w:t>
      </w:r>
    </w:p>
    <w:p>
      <w:pPr>
        <w:spacing w:after="0" w:line="184"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320" w:hanging="317"/>
        <w:spacing w:after="0" w:line="264" w:lineRule="auto"/>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320" w:hanging="317"/>
        <w:spacing w:after="0" w:line="286" w:lineRule="auto"/>
        <w:tabs>
          <w:tab w:leader="none" w:pos="3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jc w:val="both"/>
        <w:ind w:left="660" w:hanging="333"/>
        <w:spacing w:after="0" w:line="259"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jc w:val="both"/>
        <w:ind w:left="320" w:hanging="317"/>
        <w:spacing w:after="0" w:line="224" w:lineRule="auto"/>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27" w:lineRule="exact"/>
        <w:rPr>
          <w:rFonts w:ascii="Arial" w:cs="Arial" w:eastAsia="Arial" w:hAnsi="Arial"/>
          <w:sz w:val="18"/>
          <w:szCs w:val="18"/>
          <w:color w:val="auto"/>
        </w:rPr>
      </w:pPr>
    </w:p>
    <w:p>
      <w:pPr>
        <w:ind w:left="660" w:hanging="333"/>
        <w:spacing w:after="0" w:line="235" w:lineRule="auto"/>
        <w:tabs>
          <w:tab w:leader="none" w:pos="69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Arial" w:cs="Arial" w:eastAsia="Arial" w:hAnsi="Arial"/>
                <w:sz w:val="18"/>
                <w:szCs w:val="18"/>
                <w:color w:val="auto"/>
              </w:rPr>
              <w:t>Date: June 5, 2018</w:t>
            </w:r>
          </w:p>
        </w:tc>
        <w:tc>
          <w:tcPr>
            <w:tcW w:w="6100" w:type="dxa"/>
            <w:vAlign w:val="bottom"/>
            <w:gridSpan w:val="2"/>
          </w:tcPr>
          <w:p>
            <w:pPr>
              <w:ind w:left="1580"/>
              <w:spacing w:after="0"/>
              <w:rPr>
                <w:sz w:val="20"/>
                <w:szCs w:val="20"/>
                <w:color w:val="auto"/>
              </w:rPr>
            </w:pPr>
            <w:r>
              <w:rPr>
                <w:rFonts w:ascii="Arial" w:cs="Arial" w:eastAsia="Arial" w:hAnsi="Arial"/>
                <w:sz w:val="18"/>
                <w:szCs w:val="18"/>
                <w:color w:val="auto"/>
              </w:rPr>
              <w:t>By:/s/ Bowen S. Diehl</w:t>
            </w:r>
          </w:p>
        </w:tc>
      </w:tr>
      <w:tr>
        <w:trPr>
          <w:trHeight w:val="142"/>
        </w:trPr>
        <w:tc>
          <w:tcPr>
            <w:tcW w:w="2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2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Bowen S. Diehl</w:t>
            </w:r>
          </w:p>
        </w:tc>
      </w:tr>
      <w:tr>
        <w:trPr>
          <w:trHeight w:val="230"/>
        </w:trPr>
        <w:tc>
          <w:tcPr>
            <w:tcW w:w="2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84"/>
        </w:trPr>
        <w:tc>
          <w:tcPr>
            <w:tcW w:w="29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Michael S. Sarner, certify that:</w:t>
      </w:r>
    </w:p>
    <w:p>
      <w:pPr>
        <w:spacing w:after="0" w:line="144" w:lineRule="exact"/>
        <w:rPr>
          <w:sz w:val="20"/>
          <w:szCs w:val="20"/>
          <w:color w:val="auto"/>
        </w:rPr>
      </w:pPr>
    </w:p>
    <w:p>
      <w:pPr>
        <w:ind w:left="320" w:hanging="317"/>
        <w:spacing w:after="0"/>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 Southwest Corporation (the “registrant”);</w:t>
      </w:r>
    </w:p>
    <w:p>
      <w:pPr>
        <w:spacing w:after="0" w:line="144" w:lineRule="exact"/>
        <w:rPr>
          <w:rFonts w:ascii="Arial" w:cs="Arial" w:eastAsia="Arial" w:hAnsi="Arial"/>
          <w:sz w:val="18"/>
          <w:szCs w:val="18"/>
          <w:color w:val="auto"/>
        </w:rPr>
      </w:pPr>
    </w:p>
    <w:p>
      <w:pPr>
        <w:jc w:val="both"/>
        <w:ind w:left="320" w:hanging="317"/>
        <w:spacing w:after="0" w:line="224" w:lineRule="auto"/>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320" w:hanging="317"/>
        <w:spacing w:after="0" w:line="224" w:lineRule="auto"/>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320" w:hanging="317"/>
        <w:spacing w:after="0" w:line="238" w:lineRule="auto"/>
        <w:tabs>
          <w:tab w:leader="none" w:pos="3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jc w:val="both"/>
        <w:ind w:left="660" w:hanging="333"/>
        <w:spacing w:after="0" w:line="219"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660" w:hanging="333"/>
        <w:spacing w:after="0" w:line="219"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660" w:hanging="333"/>
        <w:spacing w:after="0" w:line="219"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20" w:hanging="317"/>
        <w:spacing w:after="0" w:line="224" w:lineRule="auto"/>
        <w:tabs>
          <w:tab w:leader="none" w:pos="3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color w:val="auto"/>
        </w:rPr>
        <w:t>Date: June 5, 2018</w:t>
      </w:r>
      <w:r>
        <w:rPr>
          <w:sz w:val="20"/>
          <w:szCs w:val="20"/>
          <w:color w:val="auto"/>
        </w:rPr>
        <w:tab/>
      </w:r>
      <w:r>
        <w:rPr>
          <w:rFonts w:ascii="Arial" w:cs="Arial" w:eastAsia="Arial" w:hAnsi="Arial"/>
          <w:sz w:val="16"/>
          <w:szCs w:val="16"/>
          <w:color w:val="auto"/>
        </w:rPr>
        <w:t>By: /s/ Michael S. Sarner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-635</wp:posOffset>
            </wp:positionV>
            <wp:extent cx="28130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ind w:left="4640"/>
        <w:spacing w:after="0" w:line="203" w:lineRule="auto"/>
        <w:rPr>
          <w:sz w:val="20"/>
          <w:szCs w:val="20"/>
          <w:color w:val="auto"/>
        </w:rPr>
      </w:pPr>
      <w:r>
        <w:rPr>
          <w:rFonts w:ascii="Arial" w:cs="Arial" w:eastAsia="Arial" w:hAnsi="Arial"/>
          <w:sz w:val="18"/>
          <w:szCs w:val="18"/>
          <w:color w:val="auto"/>
        </w:rPr>
        <w:t>Michael S. Sarner</w:t>
      </w: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the President and Chief Executive Officer Pursuant to 18 U.S.C. Section 1350, as adopted pursuant to Section 906 of the Sarbanes-Oxley Act of 2002</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 Bowen S. Diehl, President and Chief Executive Officer of Capital Southwest Corporation, certify that, to my knowledge:</w:t>
      </w:r>
    </w:p>
    <w:p>
      <w:pPr>
        <w:spacing w:after="0" w:line="167" w:lineRule="exact"/>
        <w:rPr>
          <w:sz w:val="20"/>
          <w:szCs w:val="20"/>
          <w:color w:val="auto"/>
        </w:rPr>
      </w:pPr>
    </w:p>
    <w:p>
      <w:pPr>
        <w:jc w:val="both"/>
        <w:ind w:left="660" w:hanging="333"/>
        <w:spacing w:after="0" w:line="22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Form 10-K for the year ended March 31, 2018, filed with the Securities and Exchange Commission on June 5, 2018 (“accompanied report”) fully complies with the requirements of Section 13(a) or 15(d) of the Securities Exchange Act of 1934; and</w:t>
      </w:r>
    </w:p>
    <w:p>
      <w:pPr>
        <w:spacing w:after="0" w:line="122"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consolidated financial condition and results of operations of Capital Southwest Corporation.</w:t>
      </w:r>
    </w:p>
    <w:p>
      <w:pPr>
        <w:spacing w:after="0" w:line="309"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June 5, 2018</w:t>
      </w:r>
      <w:r>
        <w:rPr>
          <w:sz w:val="20"/>
          <w:szCs w:val="20"/>
          <w:color w:val="auto"/>
        </w:rPr>
        <w:tab/>
      </w:r>
      <w:r>
        <w:rPr>
          <w:rFonts w:ascii="Arial" w:cs="Arial" w:eastAsia="Arial" w:hAnsi="Arial"/>
          <w:sz w:val="17"/>
          <w:szCs w:val="17"/>
          <w:color w:val="auto"/>
        </w:rPr>
        <w:t>By:/s/ Bowen S.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-635</wp:posOffset>
            </wp:positionV>
            <wp:extent cx="2701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4820"/>
        <w:spacing w:after="0" w:line="203" w:lineRule="auto"/>
        <w:rPr>
          <w:sz w:val="20"/>
          <w:szCs w:val="20"/>
          <w:color w:val="auto"/>
        </w:rPr>
      </w:pPr>
      <w:r>
        <w:rPr>
          <w:rFonts w:ascii="Arial" w:cs="Arial" w:eastAsia="Arial" w:hAnsi="Arial"/>
          <w:sz w:val="18"/>
          <w:szCs w:val="18"/>
          <w:color w:val="auto"/>
        </w:rPr>
        <w:t>Bowen S. Diehl</w:t>
      </w: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Michael S. Sarner, Chief Financial Officer of Capital Southwest Corporation, certify that, to my knowledge:</w:t>
      </w:r>
    </w:p>
    <w:p>
      <w:pPr>
        <w:spacing w:after="0" w:line="144" w:lineRule="exact"/>
        <w:rPr>
          <w:sz w:val="20"/>
          <w:szCs w:val="20"/>
          <w:color w:val="auto"/>
        </w:rPr>
      </w:pPr>
    </w:p>
    <w:p>
      <w:pPr>
        <w:jc w:val="both"/>
        <w:ind w:left="660" w:hanging="333"/>
        <w:spacing w:after="0" w:line="224"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Form 10-K for the year ended March 31, 2018, filed with the Securities and Exchange Commission on June 5, 2018 (“accompanied report”) fully complies with the requirements of Section 13(a) or 15(d) of the Securities Exchange Act of 1934; and</w:t>
      </w:r>
    </w:p>
    <w:p>
      <w:pPr>
        <w:spacing w:after="0" w:line="122"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consolidated financial condition and results of operations of Capital Southwest Corporation.</w:t>
      </w:r>
    </w:p>
    <w:p>
      <w:pPr>
        <w:spacing w:after="0" w:line="309"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June 5, 2018</w:t>
      </w:r>
      <w:r>
        <w:rPr>
          <w:sz w:val="20"/>
          <w:szCs w:val="20"/>
          <w:color w:val="auto"/>
        </w:rPr>
        <w:tab/>
      </w:r>
      <w:r>
        <w:rPr>
          <w:rFonts w:ascii="Arial" w:cs="Arial" w:eastAsia="Arial" w:hAnsi="Arial"/>
          <w:sz w:val="16"/>
          <w:szCs w:val="16"/>
          <w:color w:val="auto"/>
        </w:rPr>
        <w:t>By:/s/ Michael S. Sarner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-635</wp:posOffset>
            </wp:positionV>
            <wp:extent cx="27012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4820"/>
        <w:spacing w:after="0" w:line="203" w:lineRule="auto"/>
        <w:rPr>
          <w:sz w:val="20"/>
          <w:szCs w:val="20"/>
          <w:color w:val="auto"/>
        </w:rPr>
      </w:pPr>
      <w:r>
        <w:rPr>
          <w:rFonts w:ascii="Arial" w:cs="Arial" w:eastAsia="Arial" w:hAnsi="Arial"/>
          <w:sz w:val="18"/>
          <w:szCs w:val="18"/>
          <w:color w:val="auto"/>
        </w:rPr>
        <w:t>Michael S. Sarner</w:t>
      </w:r>
    </w:p>
    <w:p>
      <w:pPr>
        <w:ind w:left="48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356235</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ind w:right="80"/>
        <w:spacing w:after="0"/>
        <w:rPr>
          <w:sz w:val="20"/>
          <w:szCs w:val="20"/>
          <w:color w:val="auto"/>
        </w:rPr>
      </w:pPr>
      <w:r>
        <w:rPr>
          <w:rFonts w:ascii="Arial" w:cs="Arial" w:eastAsia="Arial" w:hAnsi="Arial"/>
          <w:sz w:val="29"/>
          <w:szCs w:val="29"/>
          <w:b w:val="1"/>
          <w:bCs w:val="1"/>
          <w:color w:val="auto"/>
        </w:rPr>
        <w:t>I-45 SLF LLC</w:t>
      </w: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Consolidated Financial Statements</w:t>
      </w:r>
    </w:p>
    <w:p>
      <w:pPr>
        <w:jc w:val="center"/>
        <w:ind w:right="80"/>
        <w:spacing w:after="0" w:line="238" w:lineRule="auto"/>
        <w:rPr>
          <w:sz w:val="20"/>
          <w:szCs w:val="20"/>
          <w:color w:val="auto"/>
        </w:rPr>
      </w:pPr>
      <w:r>
        <w:rPr>
          <w:rFonts w:ascii="Arial" w:cs="Arial" w:eastAsia="Arial" w:hAnsi="Arial"/>
          <w:sz w:val="22"/>
          <w:szCs w:val="22"/>
          <w:color w:val="auto"/>
        </w:rPr>
        <w:t>and</w:t>
      </w:r>
    </w:p>
    <w:p>
      <w:pPr>
        <w:jc w:val="center"/>
        <w:ind w:right="80"/>
        <w:spacing w:after="0"/>
        <w:rPr>
          <w:sz w:val="20"/>
          <w:szCs w:val="20"/>
          <w:color w:val="auto"/>
        </w:rPr>
      </w:pPr>
      <w:r>
        <w:rPr>
          <w:rFonts w:ascii="Arial" w:cs="Arial" w:eastAsia="Arial" w:hAnsi="Arial"/>
          <w:sz w:val="22"/>
          <w:szCs w:val="22"/>
          <w:color w:val="auto"/>
        </w:rPr>
        <w:t>Independent Auditor’s Report</w:t>
      </w:r>
    </w:p>
    <w:p>
      <w:pPr>
        <w:spacing w:after="0" w:line="215" w:lineRule="exact"/>
        <w:rPr>
          <w:sz w:val="20"/>
          <w:szCs w:val="20"/>
          <w:color w:val="auto"/>
        </w:rPr>
      </w:pPr>
    </w:p>
    <w:p>
      <w:pPr>
        <w:jc w:val="center"/>
        <w:ind w:right="80"/>
        <w:spacing w:after="0" w:line="251" w:lineRule="auto"/>
        <w:rPr>
          <w:sz w:val="20"/>
          <w:szCs w:val="20"/>
          <w:color w:val="auto"/>
        </w:rPr>
      </w:pPr>
      <w:r>
        <w:rPr>
          <w:rFonts w:ascii="Arial" w:cs="Arial" w:eastAsia="Arial" w:hAnsi="Arial"/>
          <w:sz w:val="22"/>
          <w:szCs w:val="22"/>
          <w:color w:val="auto"/>
        </w:rPr>
        <w:t>As of March 31, 2018 and 2017 and for the years ended March 31, 2018 and 2017, and for the period from September 3, 2015 (the date of incorporation) to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895350</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820" w:top="121" w:right="739" w:bottom="1440" w:gutter="0" w:footer="0" w:header="0"/>
        </w:sectPr>
      </w:pPr>
    </w:p>
    <w:bookmarkStart w:id="156" w:name="page157"/>
    <w:bookmarkEnd w:id="156"/>
    <w:p>
      <w:pPr>
        <w:jc w:val="center"/>
        <w:ind w:left="880"/>
        <w:spacing w:after="0"/>
        <w:rPr>
          <w:sz w:val="20"/>
          <w:szCs w:val="20"/>
          <w:color w:val="auto"/>
        </w:rPr>
      </w:pPr>
      <w:r>
        <w:rPr>
          <w:rFonts w:ascii="Arial" w:cs="Arial" w:eastAsia="Arial" w:hAnsi="Arial"/>
          <w:sz w:val="19"/>
          <w:szCs w:val="19"/>
          <w:b w:val="1"/>
          <w:bCs w:val="1"/>
          <w:color w:val="auto"/>
        </w:rPr>
        <w:t>Table of Contents</w:t>
      </w: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Independent Auditor’s Report</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Consolidated Statements of Assets, Liabilities and Members’ Equity</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Consolidated Schedules of Investments</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Consolidated Statements of Operations</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Consolidated Statements of Changes in Members’ Equity</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Statements of Cash Flows</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2">
            <w:col w:w="9500" w:space="720"/>
            <w:col w:w="180"/>
          </w:cols>
          <w:pgMar w:left="760" w:top="112" w:right="7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Managers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I-45 SLF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consolidated financial statements of I-45 SLF LLC and its subsidiary, which comprise the consolidated statements of assets, liabilities and members’ equity, including the consolidated schedules of investments, as of March 31, 2018 and 2017, the related consolidated statements of operations, changes in members' equity and cash flows for the years ended March 31, 2018 and 2017, and for the period from September 3, 2015 (date of incorporation) to March 31, 2016, and the related notes to the consolidated financial statements (collectively,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I-45 SLF LLC and its subsidiary as of March 31, 2018 and 2017, and the results of their operations, and their cash flows for the years ended March 31, 2018 and 2017 and for the period from September 3, 2015 (date of incorporation) to March 31, 2016 in accordance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2"/>
          <w:szCs w:val="22"/>
          <w:b w:val="1"/>
          <w:bCs w:val="1"/>
          <w:color w:val="auto"/>
        </w:rPr>
        <w:t>I-45 SLF LLC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Assets, Liabilities</w:t>
      </w:r>
    </w:p>
    <w:p>
      <w:pPr>
        <w:jc w:val="center"/>
        <w:ind w:right="20"/>
        <w:spacing w:after="0"/>
        <w:rPr>
          <w:sz w:val="20"/>
          <w:szCs w:val="20"/>
          <w:color w:val="auto"/>
        </w:rPr>
      </w:pPr>
      <w:r>
        <w:rPr>
          <w:rFonts w:ascii="Arial" w:cs="Arial" w:eastAsia="Arial" w:hAnsi="Arial"/>
          <w:sz w:val="22"/>
          <w:szCs w:val="22"/>
          <w:b w:val="1"/>
          <w:bCs w:val="1"/>
          <w:color w:val="auto"/>
        </w:rPr>
        <w:t>and Members’ Equity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r>
      <w:tr>
        <w:trPr>
          <w:trHeight w:val="142"/>
        </w:trPr>
        <w:tc>
          <w:tcPr>
            <w:tcW w:w="76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at fair value (cost $218,673,548 and $197,494,528, respectively)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220,806,845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200,242,690</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9,317,184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12,092,653</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329,987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1,732,500</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w w:val="96"/>
              </w:rPr>
              <w:t>Deferred financing costs (net of accumulated amortization of $927,485 and $439,982, respectively)</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2,110,545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1,659,042</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813,100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474,331</w:t>
            </w:r>
          </w:p>
        </w:tc>
      </w:tr>
      <w:tr>
        <w:trPr>
          <w:trHeight w:val="217"/>
        </w:trPr>
        <w:tc>
          <w:tcPr>
            <w:tcW w:w="7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233,377,661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216,201,216</w:t>
            </w:r>
          </w:p>
        </w:tc>
      </w:tr>
      <w:tr>
        <w:trPr>
          <w:trHeight w:val="216"/>
        </w:trPr>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Members' Equity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facility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122,000,000</w:t>
            </w:r>
          </w:p>
        </w:tc>
      </w:tr>
      <w:tr>
        <w:trPr>
          <w:trHeight w:val="216"/>
        </w:trPr>
        <w:tc>
          <w:tcPr>
            <w:tcW w:w="7600" w:type="dxa"/>
            <w:vAlign w:val="bottom"/>
          </w:tcPr>
          <w:p>
            <w:pPr>
              <w:ind w:left="140"/>
              <w:spacing w:after="0"/>
              <w:rPr>
                <w:sz w:val="20"/>
                <w:szCs w:val="20"/>
                <w:color w:val="auto"/>
              </w:rPr>
            </w:pPr>
            <w:r>
              <w:rPr>
                <w:rFonts w:ascii="Arial" w:cs="Arial" w:eastAsia="Arial" w:hAnsi="Arial"/>
                <w:sz w:val="18"/>
                <w:szCs w:val="18"/>
                <w:color w:val="auto"/>
              </w:rPr>
              <w:t>Payable for securities purchased</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3,212,818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11,795,000</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payable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2,830,442</w:t>
            </w:r>
          </w:p>
        </w:tc>
      </w:tr>
      <w:tr>
        <w:trPr>
          <w:trHeight w:val="216"/>
        </w:trPr>
        <w:tc>
          <w:tcPr>
            <w:tcW w:w="7600" w:type="dxa"/>
            <w:vAlign w:val="bottom"/>
          </w:tcPr>
          <w:p>
            <w:pPr>
              <w:ind w:left="140"/>
              <w:spacing w:after="0"/>
              <w:rPr>
                <w:sz w:val="20"/>
                <w:szCs w:val="20"/>
                <w:color w:val="auto"/>
              </w:rPr>
            </w:pPr>
            <w:r>
              <w:rPr>
                <w:rFonts w:ascii="Arial" w:cs="Arial" w:eastAsia="Arial" w:hAnsi="Arial"/>
                <w:sz w:val="18"/>
                <w:szCs w:val="18"/>
                <w:color w:val="auto"/>
              </w:rPr>
              <w:t>Interest payable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102,075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60,192</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126,212</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97,882</w:t>
            </w:r>
          </w:p>
        </w:tc>
      </w:tr>
      <w:tr>
        <w:trPr>
          <w:trHeight w:val="210"/>
        </w:trPr>
        <w:tc>
          <w:tcPr>
            <w:tcW w:w="76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149,331,580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136,783,516</w:t>
            </w:r>
          </w:p>
        </w:tc>
      </w:tr>
      <w:tr>
        <w:trPr>
          <w:trHeight w:val="216"/>
        </w:trPr>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Members' equity</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84,046,081</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79,417,700</w:t>
            </w:r>
          </w:p>
        </w:tc>
      </w:tr>
      <w:tr>
        <w:trPr>
          <w:trHeight w:val="217"/>
        </w:trPr>
        <w:tc>
          <w:tcPr>
            <w:tcW w:w="7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233,377,661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216,201,216</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112" w:right="7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color w:val="auto"/>
        </w:rPr>
        <w:t>I-45 SLF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Schedule of Investments</w:t>
      </w:r>
    </w:p>
    <w:p>
      <w:pPr>
        <w:jc w:val="center"/>
        <w:spacing w:after="0"/>
        <w:rPr>
          <w:sz w:val="20"/>
          <w:szCs w:val="20"/>
          <w:color w:val="auto"/>
        </w:rPr>
      </w:pPr>
      <w:r>
        <w:rPr>
          <w:rFonts w:ascii="Arial" w:cs="Arial" w:eastAsia="Arial" w:hAnsi="Arial"/>
          <w:sz w:val="22"/>
          <w:szCs w:val="22"/>
          <w:b w:val="1"/>
          <w:bCs w:val="1"/>
          <w:color w:val="auto"/>
        </w:rPr>
        <w:t>March 31,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r>
              <w:rPr>
                <w:rFonts w:ascii="Arial" w:cs="Arial" w:eastAsia="Arial" w:hAnsi="Arial"/>
                <w:sz w:val="7"/>
                <w:szCs w:val="7"/>
                <w:b w:val="1"/>
                <w:bCs w:val="1"/>
                <w:color w:val="auto"/>
                <w:w w:val="94"/>
              </w:rPr>
              <w:t>(1)</w:t>
            </w:r>
          </w:p>
        </w:tc>
        <w:tc>
          <w:tcPr>
            <w:tcW w:w="16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Members'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Corporate Bank Loans</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80"/>
              <w:spacing w:after="0"/>
              <w:rPr>
                <w:sz w:val="20"/>
                <w:szCs w:val="20"/>
                <w:color w:val="auto"/>
              </w:rPr>
            </w:pPr>
            <w:r>
              <w:rPr>
                <w:rFonts w:ascii="Arial" w:cs="Arial" w:eastAsia="Arial" w:hAnsi="Arial"/>
                <w:sz w:val="18"/>
                <w:szCs w:val="18"/>
                <w:b w:val="1"/>
                <w:bCs w:val="1"/>
                <w:color w:val="auto"/>
              </w:rPr>
              <w:t>United States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Aerospace &amp; Defense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American Scaffold Holdings, Inc.</w:t>
            </w:r>
          </w:p>
        </w:tc>
        <w:tc>
          <w:tcPr>
            <w:tcW w:w="940" w:type="dxa"/>
            <w:vAlign w:val="bottom"/>
          </w:tcPr>
          <w:p>
            <w:pPr>
              <w:jc w:val="right"/>
              <w:spacing w:after="0"/>
              <w:rPr>
                <w:sz w:val="20"/>
                <w:szCs w:val="20"/>
                <w:color w:val="auto"/>
              </w:rPr>
            </w:pPr>
            <w:r>
              <w:rPr>
                <w:rFonts w:ascii="Arial" w:cs="Arial" w:eastAsia="Arial" w:hAnsi="Arial"/>
                <w:sz w:val="18"/>
                <w:szCs w:val="18"/>
                <w:color w:val="auto"/>
              </w:rPr>
              <w:t>3/31/2022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2,775,000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2,746,293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2,761,125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Hunter Defense Technologies, Inc.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3/29/2023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6,370,152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6,370,152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gridSpan w:val="2"/>
          </w:tcPr>
          <w:p>
            <w:pPr>
              <w:ind w:left="260"/>
              <w:spacing w:after="0" w:line="161" w:lineRule="exact"/>
              <w:rPr>
                <w:sz w:val="20"/>
                <w:szCs w:val="20"/>
                <w:color w:val="auto"/>
              </w:rPr>
            </w:pPr>
            <w:r>
              <w:rPr>
                <w:rFonts w:ascii="Arial" w:cs="Arial" w:eastAsia="Arial" w:hAnsi="Arial"/>
                <w:sz w:val="18"/>
                <w:szCs w:val="18"/>
                <w:color w:val="auto"/>
              </w:rPr>
              <w:t>Peraton Corp. (fka MHVC Acquisition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gridSpan w:val="2"/>
          </w:tcPr>
          <w:p>
            <w:pPr>
              <w:ind w:left="400"/>
              <w:spacing w:after="0"/>
              <w:rPr>
                <w:sz w:val="20"/>
                <w:szCs w:val="20"/>
                <w:color w:val="auto"/>
              </w:rPr>
            </w:pPr>
            <w:r>
              <w:rPr>
                <w:rFonts w:ascii="Arial" w:cs="Arial" w:eastAsia="Arial" w:hAnsi="Arial"/>
                <w:sz w:val="18"/>
                <w:szCs w:val="18"/>
                <w:color w:val="auto"/>
              </w:rPr>
              <w:t>Corp.)</w:t>
            </w:r>
          </w:p>
        </w:tc>
        <w:tc>
          <w:tcPr>
            <w:tcW w:w="940" w:type="dxa"/>
            <w:vAlign w:val="bottom"/>
          </w:tcPr>
          <w:p>
            <w:pPr>
              <w:jc w:val="right"/>
              <w:spacing w:after="0"/>
              <w:rPr>
                <w:sz w:val="20"/>
                <w:szCs w:val="20"/>
                <w:color w:val="auto"/>
              </w:rPr>
            </w:pPr>
            <w:r>
              <w:rPr>
                <w:rFonts w:ascii="Arial" w:cs="Arial" w:eastAsia="Arial" w:hAnsi="Arial"/>
                <w:sz w:val="18"/>
                <w:szCs w:val="18"/>
                <w:color w:val="auto"/>
              </w:rPr>
              <w:t>4/29/2024</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4,960,013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4,938,405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5,022,013</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Automobile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Highline Aftermarket Acquisition, LLC</w:t>
            </w:r>
          </w:p>
        </w:tc>
        <w:tc>
          <w:tcPr>
            <w:tcW w:w="940" w:type="dxa"/>
            <w:vAlign w:val="bottom"/>
          </w:tcPr>
          <w:p>
            <w:pPr>
              <w:jc w:val="right"/>
              <w:spacing w:after="0"/>
              <w:rPr>
                <w:sz w:val="20"/>
                <w:szCs w:val="20"/>
                <w:color w:val="auto"/>
              </w:rPr>
            </w:pPr>
            <w:r>
              <w:rPr>
                <w:rFonts w:ascii="Arial" w:cs="Arial" w:eastAsia="Arial" w:hAnsi="Arial"/>
                <w:sz w:val="18"/>
                <w:szCs w:val="18"/>
                <w:color w:val="auto"/>
              </w:rPr>
              <w:t>3/17/2024</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L+4.25%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2,856,595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2,844,340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2,860,166</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Ansira Holdings, Inc.</w:t>
            </w:r>
          </w:p>
        </w:tc>
        <w:tc>
          <w:tcPr>
            <w:tcW w:w="940" w:type="dxa"/>
            <w:vAlign w:val="bottom"/>
          </w:tcPr>
          <w:p>
            <w:pPr>
              <w:jc w:val="right"/>
              <w:spacing w:after="0"/>
              <w:rPr>
                <w:sz w:val="20"/>
                <w:szCs w:val="20"/>
                <w:color w:val="auto"/>
              </w:rPr>
            </w:pPr>
            <w:r>
              <w:rPr>
                <w:rFonts w:ascii="Arial" w:cs="Arial" w:eastAsia="Arial" w:hAnsi="Arial"/>
                <w:sz w:val="18"/>
                <w:szCs w:val="18"/>
                <w:color w:val="auto"/>
              </w:rPr>
              <w:t>12/20/2022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3,878,182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3,847,470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3,868,486</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Ansira Holdings, Inc. - Delayed Draw</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12/20/2022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315,316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314,527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iEnergizer Limited</w:t>
            </w:r>
          </w:p>
        </w:tc>
        <w:tc>
          <w:tcPr>
            <w:tcW w:w="940" w:type="dxa"/>
            <w:vAlign w:val="bottom"/>
          </w:tcPr>
          <w:p>
            <w:pPr>
              <w:jc w:val="right"/>
              <w:spacing w:after="0"/>
              <w:rPr>
                <w:sz w:val="20"/>
                <w:szCs w:val="20"/>
                <w:color w:val="auto"/>
              </w:rPr>
            </w:pPr>
            <w:r>
              <w:rPr>
                <w:rFonts w:ascii="Arial" w:cs="Arial" w:eastAsia="Arial" w:hAnsi="Arial"/>
                <w:sz w:val="18"/>
                <w:szCs w:val="18"/>
                <w:color w:val="auto"/>
              </w:rPr>
              <w:t>5/1/2019</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6,550,375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6,421,048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6,558,563</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Integro Parent Inc.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4,888,924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4,768,810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4,888,924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KeyPoint Government Solutions, Inc.</w:t>
            </w:r>
          </w:p>
        </w:tc>
        <w:tc>
          <w:tcPr>
            <w:tcW w:w="940" w:type="dxa"/>
            <w:vAlign w:val="bottom"/>
          </w:tcPr>
          <w:p>
            <w:pPr>
              <w:jc w:val="right"/>
              <w:spacing w:after="0"/>
              <w:rPr>
                <w:sz w:val="20"/>
                <w:szCs w:val="20"/>
                <w:color w:val="auto"/>
              </w:rPr>
            </w:pPr>
            <w:r>
              <w:rPr>
                <w:rFonts w:ascii="Arial" w:cs="Arial" w:eastAsia="Arial" w:hAnsi="Arial"/>
                <w:sz w:val="18"/>
                <w:szCs w:val="18"/>
                <w:color w:val="auto"/>
              </w:rPr>
              <w:t>4/18/2024</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4,750,000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4,708,981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4,750,000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Redwood Ahead Acquisition,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11/2/2020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2,811,484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2,767,547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2,829,056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Capital Equipment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TestEquity,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4/28/2022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4,952,674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4,911,727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4,952,674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Time Manufacturing Acquisition</w:t>
            </w:r>
          </w:p>
        </w:tc>
        <w:tc>
          <w:tcPr>
            <w:tcW w:w="940" w:type="dxa"/>
            <w:vAlign w:val="bottom"/>
          </w:tcPr>
          <w:p>
            <w:pPr>
              <w:jc w:val="right"/>
              <w:spacing w:after="0"/>
              <w:rPr>
                <w:sz w:val="20"/>
                <w:szCs w:val="20"/>
                <w:color w:val="auto"/>
              </w:rPr>
            </w:pPr>
            <w:r>
              <w:rPr>
                <w:rFonts w:ascii="Arial" w:cs="Arial" w:eastAsia="Arial" w:hAnsi="Arial"/>
                <w:sz w:val="18"/>
                <w:szCs w:val="18"/>
                <w:color w:val="auto"/>
              </w:rPr>
              <w:t>2/3/2023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4,947,519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4,908,622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4,935,150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Consumer Products &amp; Retail</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Lulu's Fashion Lounge, LLC</w:t>
            </w:r>
          </w:p>
        </w:tc>
        <w:tc>
          <w:tcPr>
            <w:tcW w:w="940" w:type="dxa"/>
            <w:vAlign w:val="bottom"/>
          </w:tcPr>
          <w:p>
            <w:pPr>
              <w:jc w:val="right"/>
              <w:spacing w:after="0"/>
              <w:rPr>
                <w:sz w:val="20"/>
                <w:szCs w:val="20"/>
                <w:color w:val="auto"/>
              </w:rPr>
            </w:pPr>
            <w:r>
              <w:rPr>
                <w:rFonts w:ascii="Arial" w:cs="Arial" w:eastAsia="Arial" w:hAnsi="Arial"/>
                <w:sz w:val="18"/>
                <w:szCs w:val="18"/>
                <w:color w:val="auto"/>
              </w:rPr>
              <w:t>8/23/2022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L+7.00%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4,374,999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4,254,636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4,506,249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Pet Supermarket, Inc.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7/5/2022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4,889,928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4,900,375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Tacala, LLC - Second Lien</w:t>
            </w:r>
          </w:p>
        </w:tc>
        <w:tc>
          <w:tcPr>
            <w:tcW w:w="940" w:type="dxa"/>
            <w:vAlign w:val="bottom"/>
          </w:tcPr>
          <w:p>
            <w:pPr>
              <w:jc w:val="right"/>
              <w:spacing w:after="0"/>
              <w:rPr>
                <w:sz w:val="20"/>
                <w:szCs w:val="20"/>
                <w:color w:val="auto"/>
              </w:rPr>
            </w:pPr>
            <w:r>
              <w:rPr>
                <w:rFonts w:ascii="Arial" w:cs="Arial" w:eastAsia="Arial" w:hAnsi="Arial"/>
                <w:sz w:val="18"/>
                <w:szCs w:val="18"/>
                <w:color w:val="auto"/>
              </w:rPr>
              <w:t>1/31/2026</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L+7.00%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2,985,088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3,063,765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3.65%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8"/>
                <w:szCs w:val="18"/>
                <w:color w:val="auto"/>
              </w:rPr>
              <w:t>Turning Point Brands, Inc. - Second</w:t>
            </w: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3/7/2024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2,970,120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3,060,000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Consumer Services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CMN.com,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11/3/2021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8,742,126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8,645,306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8,742,126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Prepaid Legal Services, Inc.</w:t>
            </w:r>
          </w:p>
        </w:tc>
        <w:tc>
          <w:tcPr>
            <w:tcW w:w="940" w:type="dxa"/>
            <w:vAlign w:val="bottom"/>
          </w:tcPr>
          <w:p>
            <w:pPr>
              <w:jc w:val="right"/>
              <w:spacing w:after="0"/>
              <w:rPr>
                <w:sz w:val="20"/>
                <w:szCs w:val="20"/>
                <w:color w:val="auto"/>
              </w:rPr>
            </w:pPr>
            <w:r>
              <w:rPr>
                <w:rFonts w:ascii="Arial" w:cs="Arial" w:eastAsia="Arial" w:hAnsi="Arial"/>
                <w:sz w:val="18"/>
                <w:szCs w:val="18"/>
                <w:color w:val="auto"/>
              </w:rPr>
              <w:t>7/1/2019</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3,860,938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3,859,187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3,860,938</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4.59%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gridSpan w:val="2"/>
            <w:shd w:val="clear" w:color="auto" w:fill="CCEEFF"/>
          </w:tcPr>
          <w:p>
            <w:pPr>
              <w:ind w:left="260"/>
              <w:spacing w:after="0" w:line="161" w:lineRule="exact"/>
              <w:rPr>
                <w:sz w:val="20"/>
                <w:szCs w:val="20"/>
                <w:color w:val="auto"/>
              </w:rPr>
            </w:pPr>
            <w:r>
              <w:rPr>
                <w:rFonts w:ascii="Arial" w:cs="Arial" w:eastAsia="Arial" w:hAnsi="Arial"/>
                <w:sz w:val="18"/>
                <w:szCs w:val="18"/>
                <w:color w:val="auto"/>
              </w:rPr>
              <w:t>Prepaid Legal Services, Inc. - Second</w:t>
            </w: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L+9.00%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Solaray, LLC</w:t>
            </w:r>
          </w:p>
        </w:tc>
        <w:tc>
          <w:tcPr>
            <w:tcW w:w="940" w:type="dxa"/>
            <w:vAlign w:val="bottom"/>
          </w:tcPr>
          <w:p>
            <w:pPr>
              <w:jc w:val="right"/>
              <w:spacing w:after="0"/>
              <w:rPr>
                <w:sz w:val="20"/>
                <w:szCs w:val="20"/>
                <w:color w:val="auto"/>
              </w:rPr>
            </w:pPr>
            <w:r>
              <w:rPr>
                <w:rFonts w:ascii="Arial" w:cs="Arial" w:eastAsia="Arial" w:hAnsi="Arial"/>
                <w:sz w:val="18"/>
                <w:szCs w:val="18"/>
                <w:color w:val="auto"/>
              </w:rPr>
              <w:t>9/8/2023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6,308,205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6,263,089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6,308,205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Solaray, LLC - Delayed Draw</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9/8/2023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1,784,890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1,768,866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1,784,890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b w:val="1"/>
                <w:bCs w:val="1"/>
                <w:color w:val="auto"/>
              </w:rPr>
              <w:t>Durable Consumer Goods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TGP Holdings III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9/25/2024</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1,720,169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1,701,604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1,736,296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TGP Holdings III LLC - Second Lien</w:t>
            </w:r>
          </w:p>
        </w:tc>
        <w:tc>
          <w:tcPr>
            <w:tcW w:w="940" w:type="dxa"/>
            <w:vAlign w:val="bottom"/>
          </w:tcPr>
          <w:p>
            <w:pPr>
              <w:jc w:val="right"/>
              <w:spacing w:after="0"/>
              <w:rPr>
                <w:sz w:val="20"/>
                <w:szCs w:val="20"/>
                <w:color w:val="auto"/>
              </w:rPr>
            </w:pPr>
            <w:r>
              <w:rPr>
                <w:rFonts w:ascii="Arial" w:cs="Arial" w:eastAsia="Arial" w:hAnsi="Arial"/>
                <w:sz w:val="18"/>
                <w:szCs w:val="18"/>
                <w:color w:val="auto"/>
              </w:rPr>
              <w:t>9/25/2025</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L+8.50%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2,464,804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2,537,500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Services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iPayment Holdings, Inc.</w:t>
            </w:r>
          </w:p>
        </w:tc>
        <w:tc>
          <w:tcPr>
            <w:tcW w:w="940" w:type="dxa"/>
            <w:vAlign w:val="bottom"/>
          </w:tcPr>
          <w:p>
            <w:pPr>
              <w:jc w:val="right"/>
              <w:spacing w:after="0"/>
              <w:rPr>
                <w:sz w:val="20"/>
                <w:szCs w:val="20"/>
                <w:color w:val="auto"/>
              </w:rPr>
            </w:pPr>
            <w:r>
              <w:rPr>
                <w:rFonts w:ascii="Arial" w:cs="Arial" w:eastAsia="Arial" w:hAnsi="Arial"/>
                <w:sz w:val="18"/>
                <w:szCs w:val="18"/>
                <w:color w:val="auto"/>
              </w:rPr>
              <w:t>4/11/2023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4,987,500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4,987,500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5,049,844</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Healthcare Products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gridSpan w:val="2"/>
          </w:tcPr>
          <w:p>
            <w:pPr>
              <w:ind w:left="260"/>
              <w:spacing w:after="0" w:line="161" w:lineRule="exact"/>
              <w:rPr>
                <w:sz w:val="20"/>
                <w:szCs w:val="20"/>
                <w:color w:val="auto"/>
              </w:rPr>
            </w:pPr>
            <w:r>
              <w:rPr>
                <w:rFonts w:ascii="Arial" w:cs="Arial" w:eastAsia="Arial" w:hAnsi="Arial"/>
                <w:sz w:val="18"/>
                <w:szCs w:val="18"/>
                <w:color w:val="auto"/>
              </w:rPr>
              <w:t>Beaver-Visitec International Holdings,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gridSpan w:val="2"/>
          </w:tcPr>
          <w:p>
            <w:pPr>
              <w:ind w:left="400"/>
              <w:spacing w:after="0"/>
              <w:rPr>
                <w:sz w:val="20"/>
                <w:szCs w:val="20"/>
                <w:color w:val="auto"/>
              </w:rPr>
            </w:pPr>
            <w:r>
              <w:rPr>
                <w:rFonts w:ascii="Arial" w:cs="Arial" w:eastAsia="Arial" w:hAnsi="Arial"/>
                <w:sz w:val="18"/>
                <w:szCs w:val="18"/>
                <w:color w:val="auto"/>
              </w:rPr>
              <w:t>Inc.</w:t>
            </w:r>
          </w:p>
        </w:tc>
        <w:tc>
          <w:tcPr>
            <w:tcW w:w="940" w:type="dxa"/>
            <w:vAlign w:val="bottom"/>
          </w:tcPr>
          <w:p>
            <w:pPr>
              <w:jc w:val="right"/>
              <w:spacing w:after="0"/>
              <w:rPr>
                <w:sz w:val="20"/>
                <w:szCs w:val="20"/>
                <w:color w:val="auto"/>
              </w:rPr>
            </w:pPr>
            <w:r>
              <w:rPr>
                <w:rFonts w:ascii="Arial" w:cs="Arial" w:eastAsia="Arial" w:hAnsi="Arial"/>
                <w:sz w:val="18"/>
                <w:szCs w:val="18"/>
                <w:color w:val="auto"/>
              </w:rPr>
              <w:t>8/21/2023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4,925,000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4,886,584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4,949,625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PT Network,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11/30/2021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4,425,133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4,425,133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4,425,133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180"/>
              <w:spacing w:after="0"/>
              <w:rPr>
                <w:sz w:val="20"/>
                <w:szCs w:val="20"/>
                <w:color w:val="auto"/>
              </w:rPr>
            </w:pPr>
            <w:r>
              <w:rPr>
                <w:rFonts w:ascii="Arial" w:cs="Arial" w:eastAsia="Arial" w:hAnsi="Arial"/>
                <w:sz w:val="18"/>
                <w:szCs w:val="18"/>
                <w:b w:val="1"/>
                <w:bCs w:val="1"/>
                <w:color w:val="auto"/>
              </w:rPr>
              <w:t>Healthcare Services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AAC Holdings, Inc.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6/30/2023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7,568,046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7,413,688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7,700,487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w w:val="99"/>
              </w:rPr>
              <w:t>Chloe Ox Parent, LLC (Censeo Health)</w:t>
            </w:r>
          </w:p>
        </w:tc>
        <w:tc>
          <w:tcPr>
            <w:tcW w:w="940" w:type="dxa"/>
            <w:vAlign w:val="bottom"/>
          </w:tcPr>
          <w:p>
            <w:pPr>
              <w:jc w:val="right"/>
              <w:spacing w:after="0"/>
              <w:rPr>
                <w:sz w:val="20"/>
                <w:szCs w:val="20"/>
                <w:color w:val="auto"/>
              </w:rPr>
            </w:pPr>
            <w:r>
              <w:rPr>
                <w:rFonts w:ascii="Arial" w:cs="Arial" w:eastAsia="Arial" w:hAnsi="Arial"/>
                <w:sz w:val="18"/>
                <w:szCs w:val="18"/>
                <w:color w:val="auto"/>
              </w:rPr>
              <w:t>12/31/2024</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5,149,500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5,265,000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Hotel, Gaming &amp; Leisure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VIP Cinema Holdings, Inc.</w:t>
            </w:r>
          </w:p>
        </w:tc>
        <w:tc>
          <w:tcPr>
            <w:tcW w:w="940" w:type="dxa"/>
            <w:vAlign w:val="bottom"/>
          </w:tcPr>
          <w:p>
            <w:pPr>
              <w:jc w:val="right"/>
              <w:spacing w:after="0"/>
              <w:rPr>
                <w:sz w:val="20"/>
                <w:szCs w:val="20"/>
                <w:color w:val="auto"/>
              </w:rPr>
            </w:pPr>
            <w:r>
              <w:rPr>
                <w:rFonts w:ascii="Arial" w:cs="Arial" w:eastAsia="Arial" w:hAnsi="Arial"/>
                <w:sz w:val="18"/>
                <w:szCs w:val="18"/>
                <w:color w:val="auto"/>
              </w:rPr>
              <w:t>3/1/2023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4,750,000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4,730,480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4,804,934</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Industrial Products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Terra Millennium Corporation</w:t>
            </w:r>
          </w:p>
        </w:tc>
        <w:tc>
          <w:tcPr>
            <w:tcW w:w="940" w:type="dxa"/>
            <w:vAlign w:val="bottom"/>
          </w:tcPr>
          <w:p>
            <w:pPr>
              <w:jc w:val="right"/>
              <w:spacing w:after="0"/>
              <w:rPr>
                <w:sz w:val="20"/>
                <w:szCs w:val="20"/>
                <w:color w:val="auto"/>
              </w:rPr>
            </w:pPr>
            <w:r>
              <w:rPr>
                <w:rFonts w:ascii="Arial" w:cs="Arial" w:eastAsia="Arial" w:hAnsi="Arial"/>
                <w:sz w:val="18"/>
                <w:szCs w:val="18"/>
                <w:color w:val="auto"/>
              </w:rPr>
              <w:t>10/31/2022</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7,776,019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7,715,978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7,834,339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Media, Marketing &amp; Entertainment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00" w:type="dxa"/>
            <w:vAlign w:val="bottom"/>
            <w:gridSpan w:val="2"/>
          </w:tcPr>
          <w:p>
            <w:pPr>
              <w:ind w:left="260"/>
              <w:spacing w:after="0" w:line="161" w:lineRule="exact"/>
              <w:rPr>
                <w:sz w:val="20"/>
                <w:szCs w:val="20"/>
                <w:color w:val="auto"/>
              </w:rPr>
            </w:pPr>
            <w:r>
              <w:rPr>
                <w:rFonts w:ascii="Arial" w:cs="Arial" w:eastAsia="Arial" w:hAnsi="Arial"/>
                <w:sz w:val="18"/>
                <w:szCs w:val="18"/>
                <w:color w:val="auto"/>
              </w:rPr>
              <w:t>Imagine! Print Solutions, LLC - Second</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gridSpan w:val="2"/>
          </w:tcPr>
          <w:p>
            <w:pPr>
              <w:ind w:left="400"/>
              <w:spacing w:after="0"/>
              <w:rPr>
                <w:sz w:val="20"/>
                <w:szCs w:val="20"/>
                <w:color w:val="auto"/>
              </w:rPr>
            </w:pPr>
            <w:r>
              <w:rPr>
                <w:rFonts w:ascii="Arial" w:cs="Arial" w:eastAsia="Arial" w:hAnsi="Arial"/>
                <w:sz w:val="18"/>
                <w:szCs w:val="18"/>
                <w:color w:val="auto"/>
              </w:rPr>
              <w:t>Lien</w:t>
            </w:r>
          </w:p>
        </w:tc>
        <w:tc>
          <w:tcPr>
            <w:tcW w:w="940" w:type="dxa"/>
            <w:vAlign w:val="bottom"/>
          </w:tcPr>
          <w:p>
            <w:pPr>
              <w:jc w:val="right"/>
              <w:spacing w:after="0"/>
              <w:rPr>
                <w:sz w:val="20"/>
                <w:szCs w:val="20"/>
                <w:color w:val="auto"/>
              </w:rPr>
            </w:pPr>
            <w:r>
              <w:rPr>
                <w:rFonts w:ascii="Arial" w:cs="Arial" w:eastAsia="Arial" w:hAnsi="Arial"/>
                <w:sz w:val="18"/>
                <w:szCs w:val="18"/>
                <w:color w:val="auto"/>
              </w:rPr>
              <w:t>6/21/2023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L+8.75%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2,960,563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2,760,000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New Media Holdings II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7/14/2022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8,822,598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8,799,522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8,880,518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gridSpan w:val="10"/>
          </w:tcPr>
          <w:p>
            <w:pPr>
              <w:jc w:val="center"/>
              <w:ind w:left="24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71"/>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2" w:right="7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color w:val="auto"/>
        </w:rPr>
        <w:t>I-45 SLF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Schedule of Investments</w:t>
      </w:r>
    </w:p>
    <w:p>
      <w:pPr>
        <w:jc w:val="center"/>
        <w:spacing w:after="0"/>
        <w:rPr>
          <w:sz w:val="20"/>
          <w:szCs w:val="20"/>
          <w:color w:val="auto"/>
        </w:rPr>
      </w:pPr>
      <w:r>
        <w:rPr>
          <w:rFonts w:ascii="Arial" w:cs="Arial" w:eastAsia="Arial" w:hAnsi="Arial"/>
          <w:sz w:val="22"/>
          <w:szCs w:val="22"/>
          <w:b w:val="1"/>
          <w:bCs w:val="1"/>
          <w:color w:val="auto"/>
        </w:rPr>
        <w:t>March 31, 2018</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gridSpan w:val="3"/>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gridSpan w:val="3"/>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Rate</w:t>
            </w:r>
            <w:r>
              <w:rPr>
                <w:rFonts w:ascii="Arial" w:cs="Arial" w:eastAsia="Arial" w:hAnsi="Arial"/>
                <w:sz w:val="14"/>
                <w:szCs w:val="14"/>
                <w:b w:val="1"/>
                <w:bCs w:val="1"/>
                <w:color w:val="auto"/>
                <w:w w:val="91"/>
                <w:vertAlign w:val="superscript"/>
              </w:rPr>
              <w:t>(1)</w:t>
            </w:r>
          </w:p>
        </w:tc>
        <w:tc>
          <w:tcPr>
            <w:tcW w:w="14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Members'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Restaurants</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California Pizza Kitchen, Inc.</w:t>
            </w:r>
          </w:p>
        </w:tc>
        <w:tc>
          <w:tcPr>
            <w:tcW w:w="940" w:type="dxa"/>
            <w:vAlign w:val="bottom"/>
          </w:tcPr>
          <w:p>
            <w:pPr>
              <w:jc w:val="right"/>
              <w:spacing w:after="0"/>
              <w:rPr>
                <w:sz w:val="20"/>
                <w:szCs w:val="20"/>
                <w:color w:val="auto"/>
              </w:rPr>
            </w:pPr>
            <w:r>
              <w:rPr>
                <w:rFonts w:ascii="Arial" w:cs="Arial" w:eastAsia="Arial" w:hAnsi="Arial"/>
                <w:sz w:val="18"/>
                <w:szCs w:val="18"/>
                <w:color w:val="auto"/>
              </w:rPr>
              <w:t>8/23/2022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$ 6,899,937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6,863,761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6,775,739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Retail</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Go Wireless Holdings, Inc.</w:t>
            </w:r>
          </w:p>
        </w:tc>
        <w:tc>
          <w:tcPr>
            <w:tcW w:w="940" w:type="dxa"/>
            <w:vAlign w:val="bottom"/>
          </w:tcPr>
          <w:p>
            <w:pPr>
              <w:jc w:val="right"/>
              <w:spacing w:after="0"/>
              <w:rPr>
                <w:sz w:val="20"/>
                <w:szCs w:val="20"/>
                <w:color w:val="auto"/>
              </w:rPr>
            </w:pPr>
            <w:r>
              <w:rPr>
                <w:rFonts w:ascii="Arial" w:cs="Arial" w:eastAsia="Arial" w:hAnsi="Arial"/>
                <w:sz w:val="18"/>
                <w:szCs w:val="18"/>
                <w:color w:val="auto"/>
              </w:rPr>
              <w:t>12/31/2024</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6,912,500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6,845,573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6,903,859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Software &amp; IT Services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Digital River, Inc.</w:t>
            </w:r>
          </w:p>
        </w:tc>
        <w:tc>
          <w:tcPr>
            <w:tcW w:w="940" w:type="dxa"/>
            <w:vAlign w:val="bottom"/>
          </w:tcPr>
          <w:p>
            <w:pPr>
              <w:jc w:val="right"/>
              <w:spacing w:after="0"/>
              <w:rPr>
                <w:sz w:val="20"/>
                <w:szCs w:val="20"/>
                <w:color w:val="auto"/>
              </w:rPr>
            </w:pPr>
            <w:r>
              <w:rPr>
                <w:rFonts w:ascii="Arial" w:cs="Arial" w:eastAsia="Arial" w:hAnsi="Arial"/>
                <w:sz w:val="18"/>
                <w:szCs w:val="18"/>
                <w:color w:val="auto"/>
              </w:rPr>
              <w:t>2/12/2021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8,002,967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7,995,112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8,002,967</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InfoGroup Inc.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2,957,021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80"/>
              <w:spacing w:after="0"/>
              <w:rPr>
                <w:sz w:val="20"/>
                <w:szCs w:val="20"/>
                <w:color w:val="auto"/>
              </w:rPr>
            </w:pPr>
            <w:r>
              <w:rPr>
                <w:rFonts w:ascii="Arial" w:cs="Arial" w:eastAsia="Arial" w:hAnsi="Arial"/>
                <w:sz w:val="18"/>
                <w:szCs w:val="18"/>
                <w:b w:val="1"/>
                <w:bCs w:val="1"/>
                <w:color w:val="auto"/>
              </w:rPr>
              <w:t>Technology Products &amp; Components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ATI Investment Sub, Inc.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3,557,227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3,552,781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ATX Canada Acquisitionco Inc.</w:t>
            </w:r>
          </w:p>
        </w:tc>
        <w:tc>
          <w:tcPr>
            <w:tcW w:w="940" w:type="dxa"/>
            <w:vAlign w:val="bottom"/>
          </w:tcPr>
          <w:p>
            <w:pPr>
              <w:jc w:val="right"/>
              <w:spacing w:after="0"/>
              <w:rPr>
                <w:sz w:val="20"/>
                <w:szCs w:val="20"/>
                <w:color w:val="auto"/>
              </w:rPr>
            </w:pPr>
            <w:r>
              <w:rPr>
                <w:rFonts w:ascii="Arial" w:cs="Arial" w:eastAsia="Arial" w:hAnsi="Arial"/>
                <w:sz w:val="18"/>
                <w:szCs w:val="18"/>
                <w:color w:val="auto"/>
              </w:rPr>
              <w:t>6/11/2021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4,836,742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4,801,504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4,498,170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Telecommunications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American Teleconferencing Services,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8"/>
                <w:szCs w:val="18"/>
                <w:color w:val="auto"/>
              </w:rPr>
              <w:t>Ltd.</w:t>
            </w:r>
          </w:p>
        </w:tc>
        <w:tc>
          <w:tcPr>
            <w:tcW w:w="940" w:type="dxa"/>
            <w:vAlign w:val="bottom"/>
          </w:tcPr>
          <w:p>
            <w:pPr>
              <w:jc w:val="right"/>
              <w:spacing w:after="0"/>
              <w:rPr>
                <w:sz w:val="20"/>
                <w:szCs w:val="20"/>
                <w:color w:val="auto"/>
              </w:rPr>
            </w:pPr>
            <w:r>
              <w:rPr>
                <w:rFonts w:ascii="Arial" w:cs="Arial" w:eastAsia="Arial" w:hAnsi="Arial"/>
                <w:sz w:val="18"/>
                <w:szCs w:val="18"/>
                <w:color w:val="auto"/>
              </w:rPr>
              <w:t>12/8/2021</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7,287,370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6,938,866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7,285,548</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LOGIX Holdings Company, LLC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4,528,716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4,484,992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4,551,360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LSF9 Atlantis Holdings, LLC</w:t>
            </w:r>
          </w:p>
        </w:tc>
        <w:tc>
          <w:tcPr>
            <w:tcW w:w="940" w:type="dxa"/>
            <w:vAlign w:val="bottom"/>
          </w:tcPr>
          <w:p>
            <w:pPr>
              <w:jc w:val="right"/>
              <w:spacing w:after="0"/>
              <w:rPr>
                <w:sz w:val="20"/>
                <w:szCs w:val="20"/>
                <w:color w:val="auto"/>
              </w:rPr>
            </w:pPr>
            <w:r>
              <w:rPr>
                <w:rFonts w:ascii="Arial" w:cs="Arial" w:eastAsia="Arial" w:hAnsi="Arial"/>
                <w:sz w:val="18"/>
                <w:szCs w:val="18"/>
                <w:color w:val="auto"/>
              </w:rPr>
              <w:t>5/1/2023</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6,868,750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6,810,137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6,854,429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Polycom, Inc.</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5,234,833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5,234,833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5,287,182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Teleguam Holdings , LLC</w:t>
            </w:r>
          </w:p>
        </w:tc>
        <w:tc>
          <w:tcPr>
            <w:tcW w:w="940" w:type="dxa"/>
            <w:vAlign w:val="bottom"/>
          </w:tcPr>
          <w:p>
            <w:pPr>
              <w:jc w:val="right"/>
              <w:spacing w:after="0"/>
              <w:rPr>
                <w:sz w:val="20"/>
                <w:szCs w:val="20"/>
                <w:color w:val="auto"/>
              </w:rPr>
            </w:pPr>
            <w:r>
              <w:rPr>
                <w:rFonts w:ascii="Arial" w:cs="Arial" w:eastAsia="Arial" w:hAnsi="Arial"/>
                <w:sz w:val="18"/>
                <w:szCs w:val="18"/>
                <w:color w:val="auto"/>
              </w:rPr>
              <w:t>4/12/2024</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L+8.50%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1,963,812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2,015,000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U.S. TelePacific Corp.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7,643,991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7,550,843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7,441,425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UniTek Global Services, Inc.</w:t>
            </w:r>
          </w:p>
        </w:tc>
        <w:tc>
          <w:tcPr>
            <w:tcW w:w="940" w:type="dxa"/>
            <w:vAlign w:val="bottom"/>
          </w:tcPr>
          <w:p>
            <w:pPr>
              <w:jc w:val="right"/>
              <w:spacing w:after="0"/>
              <w:rPr>
                <w:sz w:val="20"/>
                <w:szCs w:val="20"/>
                <w:color w:val="auto"/>
              </w:rPr>
            </w:pPr>
            <w:r>
              <w:rPr>
                <w:rFonts w:ascii="Arial" w:cs="Arial" w:eastAsia="Arial" w:hAnsi="Arial"/>
                <w:sz w:val="18"/>
                <w:szCs w:val="18"/>
                <w:color w:val="auto"/>
              </w:rPr>
              <w:t>1/13/2019</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L+8.50%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4,584,809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4,584,809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4,584,809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Transportation &amp; Logistics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3"/>
          </w:tcPr>
          <w:p>
            <w:pPr>
              <w:ind w:left="260"/>
              <w:spacing w:after="0" w:line="201" w:lineRule="exact"/>
              <w:rPr>
                <w:sz w:val="20"/>
                <w:szCs w:val="20"/>
                <w:color w:val="auto"/>
              </w:rPr>
            </w:pPr>
            <w:r>
              <w:rPr>
                <w:rFonts w:ascii="Arial" w:cs="Arial" w:eastAsia="Arial" w:hAnsi="Arial"/>
                <w:sz w:val="18"/>
                <w:szCs w:val="18"/>
                <w:color w:val="auto"/>
              </w:rPr>
              <w:t>US Joiner Holding Company (IMECO</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3"/>
          </w:tcPr>
          <w:p>
            <w:pPr>
              <w:ind w:left="400"/>
              <w:spacing w:after="0"/>
              <w:rPr>
                <w:sz w:val="20"/>
                <w:szCs w:val="20"/>
                <w:color w:val="auto"/>
              </w:rPr>
            </w:pPr>
            <w:r>
              <w:rPr>
                <w:rFonts w:ascii="Arial" w:cs="Arial" w:eastAsia="Arial" w:hAnsi="Arial"/>
                <w:sz w:val="18"/>
                <w:szCs w:val="18"/>
                <w:color w:val="auto"/>
              </w:rPr>
              <w:t>and RAACI)</w:t>
            </w:r>
          </w:p>
        </w:tc>
        <w:tc>
          <w:tcPr>
            <w:tcW w:w="940" w:type="dxa"/>
            <w:vAlign w:val="bottom"/>
          </w:tcPr>
          <w:p>
            <w:pPr>
              <w:jc w:val="right"/>
              <w:spacing w:after="0"/>
              <w:rPr>
                <w:sz w:val="20"/>
                <w:szCs w:val="20"/>
                <w:color w:val="auto"/>
              </w:rPr>
            </w:pPr>
            <w:r>
              <w:rPr>
                <w:rFonts w:ascii="Arial" w:cs="Arial" w:eastAsia="Arial" w:hAnsi="Arial"/>
                <w:sz w:val="18"/>
                <w:szCs w:val="18"/>
                <w:color w:val="auto"/>
              </w:rPr>
              <w:t>4/16/2020</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4,459,182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4,425,101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4,436,886</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Wholesale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NBG Acquisition, Inc.</w:t>
            </w:r>
          </w:p>
        </w:tc>
        <w:tc>
          <w:tcPr>
            <w:tcW w:w="940" w:type="dxa"/>
            <w:vAlign w:val="bottom"/>
          </w:tcPr>
          <w:p>
            <w:pPr>
              <w:jc w:val="right"/>
              <w:spacing w:after="0"/>
              <w:rPr>
                <w:sz w:val="20"/>
                <w:szCs w:val="20"/>
                <w:color w:val="auto"/>
              </w:rPr>
            </w:pPr>
            <w:r>
              <w:rPr>
                <w:rFonts w:ascii="Arial" w:cs="Arial" w:eastAsia="Arial" w:hAnsi="Arial"/>
                <w:sz w:val="18"/>
                <w:szCs w:val="18"/>
                <w:color w:val="auto"/>
              </w:rPr>
              <w:t>4/26/2024</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2,962,500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2,911,071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2,973,609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Investments - (cost $218,673,548)</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218,673,548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220,806,845</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262.73%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right="20" w:hanging="329"/>
        <w:spacing w:after="0" w:line="264"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majority of investments bear interest at a rate that may be determined by reference to London Interbank Offered Rate (“LIBOR” or “L”) which reset daily, monthly, quarterly, or semiannually. For each investment, the Company has provided the spread over LIBOR in effect at March 31, 2018. Certain investments are subject to a LIBOR interest rate floor.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61" w:name="page162"/>
    <w:bookmarkEnd w:id="161"/>
    <w:p>
      <w:pPr>
        <w:jc w:val="center"/>
        <w:ind w:right="20"/>
        <w:spacing w:after="0"/>
        <w:rPr>
          <w:sz w:val="20"/>
          <w:szCs w:val="20"/>
          <w:color w:val="auto"/>
        </w:rPr>
      </w:pPr>
      <w:r>
        <w:rPr>
          <w:rFonts w:ascii="Arial" w:cs="Arial" w:eastAsia="Arial" w:hAnsi="Arial"/>
          <w:sz w:val="22"/>
          <w:szCs w:val="22"/>
          <w:b w:val="1"/>
          <w:bCs w:val="1"/>
          <w:color w:val="auto"/>
        </w:rPr>
        <w:t>I-45 SLF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Schedule of Investments</w:t>
      </w:r>
    </w:p>
    <w:p>
      <w:pPr>
        <w:jc w:val="center"/>
        <w:ind w:right="20"/>
        <w:spacing w:after="0"/>
        <w:rPr>
          <w:sz w:val="20"/>
          <w:szCs w:val="20"/>
          <w:color w:val="auto"/>
        </w:rPr>
      </w:pPr>
      <w:r>
        <w:rPr>
          <w:rFonts w:ascii="Arial" w:cs="Arial" w:eastAsia="Arial" w:hAnsi="Arial"/>
          <w:sz w:val="22"/>
          <w:szCs w:val="22"/>
          <w:b w:val="1"/>
          <w:bCs w:val="1"/>
          <w:color w:val="auto"/>
        </w:rPr>
        <w:t>March 31, 2017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6"/>
        </w:trPr>
        <w:tc>
          <w:tcPr>
            <w:tcW w:w="34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Rate</w:t>
            </w:r>
            <w:r>
              <w:rPr>
                <w:rFonts w:ascii="Arial" w:cs="Arial" w:eastAsia="Arial" w:hAnsi="Arial"/>
                <w:sz w:val="14"/>
                <w:szCs w:val="14"/>
                <w:b w:val="1"/>
                <w:bCs w:val="1"/>
                <w:color w:val="auto"/>
                <w:w w:val="91"/>
                <w:vertAlign w:val="superscript"/>
              </w:rPr>
              <w:t>(1)</w:t>
            </w:r>
          </w:p>
        </w:tc>
        <w:tc>
          <w:tcPr>
            <w:tcW w:w="14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Members' Equity</w:t>
            </w: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Corporate Bank Loans</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80"/>
              <w:spacing w:after="0"/>
              <w:rPr>
                <w:sz w:val="20"/>
                <w:szCs w:val="20"/>
                <w:color w:val="auto"/>
              </w:rPr>
            </w:pPr>
            <w:r>
              <w:rPr>
                <w:rFonts w:ascii="Arial" w:cs="Arial" w:eastAsia="Arial" w:hAnsi="Arial"/>
                <w:sz w:val="18"/>
                <w:szCs w:val="18"/>
                <w:b w:val="1"/>
                <w:bCs w:val="1"/>
                <w:color w:val="auto"/>
              </w:rPr>
              <w:t>United States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Aerospace &amp; Defense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American Scaffold Holdings</w:t>
            </w:r>
          </w:p>
        </w:tc>
        <w:tc>
          <w:tcPr>
            <w:tcW w:w="960" w:type="dxa"/>
            <w:vAlign w:val="bottom"/>
          </w:tcPr>
          <w:p>
            <w:pPr>
              <w:jc w:val="right"/>
              <w:spacing w:after="0"/>
              <w:rPr>
                <w:sz w:val="20"/>
                <w:szCs w:val="20"/>
                <w:color w:val="auto"/>
              </w:rPr>
            </w:pPr>
            <w:r>
              <w:rPr>
                <w:rFonts w:ascii="Arial" w:cs="Arial" w:eastAsia="Arial" w:hAnsi="Arial"/>
                <w:sz w:val="18"/>
                <w:szCs w:val="18"/>
                <w:color w:val="auto"/>
              </w:rPr>
              <w:t>3/31/2022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$ 2,925,000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2,887,177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2,910,375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3.66%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Hunter Defense Technologies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8/5/2019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2,703,947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2,514,671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3.17%</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Automobile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Highline Aftermarket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L+4.25%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3,033,900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3.82%</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Safe Guard</w:t>
            </w:r>
          </w:p>
        </w:tc>
        <w:tc>
          <w:tcPr>
            <w:tcW w:w="960" w:type="dxa"/>
            <w:vAlign w:val="bottom"/>
          </w:tcPr>
          <w:p>
            <w:pPr>
              <w:jc w:val="right"/>
              <w:spacing w:after="0"/>
              <w:rPr>
                <w:sz w:val="20"/>
                <w:szCs w:val="20"/>
                <w:color w:val="auto"/>
              </w:rPr>
            </w:pPr>
            <w:r>
              <w:rPr>
                <w:rFonts w:ascii="Arial" w:cs="Arial" w:eastAsia="Arial" w:hAnsi="Arial"/>
                <w:sz w:val="18"/>
                <w:szCs w:val="18"/>
                <w:color w:val="auto"/>
              </w:rPr>
              <w:t>3/31/2024</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3,250,000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3,152,500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3,225,625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4.06%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Services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Ahead, LLC</w:t>
            </w:r>
          </w:p>
        </w:tc>
        <w:tc>
          <w:tcPr>
            <w:tcW w:w="960" w:type="dxa"/>
            <w:vAlign w:val="bottom"/>
          </w:tcPr>
          <w:p>
            <w:pPr>
              <w:jc w:val="right"/>
              <w:spacing w:after="0"/>
              <w:rPr>
                <w:sz w:val="20"/>
                <w:szCs w:val="20"/>
                <w:color w:val="auto"/>
              </w:rPr>
            </w:pPr>
            <w:r>
              <w:rPr>
                <w:rFonts w:ascii="Arial" w:cs="Arial" w:eastAsia="Arial" w:hAnsi="Arial"/>
                <w:sz w:val="18"/>
                <w:szCs w:val="18"/>
                <w:color w:val="auto"/>
              </w:rPr>
              <w:t>11/2/2020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4,687,500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4,585,981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4,640,625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5.84%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Ansira Partners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3,884,092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3,893,523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4.90%</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iEnergizer</w:t>
            </w:r>
          </w:p>
        </w:tc>
        <w:tc>
          <w:tcPr>
            <w:tcW w:w="960" w:type="dxa"/>
            <w:vAlign w:val="bottom"/>
          </w:tcPr>
          <w:p>
            <w:pPr>
              <w:jc w:val="right"/>
              <w:spacing w:after="0"/>
              <w:rPr>
                <w:sz w:val="20"/>
                <w:szCs w:val="20"/>
                <w:color w:val="auto"/>
              </w:rPr>
            </w:pPr>
            <w:r>
              <w:rPr>
                <w:rFonts w:ascii="Arial" w:cs="Arial" w:eastAsia="Arial" w:hAnsi="Arial"/>
                <w:sz w:val="18"/>
                <w:szCs w:val="18"/>
                <w:color w:val="auto"/>
              </w:rPr>
              <w:t>5/1/2019</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6,567,046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6,217,720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6,542,748</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8.24%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IG Investments Holdings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2,480,570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2,469,439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2,507,856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3.16%</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Integro Parent Inc.</w:t>
            </w:r>
          </w:p>
        </w:tc>
        <w:tc>
          <w:tcPr>
            <w:tcW w:w="960" w:type="dxa"/>
            <w:vAlign w:val="bottom"/>
          </w:tcPr>
          <w:p>
            <w:pPr>
              <w:jc w:val="right"/>
              <w:spacing w:after="0"/>
              <w:rPr>
                <w:sz w:val="20"/>
                <w:szCs w:val="20"/>
                <w:color w:val="auto"/>
              </w:rPr>
            </w:pPr>
            <w:r>
              <w:rPr>
                <w:rFonts w:ascii="Arial" w:cs="Arial" w:eastAsia="Arial" w:hAnsi="Arial"/>
                <w:sz w:val="18"/>
                <w:szCs w:val="18"/>
                <w:color w:val="auto"/>
              </w:rPr>
              <w:t>11/2/2022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4,938,924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4,790,756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4,963,618</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6.25%</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Mood Media Corporation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5/1/2019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4,503,289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4,427,043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4,483,024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5.64%</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Capital Equipment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Time Manufacturing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2,985,343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3.76%</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Consumer Products &amp; Retail</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PetValu</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4,987,438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6.28%</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Water Pik, Inc. - 1st lien</w:t>
            </w:r>
          </w:p>
        </w:tc>
        <w:tc>
          <w:tcPr>
            <w:tcW w:w="960" w:type="dxa"/>
            <w:vAlign w:val="bottom"/>
          </w:tcPr>
          <w:p>
            <w:pPr>
              <w:jc w:val="right"/>
              <w:spacing w:after="0"/>
              <w:rPr>
                <w:sz w:val="20"/>
                <w:szCs w:val="20"/>
                <w:color w:val="auto"/>
              </w:rPr>
            </w:pPr>
            <w:r>
              <w:rPr>
                <w:rFonts w:ascii="Arial" w:cs="Arial" w:eastAsia="Arial" w:hAnsi="Arial"/>
                <w:sz w:val="18"/>
                <w:szCs w:val="18"/>
                <w:color w:val="auto"/>
              </w:rPr>
              <w:t>7/8/2020</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L+4.75%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1,137,090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1,135,097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1,139,478</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1.43%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Water Pik, Inc. - 2nd lien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L+8.75%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1,789,474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1,756,683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1,802,895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2.27%</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Consumer Services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CMN.com (Higher Education)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6,912,500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6,785,531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6,785,531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8.54%</w:t>
            </w:r>
          </w:p>
        </w:tc>
        <w:tc>
          <w:tcPr>
            <w:tcW w:w="0" w:type="dxa"/>
            <w:vAlign w:val="bottom"/>
          </w:tcPr>
          <w:p>
            <w:pPr>
              <w:spacing w:after="0"/>
              <w:rPr>
                <w:sz w:val="1"/>
                <w:szCs w:val="1"/>
                <w:color w:val="auto"/>
              </w:rPr>
            </w:pPr>
          </w:p>
        </w:tc>
      </w:tr>
      <w:tr>
        <w:trPr>
          <w:trHeight w:val="202"/>
        </w:trPr>
        <w:tc>
          <w:tcPr>
            <w:tcW w:w="348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Prepaid Legal Services, Inc. - 2nd</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ind w:left="400"/>
              <w:spacing w:after="0"/>
              <w:rPr>
                <w:sz w:val="20"/>
                <w:szCs w:val="20"/>
                <w:color w:val="auto"/>
              </w:rPr>
            </w:pPr>
            <w:r>
              <w:rPr>
                <w:rFonts w:ascii="Arial" w:cs="Arial" w:eastAsia="Arial" w:hAnsi="Arial"/>
                <w:sz w:val="18"/>
                <w:szCs w:val="18"/>
                <w:color w:val="auto"/>
              </w:rPr>
              <w:t>Lien</w:t>
            </w:r>
          </w:p>
        </w:tc>
        <w:tc>
          <w:tcPr>
            <w:tcW w:w="960" w:type="dxa"/>
            <w:vAlign w:val="bottom"/>
          </w:tcPr>
          <w:p>
            <w:pPr>
              <w:jc w:val="right"/>
              <w:spacing w:after="0"/>
              <w:rPr>
                <w:sz w:val="20"/>
                <w:szCs w:val="20"/>
                <w:color w:val="auto"/>
              </w:rPr>
            </w:pPr>
            <w:r>
              <w:rPr>
                <w:rFonts w:ascii="Arial" w:cs="Arial" w:eastAsia="Arial" w:hAnsi="Arial"/>
                <w:sz w:val="18"/>
                <w:szCs w:val="18"/>
                <w:color w:val="auto"/>
              </w:rPr>
              <w:t>7/1/2020</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L+9.00%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405,000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395,663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407,349</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0.51%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Prepaid Legal Services, Inc. - 1st Lien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7/1/2019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4,474,279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4,470,626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4,507,836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5.68%</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SRP Companies</w:t>
            </w:r>
          </w:p>
        </w:tc>
        <w:tc>
          <w:tcPr>
            <w:tcW w:w="960" w:type="dxa"/>
            <w:vAlign w:val="bottom"/>
          </w:tcPr>
          <w:p>
            <w:pPr>
              <w:jc w:val="right"/>
              <w:spacing w:after="0"/>
              <w:rPr>
                <w:sz w:val="20"/>
                <w:szCs w:val="20"/>
                <w:color w:val="auto"/>
              </w:rPr>
            </w:pPr>
            <w:r>
              <w:rPr>
                <w:rFonts w:ascii="Arial" w:cs="Arial" w:eastAsia="Arial" w:hAnsi="Arial"/>
                <w:sz w:val="18"/>
                <w:szCs w:val="18"/>
                <w:color w:val="auto"/>
              </w:rPr>
              <w:t>9/8/2023</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5,975,275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5,106,492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5,132,212</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6.46%</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Containers &amp; Packaging</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ICSH, Inc.</w:t>
            </w:r>
          </w:p>
        </w:tc>
        <w:tc>
          <w:tcPr>
            <w:tcW w:w="960" w:type="dxa"/>
            <w:vAlign w:val="bottom"/>
          </w:tcPr>
          <w:p>
            <w:pPr>
              <w:jc w:val="right"/>
              <w:spacing w:after="0"/>
              <w:rPr>
                <w:sz w:val="20"/>
                <w:szCs w:val="20"/>
                <w:color w:val="auto"/>
              </w:rPr>
            </w:pPr>
            <w:r>
              <w:rPr>
                <w:rFonts w:ascii="Arial" w:cs="Arial" w:eastAsia="Arial" w:hAnsi="Arial"/>
                <w:sz w:val="18"/>
                <w:szCs w:val="18"/>
                <w:color w:val="auto"/>
              </w:rPr>
              <w:t>12/31/2018</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L+5.75%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6,698,007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6,670,865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6,685,051</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8.42%</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Services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iPayment, Inc.</w:t>
            </w:r>
          </w:p>
        </w:tc>
        <w:tc>
          <w:tcPr>
            <w:tcW w:w="960" w:type="dxa"/>
            <w:vAlign w:val="bottom"/>
          </w:tcPr>
          <w:p>
            <w:pPr>
              <w:jc w:val="right"/>
              <w:spacing w:after="0"/>
              <w:rPr>
                <w:sz w:val="20"/>
                <w:szCs w:val="20"/>
                <w:color w:val="auto"/>
              </w:rPr>
            </w:pPr>
            <w:r>
              <w:rPr>
                <w:rFonts w:ascii="Arial" w:cs="Arial" w:eastAsia="Arial" w:hAnsi="Arial"/>
                <w:sz w:val="18"/>
                <w:szCs w:val="18"/>
                <w:color w:val="auto"/>
              </w:rPr>
              <w:t>5/8/2017</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6,964,029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6,947,920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6,929,209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8.73%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TaxACT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1,269,915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1,269,915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1.60%</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Food, Agriculture &amp; Beverage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California Pizza Kitchen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6,969,987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6,925,133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6,971,381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8.78%</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Gaming &amp; leisure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Redbox Automated Retail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5,958,692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6,132,963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7.72%</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Healthcare Services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Beaver-Visitec International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4,928,997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6.26%</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PT Network</w:t>
            </w:r>
          </w:p>
        </w:tc>
        <w:tc>
          <w:tcPr>
            <w:tcW w:w="960" w:type="dxa"/>
            <w:vAlign w:val="bottom"/>
          </w:tcPr>
          <w:p>
            <w:pPr>
              <w:jc w:val="right"/>
              <w:spacing w:after="0"/>
              <w:rPr>
                <w:sz w:val="20"/>
                <w:szCs w:val="20"/>
                <w:color w:val="auto"/>
              </w:rPr>
            </w:pPr>
            <w:r>
              <w:rPr>
                <w:rFonts w:ascii="Arial" w:cs="Arial" w:eastAsia="Arial" w:hAnsi="Arial"/>
                <w:sz w:val="18"/>
                <w:szCs w:val="18"/>
                <w:color w:val="auto"/>
              </w:rPr>
              <w:t>11/30/2021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4,990,972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3,883,735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3,883,735</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4.89%</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Hotel, gaming &amp; leisure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VIP Cinema</w:t>
            </w:r>
          </w:p>
        </w:tc>
        <w:tc>
          <w:tcPr>
            <w:tcW w:w="960" w:type="dxa"/>
            <w:vAlign w:val="bottom"/>
          </w:tcPr>
          <w:p>
            <w:pPr>
              <w:jc w:val="right"/>
              <w:spacing w:after="0"/>
              <w:rPr>
                <w:sz w:val="20"/>
                <w:szCs w:val="20"/>
                <w:color w:val="auto"/>
              </w:rPr>
            </w:pPr>
            <w:r>
              <w:rPr>
                <w:rFonts w:ascii="Arial" w:cs="Arial" w:eastAsia="Arial" w:hAnsi="Arial"/>
                <w:sz w:val="18"/>
                <w:szCs w:val="18"/>
                <w:color w:val="auto"/>
              </w:rPr>
              <w:t>3/31/2023</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4,975,275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5,059,500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6.37%</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Industrial products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LTI Holdings, Inc.</w:t>
            </w:r>
          </w:p>
        </w:tc>
        <w:tc>
          <w:tcPr>
            <w:tcW w:w="960" w:type="dxa"/>
            <w:vAlign w:val="bottom"/>
          </w:tcPr>
          <w:p>
            <w:pPr>
              <w:jc w:val="right"/>
              <w:spacing w:after="0"/>
              <w:rPr>
                <w:sz w:val="20"/>
                <w:szCs w:val="20"/>
                <w:color w:val="auto"/>
              </w:rPr>
            </w:pPr>
            <w:r>
              <w:rPr>
                <w:rFonts w:ascii="Arial" w:cs="Arial" w:eastAsia="Arial" w:hAnsi="Arial"/>
                <w:sz w:val="18"/>
                <w:szCs w:val="18"/>
                <w:color w:val="auto"/>
              </w:rPr>
              <w:t>4/17/2022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L+4.25%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1,974,874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1,780,886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1,974,874</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2.49%</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MWI Holdings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6/29/2020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4,962,500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5,006,170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Sigma Electric</w:t>
            </w:r>
          </w:p>
        </w:tc>
        <w:tc>
          <w:tcPr>
            <w:tcW w:w="960" w:type="dxa"/>
            <w:vAlign w:val="bottom"/>
          </w:tcPr>
          <w:p>
            <w:pPr>
              <w:jc w:val="right"/>
              <w:spacing w:after="0"/>
              <w:rPr>
                <w:sz w:val="20"/>
                <w:szCs w:val="20"/>
                <w:color w:val="auto"/>
              </w:rPr>
            </w:pPr>
            <w:r>
              <w:rPr>
                <w:rFonts w:ascii="Arial" w:cs="Arial" w:eastAsia="Arial" w:hAnsi="Arial"/>
                <w:sz w:val="18"/>
                <w:szCs w:val="18"/>
                <w:color w:val="auto"/>
              </w:rPr>
              <w:t>8/31/2021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L+7.50%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4,886,637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4,886,637</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6.15%</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Terra Millennium</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6,956,250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6,889,423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6,956,250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8.76%</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80"/>
              <w:spacing w:after="0"/>
              <w:rPr>
                <w:sz w:val="20"/>
                <w:szCs w:val="20"/>
                <w:color w:val="auto"/>
              </w:rPr>
            </w:pPr>
            <w:r>
              <w:rPr>
                <w:rFonts w:ascii="Arial" w:cs="Arial" w:eastAsia="Arial" w:hAnsi="Arial"/>
                <w:sz w:val="18"/>
                <w:szCs w:val="18"/>
                <w:b w:val="1"/>
                <w:bCs w:val="1"/>
                <w:color w:val="auto"/>
              </w:rPr>
              <w:t>Media, Marketing &amp; Entertainment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Contextmedia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2.49%</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Imagine! Print Solutions</w:t>
            </w:r>
          </w:p>
        </w:tc>
        <w:tc>
          <w:tcPr>
            <w:tcW w:w="960" w:type="dxa"/>
            <w:vAlign w:val="bottom"/>
          </w:tcPr>
          <w:p>
            <w:pPr>
              <w:jc w:val="right"/>
              <w:spacing w:after="0"/>
              <w:rPr>
                <w:sz w:val="20"/>
                <w:szCs w:val="20"/>
                <w:color w:val="auto"/>
              </w:rPr>
            </w:pPr>
            <w:r>
              <w:rPr>
                <w:rFonts w:ascii="Arial" w:cs="Arial" w:eastAsia="Arial" w:hAnsi="Arial"/>
                <w:sz w:val="18"/>
                <w:szCs w:val="18"/>
                <w:color w:val="auto"/>
              </w:rPr>
              <w:t>3/30/2022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3,565,489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3,526,760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3,610,057</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4.55%</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New Media Holdings II LLC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6,901,894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6,867,385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8.65%</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60"/>
              <w:spacing w:after="0"/>
              <w:rPr>
                <w:sz w:val="20"/>
                <w:szCs w:val="20"/>
                <w:color w:val="auto"/>
              </w:rPr>
            </w:pPr>
            <w:r>
              <w:rPr>
                <w:rFonts w:ascii="Arial" w:cs="Arial" w:eastAsia="Arial" w:hAnsi="Arial"/>
                <w:sz w:val="18"/>
                <w:szCs w:val="18"/>
                <w:color w:val="auto"/>
              </w:rPr>
              <w:t>Northstar Travel</w:t>
            </w:r>
          </w:p>
        </w:tc>
        <w:tc>
          <w:tcPr>
            <w:tcW w:w="960" w:type="dxa"/>
            <w:vAlign w:val="bottom"/>
          </w:tcPr>
          <w:p>
            <w:pPr>
              <w:jc w:val="right"/>
              <w:spacing w:after="0"/>
              <w:rPr>
                <w:sz w:val="20"/>
                <w:szCs w:val="20"/>
                <w:color w:val="auto"/>
              </w:rPr>
            </w:pPr>
            <w:r>
              <w:rPr>
                <w:rFonts w:ascii="Arial" w:cs="Arial" w:eastAsia="Arial" w:hAnsi="Arial"/>
                <w:sz w:val="18"/>
                <w:szCs w:val="18"/>
                <w:color w:val="auto"/>
              </w:rPr>
              <w:t>6/7/2022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4,090,625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4,036,655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4,070,172</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5.13%</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Tweddle Group</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10/24/2022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2,506,731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2,525,531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I-45 SLF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Schedule of Investments</w:t>
      </w:r>
    </w:p>
    <w:p>
      <w:pPr>
        <w:jc w:val="center"/>
        <w:spacing w:after="0"/>
        <w:rPr>
          <w:sz w:val="20"/>
          <w:szCs w:val="20"/>
          <w:color w:val="auto"/>
        </w:rPr>
      </w:pPr>
      <w:r>
        <w:rPr>
          <w:rFonts w:ascii="Arial" w:cs="Arial" w:eastAsia="Arial" w:hAnsi="Arial"/>
          <w:sz w:val="22"/>
          <w:szCs w:val="22"/>
          <w:b w:val="1"/>
          <w:bCs w:val="1"/>
          <w:color w:val="auto"/>
        </w:rPr>
        <w:t>March 31, 2017</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gridSpan w:val="3"/>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gridSpan w:val="3"/>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Rate</w:t>
            </w:r>
            <w:r>
              <w:rPr>
                <w:rFonts w:ascii="Arial" w:cs="Arial" w:eastAsia="Arial" w:hAnsi="Arial"/>
                <w:sz w:val="14"/>
                <w:szCs w:val="14"/>
                <w:b w:val="1"/>
                <w:bCs w:val="1"/>
                <w:color w:val="auto"/>
                <w:w w:val="91"/>
                <w:vertAlign w:val="superscript"/>
              </w:rPr>
              <w:t>(1)</w:t>
            </w:r>
          </w:p>
        </w:tc>
        <w:tc>
          <w:tcPr>
            <w:tcW w:w="1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Members'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Paper &amp; forest products</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Digital Room</w:t>
            </w:r>
          </w:p>
        </w:tc>
        <w:tc>
          <w:tcPr>
            <w:tcW w:w="940" w:type="dxa"/>
            <w:vAlign w:val="bottom"/>
          </w:tcPr>
          <w:p>
            <w:pPr>
              <w:jc w:val="right"/>
              <w:spacing w:after="0"/>
              <w:rPr>
                <w:sz w:val="20"/>
                <w:szCs w:val="20"/>
                <w:color w:val="auto"/>
              </w:rPr>
            </w:pPr>
            <w:r>
              <w:rPr>
                <w:rFonts w:ascii="Arial" w:cs="Arial" w:eastAsia="Arial" w:hAnsi="Arial"/>
                <w:sz w:val="18"/>
                <w:szCs w:val="18"/>
                <w:color w:val="auto"/>
              </w:rPr>
              <w:t>5/28/2023</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L+10.00%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$ 4,000,000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3,924,128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3,924,128</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Retail</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Turning Point Brands</w:t>
            </w:r>
          </w:p>
        </w:tc>
        <w:tc>
          <w:tcPr>
            <w:tcW w:w="940" w:type="dxa"/>
            <w:vAlign w:val="bottom"/>
          </w:tcPr>
          <w:p>
            <w:pPr>
              <w:jc w:val="right"/>
              <w:spacing w:after="0"/>
              <w:rPr>
                <w:sz w:val="20"/>
                <w:szCs w:val="20"/>
                <w:color w:val="auto"/>
              </w:rPr>
            </w:pPr>
            <w:r>
              <w:rPr>
                <w:rFonts w:ascii="Arial" w:cs="Arial" w:eastAsia="Arial" w:hAnsi="Arial"/>
                <w:sz w:val="18"/>
                <w:szCs w:val="18"/>
                <w:color w:val="auto"/>
              </w:rPr>
              <w:t>12/31/2021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4,950,846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4,950,846</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Software &amp; IT Services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Digital River</w:t>
            </w:r>
          </w:p>
        </w:tc>
        <w:tc>
          <w:tcPr>
            <w:tcW w:w="940" w:type="dxa"/>
            <w:vAlign w:val="bottom"/>
          </w:tcPr>
          <w:p>
            <w:pPr>
              <w:jc w:val="right"/>
              <w:spacing w:after="0"/>
              <w:rPr>
                <w:sz w:val="20"/>
                <w:szCs w:val="20"/>
                <w:color w:val="auto"/>
              </w:rPr>
            </w:pPr>
            <w:r>
              <w:rPr>
                <w:rFonts w:ascii="Arial" w:cs="Arial" w:eastAsia="Arial" w:hAnsi="Arial"/>
                <w:sz w:val="18"/>
                <w:szCs w:val="18"/>
                <w:color w:val="auto"/>
              </w:rPr>
              <w:t>2/12/2021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L+6.50%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7,015,452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6,988,236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7,050,529</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InfoGroup Inc. - 1st Lien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5/28/2018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L+5.50%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InfoGroup Inc. - 1st Lien</w:t>
            </w:r>
          </w:p>
        </w:tc>
        <w:tc>
          <w:tcPr>
            <w:tcW w:w="940" w:type="dxa"/>
            <w:vAlign w:val="bottom"/>
          </w:tcPr>
          <w:p>
            <w:pPr>
              <w:jc w:val="right"/>
              <w:spacing w:after="0"/>
              <w:rPr>
                <w:sz w:val="20"/>
                <w:szCs w:val="20"/>
                <w:color w:val="auto"/>
              </w:rPr>
            </w:pPr>
            <w:r>
              <w:rPr>
                <w:rFonts w:ascii="Arial" w:cs="Arial" w:eastAsia="Arial" w:hAnsi="Arial"/>
                <w:sz w:val="18"/>
                <w:szCs w:val="18"/>
                <w:color w:val="auto"/>
              </w:rPr>
              <w:t>5/28/2018</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L+5.00%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5,913,550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5,813,451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5,907,637</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Technology Products &amp; Components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260"/>
              <w:spacing w:after="0"/>
              <w:rPr>
                <w:sz w:val="20"/>
                <w:szCs w:val="20"/>
                <w:color w:val="auto"/>
              </w:rPr>
            </w:pPr>
            <w:r>
              <w:rPr>
                <w:rFonts w:ascii="Arial" w:cs="Arial" w:eastAsia="Arial" w:hAnsi="Arial"/>
                <w:sz w:val="18"/>
                <w:szCs w:val="18"/>
                <w:color w:val="auto"/>
              </w:rPr>
              <w:t>Array Technologies</w:t>
            </w:r>
          </w:p>
        </w:tc>
        <w:tc>
          <w:tcPr>
            <w:tcW w:w="940" w:type="dxa"/>
            <w:vAlign w:val="bottom"/>
          </w:tcPr>
          <w:p>
            <w:pPr>
              <w:jc w:val="right"/>
              <w:spacing w:after="0"/>
              <w:rPr>
                <w:sz w:val="20"/>
                <w:szCs w:val="20"/>
                <w:color w:val="auto"/>
              </w:rPr>
            </w:pPr>
            <w:r>
              <w:rPr>
                <w:rFonts w:ascii="Arial" w:cs="Arial" w:eastAsia="Arial" w:hAnsi="Arial"/>
                <w:sz w:val="18"/>
                <w:szCs w:val="18"/>
                <w:color w:val="auto"/>
              </w:rPr>
              <w:t>6/22/2021</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L+7.25%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4,625,000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4,542,126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4,613,438</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ATX Networks Corp.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4,924,812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4,877,594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4,875,564</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80"/>
              <w:spacing w:after="0"/>
              <w:rPr>
                <w:sz w:val="20"/>
                <w:szCs w:val="20"/>
                <w:color w:val="auto"/>
              </w:rPr>
            </w:pPr>
            <w:r>
              <w:rPr>
                <w:rFonts w:ascii="Arial" w:cs="Arial" w:eastAsia="Arial" w:hAnsi="Arial"/>
                <w:sz w:val="18"/>
                <w:szCs w:val="18"/>
                <w:b w:val="1"/>
                <w:bCs w:val="1"/>
                <w:color w:val="auto"/>
              </w:rPr>
              <w:t>Telecommunications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American Teleconferencing - 1st Lien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12/8/2021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5,711,302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5,243,685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5,700,450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180"/>
              <w:spacing w:after="0"/>
              <w:rPr>
                <w:sz w:val="20"/>
                <w:szCs w:val="20"/>
                <w:color w:val="auto"/>
              </w:rPr>
            </w:pPr>
            <w:r>
              <w:rPr>
                <w:rFonts w:ascii="Arial" w:cs="Arial" w:eastAsia="Arial" w:hAnsi="Arial"/>
                <w:sz w:val="18"/>
                <w:szCs w:val="18"/>
                <w:color w:val="auto"/>
              </w:rPr>
              <w:t>American Teleconferencing - 2nd Lien</w:t>
            </w:r>
          </w:p>
        </w:tc>
        <w:tc>
          <w:tcPr>
            <w:tcW w:w="940" w:type="dxa"/>
            <w:vAlign w:val="bottom"/>
          </w:tcPr>
          <w:p>
            <w:pPr>
              <w:jc w:val="right"/>
              <w:spacing w:after="0"/>
              <w:rPr>
                <w:sz w:val="20"/>
                <w:szCs w:val="20"/>
                <w:color w:val="auto"/>
              </w:rPr>
            </w:pPr>
            <w:r>
              <w:rPr>
                <w:rFonts w:ascii="Arial" w:cs="Arial" w:eastAsia="Arial" w:hAnsi="Arial"/>
                <w:sz w:val="18"/>
                <w:szCs w:val="18"/>
                <w:color w:val="auto"/>
              </w:rPr>
              <w:t>6/6/2022</w:t>
            </w:r>
          </w:p>
        </w:tc>
        <w:tc>
          <w:tcPr>
            <w:tcW w:w="1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L+9.50%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1,708,571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1,643,620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1,674,400</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Polycom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6,445,833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6,445,833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6,547,678</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80"/>
              <w:spacing w:after="0"/>
              <w:rPr>
                <w:sz w:val="20"/>
                <w:szCs w:val="20"/>
                <w:color w:val="auto"/>
              </w:rPr>
            </w:pPr>
            <w:r>
              <w:rPr>
                <w:rFonts w:ascii="Arial" w:cs="Arial" w:eastAsia="Arial" w:hAnsi="Arial"/>
                <w:sz w:val="18"/>
                <w:szCs w:val="18"/>
                <w:b w:val="1"/>
                <w:bCs w:val="1"/>
                <w:color w:val="auto"/>
              </w:rPr>
              <w:t>Transportation &amp; Logistics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US Joiner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4/16/2020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L+6.00%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4,791,601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4,737,062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4,767,643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tcPr>
          <w:p>
            <w:pPr>
              <w:ind w:left="80"/>
              <w:spacing w:after="0"/>
              <w:rPr>
                <w:sz w:val="20"/>
                <w:szCs w:val="20"/>
                <w:color w:val="auto"/>
              </w:rPr>
            </w:pPr>
            <w:r>
              <w:rPr>
                <w:rFonts w:ascii="Arial" w:cs="Arial" w:eastAsia="Arial" w:hAnsi="Arial"/>
                <w:sz w:val="18"/>
                <w:szCs w:val="18"/>
                <w:b w:val="1"/>
                <w:bCs w:val="1"/>
                <w:color w:val="auto"/>
              </w:rPr>
              <w:t>Utilities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Pike Corp.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L+8.00%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1,017,500</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1.28%</w:t>
            </w:r>
          </w:p>
        </w:tc>
        <w:tc>
          <w:tcPr>
            <w:tcW w:w="0" w:type="dxa"/>
            <w:vAlign w:val="bottom"/>
          </w:tcPr>
          <w:p>
            <w:pPr>
              <w:spacing w:after="0"/>
              <w:rPr>
                <w:sz w:val="1"/>
                <w:szCs w:val="1"/>
                <w:color w:val="auto"/>
              </w:rPr>
            </w:pPr>
          </w:p>
        </w:tc>
      </w:tr>
      <w:tr>
        <w:trPr>
          <w:trHeight w:val="217"/>
        </w:trPr>
        <w:tc>
          <w:tcPr>
            <w:tcW w:w="350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Investments - (cost $197,494,528)</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197,494,528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200,242,690</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252.13%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right="20" w:hanging="329"/>
        <w:spacing w:after="0" w:line="26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majority of investments bear interest at a rate that may be determined by reference to London Interbank Offered Rate (“LIBOR” or “L”) which reset daily, monthly, quarterly, or semiannually. For each investment, the Company has provided the spread over LIBOR in effect at March 31, 2017. Certain investments are subject to a LIBOR interest rate floor.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September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2015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incorporation)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March 31, 2017</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Interest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16,732,879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12,293,686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2,368,470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Fees and other income</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332,752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investment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17,065,631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12,541,556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2,400,871</w:t>
            </w:r>
          </w:p>
        </w:tc>
        <w:tc>
          <w:tcPr>
            <w:tcW w:w="0" w:type="dxa"/>
            <w:vAlign w:val="bottom"/>
          </w:tcPr>
          <w:p>
            <w:pPr>
              <w:spacing w:after="0"/>
              <w:rPr>
                <w:sz w:val="1"/>
                <w:szCs w:val="1"/>
                <w:color w:val="auto"/>
              </w:rPr>
            </w:pPr>
          </w:p>
        </w:tc>
      </w:tr>
      <w:tr>
        <w:trPr>
          <w:trHeight w:val="432"/>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Expenses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5,202,715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Amortization of facility fee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487,503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374,659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Administrative agent fee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Administrative fee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150,362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120,543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Unused facility fee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Organizational expense</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Professional fees and other</w:t>
            </w:r>
          </w:p>
        </w:tc>
        <w:tc>
          <w:tcPr>
            <w:tcW w:w="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208,225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236,372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4,399,757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688,582</w:t>
            </w:r>
          </w:p>
        </w:tc>
        <w:tc>
          <w:tcPr>
            <w:tcW w:w="0" w:type="dxa"/>
            <w:vAlign w:val="bottom"/>
          </w:tcPr>
          <w:p>
            <w:pPr>
              <w:spacing w:after="0"/>
              <w:rPr>
                <w:sz w:val="1"/>
                <w:szCs w:val="1"/>
                <w:color w:val="auto"/>
              </w:rPr>
            </w:pPr>
          </w:p>
        </w:tc>
      </w:tr>
      <w:tr>
        <w:trPr>
          <w:trHeight w:val="216"/>
        </w:trPr>
        <w:tc>
          <w:tcPr>
            <w:tcW w:w="5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10,452,600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8,141,799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1,712,289</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w:t>
            </w:r>
          </w:p>
        </w:tc>
        <w:tc>
          <w:tcPr>
            <w:tcW w:w="9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Net realized gain on investments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1,660,104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1,653,143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Net change in unrealized appreciation (depreciation) on investments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(614,866)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gain (loss) on investments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1,045,238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5,022,816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11,497,838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13,164,615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gridSpan w:val="2"/>
            <w:shd w:val="clear" w:color="auto" w:fill="CCEEFF"/>
          </w:tcPr>
          <w:p>
            <w:pPr>
              <w:spacing w:after="0"/>
              <w:rPr>
                <w:sz w:val="2"/>
                <w:szCs w:val="2"/>
                <w:color w:val="auto"/>
              </w:rPr>
            </w:pPr>
          </w:p>
        </w:tc>
        <w:tc>
          <w:tcPr>
            <w:tcW w:w="13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400" w:type="dxa"/>
            <w:vAlign w:val="bottom"/>
            <w:gridSpan w:val="4"/>
          </w:tcPr>
          <w:p>
            <w:pPr>
              <w:jc w:val="right"/>
              <w:spacing w:after="0"/>
              <w:rPr>
                <w:sz w:val="20"/>
                <w:szCs w:val="20"/>
                <w:color w:val="auto"/>
              </w:rPr>
            </w:pPr>
            <w:r>
              <w:rPr>
                <w:rFonts w:ascii="Arial" w:cs="Arial" w:eastAsia="Arial" w:hAnsi="Arial"/>
                <w:sz w:val="18"/>
                <w:szCs w:val="18"/>
                <w:color w:val="auto"/>
              </w:rPr>
              <w:t>See accompanying notes to consolidated financial statements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2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2" w:right="7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Members’ Equity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September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2015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4"/>
              </w:rPr>
              <w:t>incorporation)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March 31, 2017</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 beginning balance</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79,417,700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45,357,231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Contributions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(11,869,457)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(9,104,146)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(1,775,474)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72,548,243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66,253,085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44,224,526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income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10,452,600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8,141,799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Net realized gain on investments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1,660,104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1,653,143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Net change in unrealized appreciation (depreciation) on investments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(614,866)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increase in members' equity resulting from operations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11,497,838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13,164,615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 ending balance</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84,046,081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79,417,700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45,357,231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gridSpan w:val="2"/>
            <w:shd w:val="clear" w:color="auto" w:fill="CCEEFF"/>
          </w:tcPr>
          <w:p>
            <w:pPr>
              <w:spacing w:after="0"/>
              <w:rPr>
                <w:sz w:val="2"/>
                <w:szCs w:val="2"/>
                <w:color w:val="auto"/>
              </w:rPr>
            </w:pPr>
          </w:p>
        </w:tc>
        <w:tc>
          <w:tcPr>
            <w:tcW w:w="13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400" w:type="dxa"/>
            <w:vAlign w:val="bottom"/>
            <w:gridSpan w:val="4"/>
          </w:tcPr>
          <w:p>
            <w:pPr>
              <w:jc w:val="center"/>
              <w:ind w:left="29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20" w:type="dxa"/>
            <w:vAlign w:val="bottom"/>
          </w:tcPr>
          <w:p>
            <w:pPr>
              <w:jc w:val="right"/>
              <w:ind w:right="69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2" w:right="739" w:bottom="1440"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0"/>
              </w:rPr>
              <w:t>September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3"/>
              </w:rPr>
              <w:t>2015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incorporation)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8"/>
              </w:rPr>
              <w:t>March 31, 2017</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Net increase in members' equity resulting from operations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11,497,838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13,164,615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1,132,705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Adjustments to reconcile net increase in members' equity resulting from</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operations to net cash used in operating activities: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Net realized gain on investments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(1,660,104)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(1,653,143)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Net change in unrealized (appreciation) depreciation on investments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(3,369,673)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Amortization of premiums and discounts on investments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(710,236)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(1,084,012)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(135,400,139)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(161,951,431)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(101,973,261)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sales / paydowns of investments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116,591,458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67,029,872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broker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(338,769)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for securities purchased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3,754,809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41,883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(16,027,039)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(85,414,914)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(90,344,231)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Borrowings under credit facility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credit facility</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Deferred financing costs paid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(939,006)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(974,024)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Distributions</w:t>
            </w: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(11,809,424)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(7,699,178)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13,251,570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95,326,798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9,911,884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beginning of period</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12,092,653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2,180,769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end of period</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9,317,184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12,092,653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40"/>
              <w:spacing w:after="0"/>
              <w:rPr>
                <w:sz w:val="20"/>
                <w:szCs w:val="20"/>
                <w:color w:val="auto"/>
              </w:rPr>
            </w:pPr>
            <w:r>
              <w:rPr>
                <w:rFonts w:ascii="Arial" w:cs="Arial" w:eastAsia="Arial" w:hAnsi="Arial"/>
                <w:sz w:val="18"/>
                <w:szCs w:val="18"/>
                <w:color w:val="auto"/>
              </w:rPr>
              <w:t>Cash paid during the period for interest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5,705,952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3,133,149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280,744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payable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2,890,475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66" w:name="page167"/>
    <w:bookmarkEnd w:id="166"/>
    <w:p>
      <w:pPr>
        <w:jc w:val="center"/>
        <w:ind w:right="-8"/>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ind w:left="369" w:hanging="369"/>
        <w:spacing w:after="0"/>
        <w:tabs>
          <w:tab w:leader="none" w:pos="369"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7"/>
          <w:szCs w:val="17"/>
          <w:color w:val="auto"/>
        </w:rPr>
        <w:t>I-45 SLF LLC (the “Company”) was organized as a Delaware limited liability company on September 3, 2015 by the filing of a certificate of formation (the “Certificate”) with the Office of the Secretary of State of the State of Delaware under and pursuant to the Delaware Limited Liability Company Act (the “Act”). The Company is a joint venture between Main Street Capital Corporation and Capital Southwest Corporation. Capital Southwest Corporation owns 80.0% of the Company and has a profits interest of 75.6%, while Main Street Capital Corporation owns 20.0% and has a profits interest of 24.4%. The initial equity capital commitment to I-45 SLF totaled $85 million, consisting of $68 million from Capital Southwest Corporation and $17 million from Main Street Capital Corporation, of which, $81 million, or 95.3%, in total was funded as of March 31, 2018 and $76 million, or 89.4% was funded as of March 31, 2017.</w:t>
      </w:r>
    </w:p>
    <w:p>
      <w:pPr>
        <w:spacing w:after="0" w:line="178" w:lineRule="exact"/>
        <w:rPr>
          <w:sz w:val="20"/>
          <w:szCs w:val="20"/>
          <w:color w:val="auto"/>
        </w:rPr>
      </w:pPr>
    </w:p>
    <w:p>
      <w:pPr>
        <w:jc w:val="both"/>
        <w:ind w:left="9" w:firstLine="648"/>
        <w:spacing w:after="0" w:line="312" w:lineRule="auto"/>
        <w:rPr>
          <w:sz w:val="20"/>
          <w:szCs w:val="20"/>
          <w:color w:val="auto"/>
        </w:rPr>
      </w:pPr>
      <w:r>
        <w:rPr>
          <w:rFonts w:ascii="Arial" w:cs="Arial" w:eastAsia="Arial" w:hAnsi="Arial"/>
          <w:sz w:val="16"/>
          <w:szCs w:val="16"/>
          <w:color w:val="auto"/>
        </w:rPr>
        <w:t>On September 18, 2015, the Company’s wholly-owned and consolidated subsidiary, I-45 SPV LLC (the “SPV”) was organized as a Delaware limited liability company by the filing of a certificate of formation with the Office of the Secretary of State of the State of Delaware. The Company is the sole equity member of the SPV. All intercompany balances and transactions have been eliminated in consolidation.</w:t>
      </w:r>
    </w:p>
    <w:p>
      <w:pPr>
        <w:spacing w:after="0" w:line="147" w:lineRule="exact"/>
        <w:rPr>
          <w:sz w:val="20"/>
          <w:szCs w:val="20"/>
          <w:color w:val="auto"/>
        </w:rPr>
      </w:pPr>
    </w:p>
    <w:p>
      <w:pPr>
        <w:jc w:val="both"/>
        <w:ind w:left="9" w:firstLine="648"/>
        <w:spacing w:after="0" w:line="312" w:lineRule="auto"/>
        <w:rPr>
          <w:sz w:val="20"/>
          <w:szCs w:val="20"/>
          <w:color w:val="auto"/>
        </w:rPr>
      </w:pPr>
      <w:r>
        <w:rPr>
          <w:rFonts w:ascii="Arial" w:cs="Arial" w:eastAsia="Arial" w:hAnsi="Arial"/>
          <w:sz w:val="16"/>
          <w:szCs w:val="16"/>
          <w:color w:val="auto"/>
        </w:rPr>
        <w:t>The registered agent and office of the Company required by the Act to be maintained in the State of Delaware is The Corporation Trust Company, 1209 Orange Street, Wilmington, New Castle County, Delaware 19801. The principal office of the Company shall be located at such place within or without the State of Delaware, and the Company shall maintain such records, as the Members shall determine from time to time.</w:t>
      </w:r>
    </w:p>
    <w:p>
      <w:pPr>
        <w:spacing w:after="0" w:line="147"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left="9" w:firstLine="648"/>
        <w:spacing w:after="0" w:line="273" w:lineRule="auto"/>
        <w:rPr>
          <w:sz w:val="20"/>
          <w:szCs w:val="20"/>
          <w:color w:val="auto"/>
        </w:rPr>
      </w:pPr>
      <w:r>
        <w:rPr>
          <w:rFonts w:ascii="Arial" w:cs="Arial" w:eastAsia="Arial" w:hAnsi="Arial"/>
          <w:sz w:val="17"/>
          <w:szCs w:val="17"/>
          <w:color w:val="auto"/>
        </w:rPr>
        <w:t xml:space="preserve">The accounting and reporting policies of the Company conform with U.S. generally accepted accounting principles (“U.S. GAAP”) as detailed in the Financial Accounting Standards Board’s (“FASB”) Accounting Standards Codification (“ASC”). The Company is an investment company and follows the accounting and reporting guidance in FASB Topic 946 – </w:t>
      </w:r>
      <w:r>
        <w:rPr>
          <w:rFonts w:ascii="Arial" w:cs="Arial" w:eastAsia="Arial" w:hAnsi="Arial"/>
          <w:sz w:val="17"/>
          <w:szCs w:val="17"/>
          <w:i w:val="1"/>
          <w:iCs w:val="1"/>
          <w:color w:val="auto"/>
        </w:rPr>
        <w:t>Financial Services – Investment Companies</w:t>
      </w:r>
      <w:r>
        <w:rPr>
          <w:rFonts w:ascii="Arial" w:cs="Arial" w:eastAsia="Arial" w:hAnsi="Arial"/>
          <w:sz w:val="17"/>
          <w:szCs w:val="17"/>
          <w:color w:val="auto"/>
        </w:rPr>
        <w:t xml:space="preserve"> (“ASC Topic 946”). Financial statements prepared on a U.S. GAAP basis require management to make estimates and assumptions that affect the amounts and disclosures reported in the financial statements and accompanying notes. Such estimates and assumptions could change in the future as more information becomes known, which could impact the amounts reported and disclosed herein.</w:t>
      </w:r>
    </w:p>
    <w:p>
      <w:pPr>
        <w:spacing w:after="0" w:line="174" w:lineRule="exact"/>
        <w:rPr>
          <w:sz w:val="20"/>
          <w:szCs w:val="20"/>
          <w:color w:val="auto"/>
        </w:rPr>
      </w:pPr>
    </w:p>
    <w:p>
      <w:pPr>
        <w:ind w:left="369" w:hanging="369"/>
        <w:spacing w:after="0"/>
        <w:tabs>
          <w:tab w:leader="none" w:pos="369"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ind w:left="9" w:firstLine="648"/>
        <w:spacing w:after="0" w:line="264" w:lineRule="auto"/>
        <w:rPr>
          <w:sz w:val="20"/>
          <w:szCs w:val="20"/>
          <w:color w:val="auto"/>
        </w:rPr>
      </w:pPr>
      <w:r>
        <w:rPr>
          <w:rFonts w:ascii="Arial" w:cs="Arial" w:eastAsia="Arial" w:hAnsi="Arial"/>
          <w:sz w:val="18"/>
          <w:szCs w:val="18"/>
          <w:color w:val="auto"/>
        </w:rPr>
        <w:t xml:space="preserve">Investment transactions are accounted for on a trade-date basis. Premiums and discounts are amortized over the lives of the respective debt securities using the effective interest method. Investments that are held by the Company are stated at fair value in accordance with ASC Topic 820 –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Topic 820”).</w:t>
      </w:r>
    </w:p>
    <w:p>
      <w:pPr>
        <w:spacing w:after="0" w:line="181" w:lineRule="exact"/>
        <w:rPr>
          <w:sz w:val="20"/>
          <w:szCs w:val="20"/>
          <w:color w:val="auto"/>
        </w:rPr>
      </w:pPr>
    </w:p>
    <w:p>
      <w:pPr>
        <w:jc w:val="both"/>
        <w:ind w:left="9" w:firstLine="648"/>
        <w:spacing w:after="0" w:line="276" w:lineRule="auto"/>
        <w:rPr>
          <w:sz w:val="20"/>
          <w:szCs w:val="20"/>
          <w:color w:val="auto"/>
        </w:rPr>
      </w:pPr>
      <w:r>
        <w:rPr>
          <w:rFonts w:ascii="Arial" w:cs="Arial" w:eastAsia="Arial" w:hAnsi="Arial"/>
          <w:sz w:val="17"/>
          <w:szCs w:val="17"/>
          <w:color w:val="auto"/>
        </w:rPr>
        <w:t>Realized gains or losses are measured by the difference between the net proceeds from the sale or redemption of an investment and the cost basis of the investment, without regard to unrealized appreciation or depreciation previously recognized, and includes investments written-off during the year net of recoveries and realized gains or losses from in-kind redemptions. Net change in unrealized appreciation or depreciation reflects the net change in the fair value of the investment portfolio and the reclassification of any prior period unrealized appreciation or depreciation on exited investments and financial instruments to realized gains or losses.</w:t>
      </w:r>
    </w:p>
    <w:p>
      <w:pPr>
        <w:spacing w:after="0" w:line="173"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left="9" w:firstLine="648"/>
        <w:spacing w:after="0" w:line="277" w:lineRule="auto"/>
        <w:rPr>
          <w:sz w:val="20"/>
          <w:szCs w:val="20"/>
          <w:color w:val="auto"/>
        </w:rPr>
      </w:pPr>
      <w:r>
        <w:rPr>
          <w:rFonts w:ascii="Arial" w:cs="Arial" w:eastAsia="Arial" w:hAnsi="Arial"/>
          <w:sz w:val="18"/>
          <w:szCs w:val="18"/>
          <w:color w:val="auto"/>
        </w:rPr>
        <w:t>Cash and cash equivalents, which consist of cash and highly liquid investments with an original maturity of three months or less at the date of purchase, are carried at cost, which approximates fair value.</w:t>
      </w:r>
    </w:p>
    <w:p>
      <w:pPr>
        <w:spacing w:after="0" w:line="170" w:lineRule="exact"/>
        <w:rPr>
          <w:sz w:val="20"/>
          <w:szCs w:val="20"/>
          <w:color w:val="auto"/>
        </w:rPr>
      </w:pPr>
    </w:p>
    <w:p>
      <w:pPr>
        <w:jc w:val="both"/>
        <w:ind w:left="9"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and cash equivalents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spacing w:after="0" w:line="200" w:lineRule="exact"/>
        <w:rPr>
          <w:sz w:val="20"/>
          <w:szCs w:val="20"/>
          <w:color w:val="auto"/>
        </w:rPr>
      </w:pPr>
    </w:p>
    <w:p>
      <w:pPr>
        <w:spacing w:after="0" w:line="2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2" w:right="739" w:bottom="1440" w:gutter="0" w:footer="0" w:header="0"/>
        </w:sectPr>
      </w:pPr>
    </w:p>
    <w:bookmarkStart w:id="167" w:name="page168"/>
    <w:bookmarkEnd w:id="167"/>
    <w:p>
      <w:pPr>
        <w:jc w:val="center"/>
        <w:ind w:right="-8"/>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ind w:left="369" w:hanging="369"/>
        <w:spacing w:after="0"/>
        <w:tabs>
          <w:tab w:leader="none" w:pos="369"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ind w:left="9" w:firstLine="648"/>
        <w:spacing w:after="0" w:line="264" w:lineRule="auto"/>
        <w:rPr>
          <w:sz w:val="20"/>
          <w:szCs w:val="20"/>
          <w:color w:val="auto"/>
        </w:rPr>
      </w:pPr>
      <w:r>
        <w:rPr>
          <w:rFonts w:ascii="Arial" w:cs="Arial" w:eastAsia="Arial" w:hAnsi="Arial"/>
          <w:sz w:val="18"/>
          <w:szCs w:val="18"/>
          <w:color w:val="auto"/>
        </w:rPr>
        <w:t>Deferred financing costs include commitment fees and other costs related to the Company’s credit facility (the “Credit Facility”, as discussed further in Note 4). These costs have been capitalized and are amortized into interest expense over the term of the individual instrument.</w:t>
      </w:r>
    </w:p>
    <w:p>
      <w:pPr>
        <w:spacing w:after="0" w:line="181"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7"/>
          <w:szCs w:val="17"/>
          <w:color w:val="auto"/>
        </w:rPr>
        <w:t>Interest income is recorded as earned on the accrual basis and includes amortization of premiums or accretion of discounts. In accordance with the Company’s valuation policy, accrued interest receivables are evaluated periodically for collectability. When the Company does not expect the debtor to be able to service all of its debt or other obligations, the Company will generally establish a reserve against interest income receivable, thereby placing the loan or debt security on non-accrual status, and cease to recognize interest income on that loan or debt security until the borrower has demonstrated the ability and intent to pay contractual amounts due. If a loan or debt security’s status significantly improves regarding the ability to service debt or other obligations, it will be restored to accrual basis. As of March 31, 2018 and 2017, the Company did not have any investments on non-accrual status.</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ind w:left="9" w:right="20" w:firstLine="648"/>
        <w:spacing w:after="0" w:line="257" w:lineRule="auto"/>
        <w:rPr>
          <w:sz w:val="20"/>
          <w:szCs w:val="20"/>
          <w:color w:val="auto"/>
        </w:rPr>
      </w:pPr>
      <w:r>
        <w:rPr>
          <w:rFonts w:ascii="Arial" w:cs="Arial" w:eastAsia="Arial" w:hAnsi="Arial"/>
          <w:sz w:val="18"/>
          <w:szCs w:val="18"/>
          <w:color w:val="auto"/>
        </w:rPr>
        <w:t>Unless otherwise voluntarily or contractually assumed by the Board of Managers or another party, the Company bears all expenses incurred in its business including, but not limited to, the following: all costs and expenses related to investment transactions and positions for the Company, legal fees, accounting, auditing and tax preparation fees, recordkeeping and custodial fees, costs of computing the Company’s members’ equity, research expenses, costs of registration expenses, all costs with respect to communications with members, and other types of expenses as may be approved from time to time.</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9" w:firstLine="648"/>
        <w:spacing w:after="0" w:line="286" w:lineRule="auto"/>
        <w:rPr>
          <w:sz w:val="20"/>
          <w:szCs w:val="20"/>
          <w:color w:val="auto"/>
        </w:rPr>
      </w:pPr>
      <w:r>
        <w:rPr>
          <w:rFonts w:ascii="Arial" w:cs="Arial" w:eastAsia="Arial" w:hAnsi="Arial"/>
          <w:sz w:val="17"/>
          <w:szCs w:val="17"/>
          <w:color w:val="auto"/>
        </w:rPr>
        <w:t>The Company is organized and operates as a limited liability company and is not subject to income taxes as a separate entity. Such taxes are the responsibility of the individual members. Accordingly, no provision for income taxes has been made in the Company’s financial statements. Investments in foreign securities may result in foreign taxes being withheld by the issuer of such securities.</w:t>
      </w:r>
    </w:p>
    <w:p>
      <w:pPr>
        <w:spacing w:after="0" w:line="166" w:lineRule="exact"/>
        <w:rPr>
          <w:sz w:val="20"/>
          <w:szCs w:val="20"/>
          <w:color w:val="auto"/>
        </w:rPr>
      </w:pPr>
    </w:p>
    <w:p>
      <w:pPr>
        <w:jc w:val="both"/>
        <w:ind w:left="9" w:firstLine="648"/>
        <w:spacing w:after="0" w:line="272" w:lineRule="auto"/>
        <w:rPr>
          <w:sz w:val="20"/>
          <w:szCs w:val="20"/>
          <w:color w:val="auto"/>
        </w:rPr>
      </w:pPr>
      <w:r>
        <w:rPr>
          <w:rFonts w:ascii="Arial" w:cs="Arial" w:eastAsia="Arial" w:hAnsi="Arial"/>
          <w:sz w:val="17"/>
          <w:szCs w:val="17"/>
          <w:color w:val="auto"/>
        </w:rPr>
        <w:t>For the current open tax year and for all major jurisdictions, management of the Company has evaluated the tax positions taken or expected to be taken in the course of preparing the Company’s tax returns to determine whether the tax positions will “more-likely-than-not” be sustained by the Company upon challenge by the applicable tax authority. Tax positions not deemed to meet the more-likely-than-not threshold and that would result in a tax benefit or expense to the Company would be recorded as a tax benefit or expense in the current year. For the years ended March 31, 2018 and 2017, and the period from September 3, 2015 (date of incorporation) to March 31, 2016, the Company determined that it did not have any uncertain tax positions. Generally, the Company is subject to income tax examinations by major taxing authorities during the three years prior to the periods covered by these financial statements.</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8"/>
          <w:szCs w:val="18"/>
          <w:i w:val="1"/>
          <w:iCs w:val="1"/>
          <w:color w:val="auto"/>
        </w:rPr>
        <w:t>RECENTLY ISSUED OR ADOPTED ACCOUNTING STANDARDS</w:t>
      </w:r>
    </w:p>
    <w:p>
      <w:pPr>
        <w:spacing w:after="0" w:line="225" w:lineRule="exact"/>
        <w:rPr>
          <w:sz w:val="20"/>
          <w:szCs w:val="20"/>
          <w:color w:val="auto"/>
        </w:rPr>
      </w:pPr>
    </w:p>
    <w:p>
      <w:pPr>
        <w:jc w:val="both"/>
        <w:ind w:left="9" w:firstLine="648"/>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supersedes the revenue recognition requirements under ASC Topic 605, Revenue Recognition, and most industry-specific guidance throughout the Industry Topics of the ASC. The core principle of the guidance is that an entity should recognize revenue to depict the transfer of promised goods or services to customers in an amount that reflects the consideration to which an entity expects to be entitled in exchange for those goods or services. Under the new guidance, an entity is required to perform the following five steps: (1) identify the contract(s) with a customer;</w:t>
      </w:r>
    </w:p>
    <w:p>
      <w:pPr>
        <w:spacing w:after="0" w:line="2" w:lineRule="exact"/>
        <w:rPr>
          <w:sz w:val="20"/>
          <w:szCs w:val="20"/>
          <w:color w:val="auto"/>
        </w:rPr>
      </w:pPr>
    </w:p>
    <w:p>
      <w:pPr>
        <w:jc w:val="both"/>
        <w:ind w:left="9" w:hanging="9"/>
        <w:spacing w:after="0" w:line="286" w:lineRule="auto"/>
        <w:tabs>
          <w:tab w:leader="none" w:pos="26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 (3) determine the transaction price; (4) allocate the transaction price to the performance obligations in the contract, and (5) recognize revenue when (or as) the entity satisfies a performance obligation. The new guidance will significantly enhance comparability of revenue recognition practices across entities, industries, jurisdictions and capital markets. Additionally, the guidance requires improved disclosures as to the nature, amount, timing and uncertainty of revenue that is recognized. In May 2016, the FASB issued ASU No. 2016-12, Revenue from Contracts with Customers (Topic 606)—Narrow-Scope Improvements and Practical Expedients. This ASU clarified guidance on assessing collectability, presenting sales tax, measuring noncash consideration, and certain transition matters. The FASB decided to defer the effective date of the new revenue standard for public entities under U.S. GAAP for one year. The new guidance will be effective for the annual reporting period beginning after December 15, 2018, and interim periods within annual reporting periods beginning after December 15, 2019. Early adoption was permitted for annual reporting periods beginning after December 15, 2016. The Company completed its assessment in evaluating the potential impact on its consolidated</w:t>
      </w:r>
    </w:p>
    <w:p>
      <w:pPr>
        <w:spacing w:after="0" w:line="386"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2" w:right="739" w:bottom="1440" w:gutter="0" w:footer="0" w:header="0"/>
        </w:sectPr>
      </w:pPr>
    </w:p>
    <w:bookmarkStart w:id="168" w:name="page169"/>
    <w:bookmarkEnd w:id="168"/>
    <w:p>
      <w:pPr>
        <w:jc w:val="center"/>
        <w:ind w:right="-8"/>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ind w:left="369" w:hanging="369"/>
        <w:spacing w:after="0"/>
        <w:tabs>
          <w:tab w:leader="none" w:pos="369"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jc w:val="both"/>
        <w:ind w:left="9"/>
        <w:spacing w:after="0" w:line="286" w:lineRule="auto"/>
        <w:rPr>
          <w:sz w:val="20"/>
          <w:szCs w:val="20"/>
          <w:color w:val="auto"/>
        </w:rPr>
      </w:pPr>
      <w:r>
        <w:rPr>
          <w:rFonts w:ascii="Arial" w:cs="Arial" w:eastAsia="Arial" w:hAnsi="Arial"/>
          <w:sz w:val="17"/>
          <w:szCs w:val="17"/>
          <w:color w:val="auto"/>
        </w:rPr>
        <w:t>financial statements and determined that its financial contracts are excluded from the scope of ASU 2014-09. As a result of the scope exception for financial contracts, the Company’s management has determined the adoption of ASU 2014-09 will have no impact on the recognition timing and classification of revenues and expenses, pretax income or on the consolidated financial statement disclosures.</w:t>
      </w:r>
    </w:p>
    <w:p>
      <w:pPr>
        <w:spacing w:after="0" w:line="166" w:lineRule="exact"/>
        <w:rPr>
          <w:sz w:val="20"/>
          <w:szCs w:val="20"/>
          <w:color w:val="auto"/>
        </w:rPr>
      </w:pPr>
    </w:p>
    <w:p>
      <w:pPr>
        <w:jc w:val="both"/>
        <w:ind w:left="9" w:right="20" w:firstLine="648"/>
        <w:spacing w:after="0" w:line="27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which is intended to reduce the existing diversity in practice in how certain cash receipts and cash payments are presented and classified in the statement of cash flows. The guidance is effective for annual periods beginning after December 15, 2018, and interim periods therein. Early application is permitted. The adoption of this new accounting standard is not expected to have an impact on the Company’s consolidated financial statements.</w:t>
      </w:r>
    </w:p>
    <w:p>
      <w:pPr>
        <w:spacing w:after="0" w:line="167" w:lineRule="exact"/>
        <w:rPr>
          <w:sz w:val="20"/>
          <w:szCs w:val="20"/>
          <w:color w:val="auto"/>
        </w:rPr>
      </w:pPr>
    </w:p>
    <w:p>
      <w:pPr>
        <w:ind w:left="369" w:hanging="369"/>
        <w:spacing w:after="0"/>
        <w:tabs>
          <w:tab w:leader="none" w:pos="369"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9" w:firstLine="648"/>
        <w:spacing w:after="0" w:line="259" w:lineRule="auto"/>
        <w:rPr>
          <w:sz w:val="20"/>
          <w:szCs w:val="20"/>
          <w:color w:val="auto"/>
        </w:rPr>
      </w:pPr>
      <w:r>
        <w:rPr>
          <w:rFonts w:ascii="Arial" w:cs="Arial" w:eastAsia="Arial" w:hAnsi="Arial"/>
          <w:sz w:val="18"/>
          <w:szCs w:val="18"/>
          <w:color w:val="auto"/>
        </w:rPr>
        <w:t>ASC Topic 820 defines fair value as the price that would be received to sell an asset or paid to transfer a liability (i.e., the “exit price”) in an orderly transaction between market participants at the measurement date under current market conditions. The fair value of the Company’s investments is determined as of the close of business at the end of each reporting period (“Valuation Date”) in conformity with the guidance on fair value measurements and disclosures under U.S. GAAP.</w:t>
      </w:r>
    </w:p>
    <w:p>
      <w:pPr>
        <w:spacing w:after="0" w:line="187" w:lineRule="exact"/>
        <w:rPr>
          <w:sz w:val="20"/>
          <w:szCs w:val="20"/>
          <w:color w:val="auto"/>
        </w:rPr>
      </w:pPr>
    </w:p>
    <w:p>
      <w:pPr>
        <w:ind w:left="649"/>
        <w:spacing w:after="0"/>
        <w:rPr>
          <w:sz w:val="20"/>
          <w:szCs w:val="20"/>
          <w:color w:val="auto"/>
        </w:rPr>
      </w:pPr>
      <w:r>
        <w:rPr>
          <w:rFonts w:ascii="Arial" w:cs="Arial" w:eastAsia="Arial" w:hAnsi="Arial"/>
          <w:sz w:val="17"/>
          <w:szCs w:val="17"/>
          <w:color w:val="auto"/>
        </w:rPr>
        <w:t>The inputs used to determine the fair value of the Company’s investments are summarized in the three broad levels listed below:</w:t>
      </w:r>
    </w:p>
    <w:p>
      <w:pPr>
        <w:spacing w:after="0" w:line="237" w:lineRule="exact"/>
        <w:rPr>
          <w:sz w:val="20"/>
          <w:szCs w:val="20"/>
          <w:color w:val="auto"/>
        </w:rPr>
      </w:pPr>
    </w:p>
    <w:p>
      <w:pPr>
        <w:ind w:left="649" w:hanging="325"/>
        <w:spacing w:after="0"/>
        <w:tabs>
          <w:tab w:leader="none" w:pos="6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for identical investments</w:t>
      </w:r>
    </w:p>
    <w:p>
      <w:pPr>
        <w:spacing w:after="0" w:line="23" w:lineRule="exact"/>
        <w:rPr>
          <w:rFonts w:ascii="Arial" w:cs="Arial" w:eastAsia="Arial" w:hAnsi="Arial"/>
          <w:sz w:val="18"/>
          <w:szCs w:val="18"/>
          <w:color w:val="auto"/>
        </w:rPr>
      </w:pPr>
    </w:p>
    <w:p>
      <w:pPr>
        <w:ind w:left="649" w:right="20" w:hanging="325"/>
        <w:spacing w:after="0" w:line="250" w:lineRule="auto"/>
        <w:tabs>
          <w:tab w:leader="none" w:pos="6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2- investments with other significant observable inputs (including quoted prices for similar securities, interest rates, prepayments speeds, credit risk, etc.)</w:t>
      </w:r>
    </w:p>
    <w:p>
      <w:pPr>
        <w:ind w:left="649" w:right="20" w:hanging="325"/>
        <w:spacing w:after="0" w:line="261" w:lineRule="auto"/>
        <w:tabs>
          <w:tab w:leader="none" w:pos="64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Level 3- investments with significant unobservable inputs (including the Company’s own assumptions in determining the fair value of investments)</w:t>
      </w:r>
    </w:p>
    <w:p>
      <w:pPr>
        <w:spacing w:after="0" w:line="184"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8"/>
          <w:szCs w:val="18"/>
          <w:color w:val="auto"/>
        </w:rPr>
        <w:t>The Company establishes valuation processes and procedures to ensure the valuation methodologies for investments categorized within Level 3 of the fair value hierarchy are fair, consistent, and verifiable. The Company designates the Board of Managers to oversee the entire valuation process of Level 3 investments. The Board of Managers is responsible for developing the Company’s valuation processes and procedures, conducting periodic reviews of the valuation policies, and evaluating the overall fairness and consistent application of the valuation policies. Additionally, the Board of Managers is generally responsible for reviewing and approving the valuation determinations and any information provided by U.S. Bancorp Fund Services, LLC (the “Administrator”), as well as determining the levels of the fair value hierarchy in which the investments fall.</w:t>
      </w:r>
    </w:p>
    <w:p>
      <w:pPr>
        <w:spacing w:after="0" w:line="189" w:lineRule="exact"/>
        <w:rPr>
          <w:sz w:val="20"/>
          <w:szCs w:val="20"/>
          <w:color w:val="auto"/>
        </w:rPr>
      </w:pPr>
    </w:p>
    <w:p>
      <w:pPr>
        <w:jc w:val="both"/>
        <w:ind w:left="9" w:firstLine="648"/>
        <w:spacing w:after="0" w:line="257" w:lineRule="auto"/>
        <w:rPr>
          <w:sz w:val="20"/>
          <w:szCs w:val="20"/>
          <w:color w:val="auto"/>
        </w:rPr>
      </w:pPr>
      <w:r>
        <w:rPr>
          <w:rFonts w:ascii="Arial" w:cs="Arial" w:eastAsia="Arial" w:hAnsi="Arial"/>
          <w:sz w:val="18"/>
          <w:szCs w:val="18"/>
          <w:color w:val="auto"/>
        </w:rPr>
        <w:t>The Board of Managers meets on a quarterly basis, or more frequently as needed, to determine the valuations of Level 3 investments. Valuations determined by the Board of Managers are required to be supported by market data, third-party pricing sources, industry accepted pricing models, counterparty prices, or other methods the Board of Managers deems to be appropriate, including the use of internal proprietary pricing models. The Company, along with the Board of Managers, periodically reviews the valuations of Level 3 investments, and if necessary, recalibrates its valuation procedures.</w:t>
      </w:r>
    </w:p>
    <w:p>
      <w:pPr>
        <w:spacing w:after="0" w:line="188" w:lineRule="exact"/>
        <w:rPr>
          <w:sz w:val="20"/>
          <w:szCs w:val="20"/>
          <w:color w:val="auto"/>
        </w:rPr>
      </w:pPr>
    </w:p>
    <w:p>
      <w:pPr>
        <w:ind w:left="649"/>
        <w:spacing w:after="0"/>
        <w:rPr>
          <w:sz w:val="20"/>
          <w:szCs w:val="20"/>
          <w:color w:val="auto"/>
        </w:rPr>
      </w:pPr>
      <w:r>
        <w:rPr>
          <w:rFonts w:ascii="Arial" w:cs="Arial" w:eastAsia="Arial" w:hAnsi="Arial"/>
          <w:sz w:val="18"/>
          <w:szCs w:val="18"/>
          <w:color w:val="auto"/>
        </w:rPr>
        <w:t>Investments currently held by the Company are generally valued as follows:</w:t>
      </w:r>
    </w:p>
    <w:p>
      <w:pPr>
        <w:spacing w:after="0" w:line="225" w:lineRule="exact"/>
        <w:rPr>
          <w:sz w:val="20"/>
          <w:szCs w:val="20"/>
          <w:color w:val="auto"/>
        </w:rPr>
      </w:pPr>
    </w:p>
    <w:p>
      <w:pPr>
        <w:jc w:val="both"/>
        <w:ind w:left="9" w:firstLine="648"/>
        <w:spacing w:after="0" w:line="255" w:lineRule="auto"/>
        <w:rPr>
          <w:sz w:val="20"/>
          <w:szCs w:val="20"/>
          <w:color w:val="auto"/>
        </w:rPr>
      </w:pPr>
      <w:r>
        <w:rPr>
          <w:rFonts w:ascii="Arial" w:cs="Arial" w:eastAsia="Arial" w:hAnsi="Arial"/>
          <w:sz w:val="18"/>
          <w:szCs w:val="18"/>
          <w:color w:val="auto"/>
        </w:rPr>
        <w:t>Securities that are listed on a recognized exchange are valued at their last available public sales price. Securities that are listed on more than one national securities exchange are valued at the last quoted sales price on the primary exchange on which the security is listed. If a security was not traded on the primary exchange on the valuation date, such security is valued at the last quoted sales price on the next most active market, if the Board of Managers determines the price to be representative of fair value. Investments that are not listed on an exchange but are traded over-the-counter are generally valued using independent pricing services. These pricing services may use the broker quotes or models that consider such factors as issue type, coupon rate, maturity, rating, prepayment speed, yield, or prices of comparable quality, when pricing securities.</w:t>
      </w:r>
    </w:p>
    <w:p>
      <w:pPr>
        <w:spacing w:after="0" w:line="189" w:lineRule="exact"/>
        <w:rPr>
          <w:sz w:val="20"/>
          <w:szCs w:val="20"/>
          <w:color w:val="auto"/>
        </w:rPr>
      </w:pPr>
    </w:p>
    <w:p>
      <w:pPr>
        <w:jc w:val="both"/>
        <w:ind w:left="9" w:right="20" w:firstLine="648"/>
        <w:spacing w:after="0" w:line="277" w:lineRule="auto"/>
        <w:rPr>
          <w:sz w:val="20"/>
          <w:szCs w:val="20"/>
          <w:color w:val="auto"/>
        </w:rPr>
      </w:pPr>
      <w:r>
        <w:rPr>
          <w:rFonts w:ascii="Arial" w:cs="Arial" w:eastAsia="Arial" w:hAnsi="Arial"/>
          <w:sz w:val="18"/>
          <w:szCs w:val="18"/>
          <w:color w:val="auto"/>
        </w:rPr>
        <w:t>In the case of investments not priced by independent pricing services, the Board of Managers will endeavor to obtain market maker quotes. For both long and short positions, the average of all “bid” and “asked” quotations is generally used.</w:t>
      </w:r>
    </w:p>
    <w:p>
      <w:pPr>
        <w:spacing w:after="0" w:line="170" w:lineRule="exact"/>
        <w:rPr>
          <w:sz w:val="20"/>
          <w:szCs w:val="20"/>
          <w:color w:val="auto"/>
        </w:rPr>
      </w:pPr>
    </w:p>
    <w:p>
      <w:pPr>
        <w:jc w:val="both"/>
        <w:ind w:left="9" w:firstLine="648"/>
        <w:spacing w:after="0" w:line="264" w:lineRule="auto"/>
        <w:rPr>
          <w:sz w:val="20"/>
          <w:szCs w:val="20"/>
          <w:color w:val="auto"/>
        </w:rPr>
      </w:pPr>
      <w:r>
        <w:rPr>
          <w:rFonts w:ascii="Arial" w:cs="Arial" w:eastAsia="Arial" w:hAnsi="Arial"/>
          <w:sz w:val="18"/>
          <w:szCs w:val="18"/>
          <w:color w:val="auto"/>
        </w:rPr>
        <w:t>The fair value determination of the Company’s investments consists of a combination of observable inputs in non-active markets and unobservable inputs. The observable inputs are not always sufficient to determine the fair value of these investments. As a result, all investments currently held by the Company are categorized as Level 3 under ASC 820.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12" w:right="7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ind w:left="380" w:hanging="369"/>
        <w:spacing w:after="0"/>
        <w:tabs>
          <w:tab w:leader="none" w:pos="3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229"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The following table summarizes the valuation techniques and significant unobservable inputs used for the Company’s investments that are categorized within Level 3 of the fair value hierarchy as of March 31, 2018 and 2017:</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337"/>
              <w:spacing w:after="0"/>
              <w:rPr>
                <w:sz w:val="20"/>
                <w:szCs w:val="20"/>
                <w:color w:val="auto"/>
              </w:rPr>
            </w:pPr>
            <w:r>
              <w:rPr>
                <w:rFonts w:ascii="Arial" w:cs="Arial" w:eastAsia="Arial" w:hAnsi="Arial"/>
                <w:sz w:val="14"/>
                <w:szCs w:val="14"/>
                <w:b w:val="1"/>
                <w:bCs w:val="1"/>
                <w:color w:val="auto"/>
              </w:rPr>
              <w:t>Fair Value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Valuation</w:t>
            </w:r>
          </w:p>
        </w:tc>
        <w:tc>
          <w:tcPr>
            <w:tcW w:w="40" w:type="dxa"/>
            <w:vAlign w:val="bottom"/>
          </w:tcPr>
          <w:p>
            <w:pPr>
              <w:spacing w:after="0"/>
              <w:rPr>
                <w:sz w:val="14"/>
                <w:szCs w:val="14"/>
                <w:color w:val="auto"/>
              </w:rPr>
            </w:pPr>
          </w:p>
        </w:tc>
        <w:tc>
          <w:tcPr>
            <w:tcW w:w="15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Range</w:t>
            </w:r>
          </w:p>
        </w:tc>
        <w:tc>
          <w:tcPr>
            <w:tcW w:w="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Technique</w:t>
            </w:r>
          </w:p>
        </w:tc>
        <w:tc>
          <w:tcPr>
            <w:tcW w:w="40" w:type="dxa"/>
            <w:vAlign w:val="bottom"/>
          </w:tcPr>
          <w:p>
            <w:pPr>
              <w:spacing w:after="0"/>
              <w:rPr>
                <w:sz w:val="14"/>
                <w:szCs w:val="14"/>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Input</w:t>
            </w:r>
          </w:p>
        </w:tc>
        <w:tc>
          <w:tcPr>
            <w:tcW w:w="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Corporate bank loans</w:t>
            </w: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182,716,013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2"/>
              </w:rPr>
              <w:t>Income Approach</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1"/>
              </w:rPr>
              <w:t>Broker Quotes</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92.0 - 103.0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23,029,609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Income Approach</w:t>
            </w:r>
          </w:p>
        </w:tc>
        <w:tc>
          <w:tcPr>
            <w:tcW w:w="4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Discount Rate</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7.4% - 8.6%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7"/>
              </w:rPr>
              <w:t>7.8%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10,795,285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1"/>
              </w:rPr>
              <w:t>Market Approach</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86"/>
              </w:rPr>
              <w:t>Cost</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9"/>
              </w:rPr>
              <w:t>98.0 – 100.0</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98.8</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4,265,938</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3"/>
          </w:tcPr>
          <w:p>
            <w:pPr>
              <w:jc w:val="center"/>
              <w:ind w:right="200"/>
              <w:spacing w:after="0"/>
              <w:rPr>
                <w:sz w:val="20"/>
                <w:szCs w:val="20"/>
                <w:color w:val="auto"/>
              </w:rPr>
            </w:pPr>
            <w:r>
              <w:rPr>
                <w:rFonts w:ascii="Arial" w:cs="Arial" w:eastAsia="Arial" w:hAnsi="Arial"/>
                <w:sz w:val="18"/>
                <w:szCs w:val="18"/>
                <w:color w:val="auto"/>
                <w:w w:val="91"/>
              </w:rPr>
              <w:t>Market Approach</w:t>
            </w:r>
          </w:p>
        </w:tc>
        <w:tc>
          <w:tcPr>
            <w:tcW w:w="4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gridSpan w:val="3"/>
          </w:tcPr>
          <w:p>
            <w:pPr>
              <w:jc w:val="center"/>
              <w:ind w:right="200"/>
              <w:spacing w:after="0"/>
              <w:rPr>
                <w:sz w:val="20"/>
                <w:szCs w:val="20"/>
                <w:color w:val="auto"/>
              </w:rPr>
            </w:pPr>
            <w:r>
              <w:rPr>
                <w:rFonts w:ascii="Arial" w:cs="Arial" w:eastAsia="Arial" w:hAnsi="Arial"/>
                <w:sz w:val="18"/>
                <w:szCs w:val="18"/>
                <w:color w:val="auto"/>
                <w:w w:val="93"/>
              </w:rPr>
              <w:t>Exit Value</w:t>
            </w:r>
          </w:p>
        </w:tc>
        <w:tc>
          <w:tcPr>
            <w:tcW w:w="1460" w:type="dxa"/>
            <w:vAlign w:val="bottom"/>
            <w:tcBorders>
              <w:bottom w:val="single" w:sz="8" w:color="CCEEFF"/>
            </w:tcBorders>
            <w:gridSpan w:val="2"/>
          </w:tcPr>
          <w:p>
            <w:pPr>
              <w:jc w:val="right"/>
              <w:ind w:right="479"/>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7"/>
        </w:trPr>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220,806,845</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Fair Value at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w:t>
            </w:r>
          </w:p>
        </w:tc>
        <w:tc>
          <w:tcPr>
            <w:tcW w:w="40" w:type="dxa"/>
            <w:vAlign w:val="bottom"/>
          </w:tcPr>
          <w:p>
            <w:pPr>
              <w:spacing w:after="0"/>
              <w:rPr>
                <w:sz w:val="24"/>
                <w:szCs w:val="24"/>
                <w:color w:val="auto"/>
              </w:rPr>
            </w:pPr>
          </w:p>
        </w:tc>
        <w:tc>
          <w:tcPr>
            <w:tcW w:w="15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Range</w:t>
            </w:r>
          </w:p>
        </w:tc>
        <w:tc>
          <w:tcPr>
            <w:tcW w:w="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Technique</w:t>
            </w:r>
          </w:p>
        </w:tc>
        <w:tc>
          <w:tcPr>
            <w:tcW w:w="4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4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Corporate bank loans</w:t>
            </w:r>
          </w:p>
        </w:tc>
        <w:tc>
          <w:tcPr>
            <w:tcW w:w="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161,497,019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2"/>
              </w:rPr>
              <w:t>Income Approach</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Broker Quotes</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93.0 - 101.8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99.8</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8,359,451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Income Approach</w:t>
            </w:r>
          </w:p>
        </w:tc>
        <w:tc>
          <w:tcPr>
            <w:tcW w:w="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6.06% - 10.5%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7.1%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30,386,220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Market Approach</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6"/>
              </w:rPr>
              <w:t>Cost</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97.7 – 99.5</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98.5</w:t>
            </w:r>
          </w:p>
        </w:tc>
        <w:tc>
          <w:tcPr>
            <w:tcW w:w="0" w:type="dxa"/>
            <w:vAlign w:val="bottom"/>
          </w:tcPr>
          <w:p>
            <w:pPr>
              <w:spacing w:after="0"/>
              <w:rPr>
                <w:sz w:val="1"/>
                <w:szCs w:val="1"/>
                <w:color w:val="auto"/>
              </w:rPr>
            </w:pPr>
          </w:p>
        </w:tc>
      </w:tr>
      <w:tr>
        <w:trPr>
          <w:trHeight w:val="217"/>
        </w:trPr>
        <w:tc>
          <w:tcPr>
            <w:tcW w:w="224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200,242,690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The Board of Managers will evaluate the valuation hierarchy and make changes when necessary. The Company discloses transfers between levels based on valuations at the end of the reporting period. There were no transfers between levels for the years ended March 31, 2018 and 2017. The inputs or methodology used for valuing investments are not necessarily an indication of the risk associated with investing in those investments.</w:t>
      </w:r>
    </w:p>
    <w:p>
      <w:pPr>
        <w:spacing w:after="0" w:line="187" w:lineRule="exact"/>
        <w:rPr>
          <w:sz w:val="20"/>
          <w:szCs w:val="20"/>
          <w:color w:val="auto"/>
        </w:rPr>
      </w:pPr>
    </w:p>
    <w:p>
      <w:pPr>
        <w:jc w:val="both"/>
        <w:ind w:left="20" w:right="20" w:firstLine="648"/>
        <w:spacing w:after="0" w:line="277" w:lineRule="auto"/>
        <w:rPr>
          <w:sz w:val="20"/>
          <w:szCs w:val="20"/>
          <w:color w:val="auto"/>
        </w:rPr>
      </w:pPr>
      <w:r>
        <w:rPr>
          <w:rFonts w:ascii="Arial" w:cs="Arial" w:eastAsia="Arial" w:hAnsi="Arial"/>
          <w:sz w:val="18"/>
          <w:szCs w:val="18"/>
          <w:color w:val="auto"/>
        </w:rPr>
        <w:t>The following is a summary categorization, as of March 31, 2018, of the Company’s investments based on the level of inputs utilized in determining the value of such investments: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94"/>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Corporate bank loans</w:t>
            </w:r>
          </w:p>
        </w:tc>
        <w:tc>
          <w:tcPr>
            <w:tcW w:w="1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220,806,845</w:t>
            </w:r>
          </w:p>
        </w:tc>
        <w:tc>
          <w:tcPr>
            <w:tcW w:w="20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220,806,845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investments</w:t>
            </w:r>
          </w:p>
        </w:tc>
        <w:tc>
          <w:tcPr>
            <w:tcW w:w="1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220,806,845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220,806,845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 money market fund</w:t>
            </w:r>
          </w:p>
        </w:tc>
        <w:tc>
          <w:tcPr>
            <w:tcW w:w="1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3,087,598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3,087,598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3,087,598</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220,806,845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223,894,443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right="160" w:firstLine="648"/>
        <w:spacing w:after="0" w:line="277" w:lineRule="auto"/>
        <w:rPr>
          <w:sz w:val="20"/>
          <w:szCs w:val="20"/>
          <w:color w:val="auto"/>
        </w:rPr>
      </w:pPr>
      <w:r>
        <w:rPr>
          <w:rFonts w:ascii="Arial" w:cs="Arial" w:eastAsia="Arial" w:hAnsi="Arial"/>
          <w:sz w:val="18"/>
          <w:szCs w:val="18"/>
          <w:color w:val="auto"/>
        </w:rPr>
        <w:t>The following is a summary categorization, as of March 31, 2017, of the Company’s investments based on the level of inputs utilized in determining the value of such investments: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3</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(at fair value)</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rPr>
              <w:t>Corporate bank loans</w:t>
            </w:r>
          </w:p>
        </w:tc>
        <w:tc>
          <w:tcPr>
            <w:tcW w:w="1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200,242,690</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200,242,690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investments</w:t>
            </w:r>
          </w:p>
        </w:tc>
        <w:tc>
          <w:tcPr>
            <w:tcW w:w="1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200,242,690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200,242,690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 money market fund</w:t>
            </w:r>
          </w:p>
        </w:tc>
        <w:tc>
          <w:tcPr>
            <w:tcW w:w="1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8,861,173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8,861,173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8,861,173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200,242,690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209,103,863</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gridSpan w:val="2"/>
          </w:tcPr>
          <w:p>
            <w:pPr>
              <w:jc w:val="right"/>
              <w:ind w:right="45"/>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2" w:right="7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ind w:left="380" w:hanging="369"/>
        <w:spacing w:after="0"/>
        <w:tabs>
          <w:tab w:leader="none" w:pos="3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229" w:lineRule="exact"/>
        <w:rPr>
          <w:sz w:val="20"/>
          <w:szCs w:val="20"/>
          <w:color w:val="auto"/>
        </w:rPr>
      </w:pPr>
    </w:p>
    <w:p>
      <w:pPr>
        <w:jc w:val="both"/>
        <w:ind w:left="20" w:firstLine="648"/>
        <w:spacing w:after="0" w:line="302" w:lineRule="auto"/>
        <w:rPr>
          <w:sz w:val="20"/>
          <w:szCs w:val="20"/>
          <w:color w:val="auto"/>
        </w:rPr>
      </w:pPr>
      <w:r>
        <w:rPr>
          <w:rFonts w:ascii="Arial" w:cs="Arial" w:eastAsia="Arial" w:hAnsi="Arial"/>
          <w:sz w:val="16"/>
          <w:szCs w:val="16"/>
          <w:color w:val="auto"/>
        </w:rPr>
        <w:t>The following table represents additional information about Level 3 assets measured at fair value. Both observable and unobservable inputs may be used to determine the fair value of positions that the Company has classified within the Level 3 category. As a result, the unrealized gains and losses for assets within the Level 3 category may include changes in fair value that were attributable to both observable and unobservable inputs. Changes in Level 3 assets measured at fair value for the years ended March 31, 2018 and 2017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LEVEL 3</w:t>
            </w: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Beginning Balance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Change in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8"/>
              </w:rPr>
              <w:t>Realized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Ending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7"/>
              </w:rPr>
              <w:t>Purchases</w:t>
            </w:r>
            <w:r>
              <w:rPr>
                <w:rFonts w:ascii="Arial" w:cs="Arial" w:eastAsia="Arial" w:hAnsi="Arial"/>
                <w:sz w:val="14"/>
                <w:szCs w:val="14"/>
                <w:b w:val="1"/>
                <w:bCs w:val="1"/>
                <w:color w:val="auto"/>
                <w:w w:val="97"/>
                <w:vertAlign w:val="superscript"/>
              </w:rPr>
              <w:t>(a)</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March 31, 2017</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 xml:space="preserve">Appreciation </w:t>
            </w:r>
            <w:r>
              <w:rPr>
                <w:rFonts w:ascii="Arial" w:cs="Arial" w:eastAsia="Arial" w:hAnsi="Arial"/>
                <w:sz w:val="14"/>
                <w:szCs w:val="14"/>
                <w:b w:val="1"/>
                <w:bCs w:val="1"/>
                <w:color w:val="auto"/>
                <w:w w:val="90"/>
                <w:vertAlign w:val="superscript"/>
              </w:rPr>
              <w:t>(b)</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2"/>
              </w:rPr>
              <w:t xml:space="preserve">(Losses) </w:t>
            </w:r>
            <w:r>
              <w:rPr>
                <w:rFonts w:ascii="Arial" w:cs="Arial" w:eastAsia="Arial" w:hAnsi="Arial"/>
                <w:sz w:val="14"/>
                <w:szCs w:val="14"/>
                <w:b w:val="1"/>
                <w:bCs w:val="1"/>
                <w:color w:val="auto"/>
                <w:w w:val="82"/>
                <w:vertAlign w:val="superscript"/>
              </w:rPr>
              <w:t>(c)</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Investments (at fair value)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Corporate bank loans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200,242,690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w w:val="91"/>
              </w:rPr>
              <w:t>135,480,991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0"/>
              <w:spacing w:after="0"/>
              <w:rPr>
                <w:sz w:val="20"/>
                <w:szCs w:val="20"/>
                <w:color w:val="auto"/>
              </w:rPr>
            </w:pPr>
            <w:r>
              <w:rPr>
                <w:rFonts w:ascii="Arial" w:cs="Arial" w:eastAsia="Arial" w:hAnsi="Arial"/>
                <w:sz w:val="18"/>
                <w:szCs w:val="18"/>
                <w:color w:val="auto"/>
                <w:w w:val="89"/>
              </w:rPr>
              <w:t>(115,962,074)</w:t>
            </w:r>
          </w:p>
        </w:tc>
        <w:tc>
          <w:tcPr>
            <w:tcW w:w="3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(614,866)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1,660,104</w:t>
            </w:r>
          </w:p>
        </w:tc>
        <w:tc>
          <w:tcPr>
            <w:tcW w:w="1300" w:type="dxa"/>
            <w:vAlign w:val="bottom"/>
            <w:gridSpan w:val="4"/>
          </w:tcPr>
          <w:p>
            <w:pPr>
              <w:jc w:val="right"/>
              <w:ind w:right="10"/>
              <w:spacing w:after="0"/>
              <w:rPr>
                <w:sz w:val="20"/>
                <w:szCs w:val="20"/>
                <w:color w:val="auto"/>
              </w:rPr>
            </w:pPr>
            <w:r>
              <w:rPr>
                <w:rFonts w:ascii="Arial" w:cs="Arial" w:eastAsia="Arial" w:hAnsi="Arial"/>
                <w:sz w:val="18"/>
                <w:szCs w:val="18"/>
                <w:color w:val="auto"/>
              </w:rPr>
              <w:t>$ 220,806,845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200,242,690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1"/>
              </w:rPr>
              <w:t>135,480,991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(115,962,074)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(614,866)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1,660,104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$ 220,806,845</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LEVEL 3</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Beginning Balance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Change in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8"/>
              </w:rPr>
              <w:t>Realized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Ending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7"/>
              </w:rPr>
              <w:t>Purchases</w:t>
            </w:r>
            <w:r>
              <w:rPr>
                <w:rFonts w:ascii="Arial" w:cs="Arial" w:eastAsia="Arial" w:hAnsi="Arial"/>
                <w:sz w:val="14"/>
                <w:szCs w:val="14"/>
                <w:b w:val="1"/>
                <w:bCs w:val="1"/>
                <w:color w:val="auto"/>
                <w:w w:val="97"/>
                <w:vertAlign w:val="superscript"/>
              </w:rPr>
              <w:t>(a)</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March 31, 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 xml:space="preserve">Appreciation </w:t>
            </w:r>
            <w:r>
              <w:rPr>
                <w:rFonts w:ascii="Arial" w:cs="Arial" w:eastAsia="Arial" w:hAnsi="Arial"/>
                <w:sz w:val="14"/>
                <w:szCs w:val="14"/>
                <w:b w:val="1"/>
                <w:bCs w:val="1"/>
                <w:color w:val="auto"/>
                <w:w w:val="90"/>
                <w:vertAlign w:val="superscript"/>
              </w:rPr>
              <w:t>(b)</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2"/>
              </w:rPr>
              <w:t xml:space="preserve">(Losses) </w:t>
            </w:r>
            <w:r>
              <w:rPr>
                <w:rFonts w:ascii="Arial" w:cs="Arial" w:eastAsia="Arial" w:hAnsi="Arial"/>
                <w:sz w:val="14"/>
                <w:szCs w:val="14"/>
                <w:b w:val="1"/>
                <w:bCs w:val="1"/>
                <w:color w:val="auto"/>
                <w:w w:val="82"/>
                <w:vertAlign w:val="superscript"/>
              </w:rPr>
              <w:t>(c)</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Investments (at fair value)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8"/>
                <w:szCs w:val="18"/>
                <w:color w:val="auto"/>
              </w:rPr>
              <w:t>Corporate bank loans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99,214,303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162,546,451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100"/>
              <w:spacing w:after="0"/>
              <w:rPr>
                <w:sz w:val="20"/>
                <w:szCs w:val="20"/>
                <w:color w:val="auto"/>
              </w:rPr>
            </w:pPr>
            <w:r>
              <w:rPr>
                <w:rFonts w:ascii="Arial" w:cs="Arial" w:eastAsia="Arial" w:hAnsi="Arial"/>
                <w:sz w:val="18"/>
                <w:szCs w:val="18"/>
                <w:color w:val="auto"/>
                <w:w w:val="90"/>
              </w:rPr>
              <w:t>(66,540,880)</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3,369,673</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1,653,143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200,242,690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99,214,303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162,546,451</w:t>
            </w: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(66,540,880)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bottom w:val="single" w:sz="8" w:color="auto"/>
            </w:tcBorders>
            <w:shd w:val="clear" w:color="auto" w:fill="CCEEFF"/>
          </w:tcPr>
          <w:p>
            <w:pPr>
              <w:spacing w:after="0"/>
              <w:rPr>
                <w:sz w:val="18"/>
                <w:szCs w:val="18"/>
                <w:color w:val="auto"/>
              </w:rPr>
            </w:pP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1,653,143</w:t>
            </w: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200,242,690</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29"/>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Includes purchases of new investments, as well as discount accretion on investments.</w:t>
      </w:r>
    </w:p>
    <w:p>
      <w:pPr>
        <w:spacing w:after="0" w:line="23" w:lineRule="exact"/>
        <w:rPr>
          <w:rFonts w:ascii="Arial" w:cs="Arial" w:eastAsia="Arial" w:hAnsi="Arial"/>
          <w:sz w:val="18"/>
          <w:szCs w:val="18"/>
          <w:color w:val="auto"/>
        </w:rPr>
      </w:pPr>
    </w:p>
    <w:p>
      <w:pPr>
        <w:ind w:left="340" w:right="740" w:hanging="329"/>
        <w:spacing w:after="0" w:line="258"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change in unrealized appreciation is reflected in the net change in unrealized appreciation on investments in the Consolidated Statements of Operations.</w:t>
      </w:r>
    </w:p>
    <w:p>
      <w:pPr>
        <w:ind w:left="340" w:hanging="329"/>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Realized gains (losses) are included in the net realized gain on investments in the Consolidated Statements of Operations.</w:t>
      </w:r>
    </w:p>
    <w:p>
      <w:pPr>
        <w:spacing w:after="0" w:line="224" w:lineRule="exact"/>
        <w:rPr>
          <w:sz w:val="20"/>
          <w:szCs w:val="20"/>
          <w:color w:val="auto"/>
        </w:rPr>
      </w:pPr>
    </w:p>
    <w:p>
      <w:pPr>
        <w:ind w:left="20" w:firstLine="648"/>
        <w:spacing w:after="0" w:line="277" w:lineRule="auto"/>
        <w:rPr>
          <w:sz w:val="20"/>
          <w:szCs w:val="20"/>
          <w:color w:val="auto"/>
        </w:rPr>
      </w:pPr>
      <w:r>
        <w:rPr>
          <w:rFonts w:ascii="Arial" w:cs="Arial" w:eastAsia="Arial" w:hAnsi="Arial"/>
          <w:sz w:val="18"/>
          <w:szCs w:val="18"/>
          <w:color w:val="auto"/>
        </w:rPr>
        <w:t>The total net unrealized gains (excluding reversals) included in earnings related to assets still held at the report date for the years ended March 31, 2018 and 2017 were approximately $0.6 million and $3.4 million, respectively.</w:t>
      </w:r>
    </w:p>
    <w:p>
      <w:pPr>
        <w:spacing w:after="0" w:line="166" w:lineRule="exact"/>
        <w:rPr>
          <w:sz w:val="20"/>
          <w:szCs w:val="20"/>
          <w:color w:val="auto"/>
        </w:rPr>
      </w:pPr>
    </w:p>
    <w:p>
      <w:pPr>
        <w:ind w:left="420" w:hanging="409"/>
        <w:spacing w:after="0"/>
        <w:tabs>
          <w:tab w:leader="none" w:pos="4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202"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The Company closed on a $75.0 million 5-year senior secured credit facility with Deutsche Bank AG (the “Credit Facility”) in the period ended March 31, 2016. This facility included an accordion feature which allows the Company to achieve leverage of up to 2x debt-to-equity. During the year ended March 31, 2017, the Company increased credit facility commitments outstanding by an additional $90.0 million by adding three additional lenders to the syndicate, bringing total debt commitments to $165.0 million. In July 2017, the Credit Facility was amended to extend the maturity to July 2022. The Company maintains the Credit Facility to provide additional liquidity to support its investment and operational activities.</w:t>
      </w:r>
    </w:p>
    <w:p>
      <w:pPr>
        <w:spacing w:after="0" w:line="193"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Prior to the amendment to the Credit Facility, borrowings under the Credit Facility bore interest on a per annum basis at a rate equal to the applicable LIBOR rate plus 2.50%. Subsequent to the amendment, borrowings bear interest on a per annum basis at a rate equal to LIBOR plus 2.40%. The Company pays an Admin Fee of 0.25% per annum and unused fees of 0.50% per annum on the unused lender commitments under the Credit Facility. The Credit Facility is secured by a first lien on the assets of the Company. The Credit Facility contains certain affirmative and negative covenants, including but not limited to maintenance of a borrowing base. The Credit Facility is provided on a revolving basis through its final maturity date in July 2022.</w:t>
      </w:r>
    </w:p>
    <w:p>
      <w:pPr>
        <w:spacing w:after="0" w:line="193" w:lineRule="exact"/>
        <w:rPr>
          <w:sz w:val="20"/>
          <w:szCs w:val="20"/>
          <w:color w:val="auto"/>
        </w:rPr>
      </w:pPr>
    </w:p>
    <w:p>
      <w:pPr>
        <w:jc w:val="both"/>
        <w:ind w:left="20" w:firstLine="648"/>
        <w:spacing w:after="0" w:line="276" w:lineRule="auto"/>
        <w:rPr>
          <w:sz w:val="20"/>
          <w:szCs w:val="20"/>
          <w:color w:val="auto"/>
        </w:rPr>
      </w:pPr>
      <w:r>
        <w:rPr>
          <w:rFonts w:ascii="Arial" w:cs="Arial" w:eastAsia="Arial" w:hAnsi="Arial"/>
          <w:sz w:val="17"/>
          <w:szCs w:val="17"/>
          <w:color w:val="auto"/>
        </w:rPr>
        <w:t>At March 31, 2018 and 2017, the Company had $143.0 million and $122.0 million, respectively, in borrowings outstanding under the Credit Facility. The Company recognized interest expense related to the Credit Facility, including unused commitment fees and amortization of deferred loan costs, of approximately $5.3 million and $3.4 million, respectively, for the years ended March 31, 2018 and 2017. The weighted average interest rate on the Credit Facility was 3.92% and 3.44%, respectively, for the years ended March 31, 2018 and 2017. Average borrowings for the years ended March 31, 2018 and 2017 were $132.5 million and $91.7 million,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ind w:left="360" w:hanging="349"/>
        <w:spacing w:after="0"/>
        <w:tabs>
          <w:tab w:leader="none" w:pos="3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 OF PROFITS AND LOSSES</w:t>
      </w:r>
    </w:p>
    <w:p>
      <w:pPr>
        <w:spacing w:after="0" w:line="189"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For each fiscal year, profits or net losses of the Company are allocated among and credited to or debited against the capital accounts of the members as of the last day of each fiscal year in accordance the Limited Liability Company Agreement (the “LLC Agreement”). Net profits or net losses are allocated after giving effect for any initial or additional applications for interests or any repurchases of interests. Net investment income, realized gains and losses, and unrealized gains or losses are allocated to the members pro rata in accordance with their profit percentages, as defined in the LLC Agreement. Net profits or net losses are measured as the net change in the value of the members’ equity in the Company, including any change in unrealized appreciation or depreciation of investments and income, net of expenses, and realized gains or losses during a fiscal year.</w:t>
      </w:r>
    </w:p>
    <w:p>
      <w:pPr>
        <w:spacing w:after="0" w:line="189"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Each quarter a cash distribution may be made to the members, which is generally equivalent to estimated taxable income less non-cash revenue (such as original issue discount amortization or PIK interest). The estimated taxable income distributions are generally made up of taxable net investment income (excluding non-cash revenue) and realized gains and losses. Estimated taxable income and distributions made to the members therefore may be materially different than GAAP net investment income. The distribution policy is subject to change by the Board of Managers based on business and market conditions at any time.</w:t>
      </w:r>
    </w:p>
    <w:p>
      <w:pPr>
        <w:spacing w:after="0" w:line="184" w:lineRule="exact"/>
        <w:rPr>
          <w:sz w:val="20"/>
          <w:szCs w:val="20"/>
          <w:color w:val="auto"/>
        </w:rPr>
      </w:pPr>
    </w:p>
    <w:p>
      <w:pPr>
        <w:ind w:left="380" w:hanging="369"/>
        <w:spacing w:after="0"/>
        <w:tabs>
          <w:tab w:leader="none" w:pos="3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DUE FROM BROKERS</w:t>
      </w:r>
    </w:p>
    <w:p>
      <w:pPr>
        <w:spacing w:after="0" w:line="229" w:lineRule="exact"/>
        <w:rPr>
          <w:sz w:val="20"/>
          <w:szCs w:val="20"/>
          <w:color w:val="auto"/>
        </w:rPr>
      </w:pPr>
    </w:p>
    <w:p>
      <w:pPr>
        <w:jc w:val="both"/>
        <w:ind w:left="20" w:firstLine="648"/>
        <w:spacing w:after="0" w:line="255" w:lineRule="auto"/>
        <w:rPr>
          <w:sz w:val="20"/>
          <w:szCs w:val="20"/>
          <w:color w:val="auto"/>
        </w:rPr>
      </w:pPr>
      <w:r>
        <w:rPr>
          <w:rFonts w:ascii="Arial" w:cs="Arial" w:eastAsia="Arial" w:hAnsi="Arial"/>
          <w:sz w:val="18"/>
          <w:szCs w:val="18"/>
          <w:color w:val="auto"/>
        </w:rPr>
        <w:t>The Company conducts business with brokers for its investment activities. The clearing and depository operations for the investment activities are performed pursuant to agreements with the brokers. The Company is subject to credit risk to the extent any broker with whom the Company conducts business is unable to deliver cash balances or securities, or clear security transactions on the Company’s behalf. The Company monitors the financial condition of the brokers with which the Company conducts business and believes the likelihood of loss under the aforementioned circumstances is remote. At March 31, 2018 and 2017, the balance in due from brokers is cash of approximately $0.3 million and $1.7 million, respectively.</w:t>
      </w:r>
    </w:p>
    <w:p>
      <w:pPr>
        <w:spacing w:after="0" w:line="189" w:lineRule="exact"/>
        <w:rPr>
          <w:sz w:val="20"/>
          <w:szCs w:val="20"/>
          <w:color w:val="auto"/>
        </w:rPr>
      </w:pPr>
    </w:p>
    <w:p>
      <w:pPr>
        <w:ind w:left="360" w:hanging="349"/>
        <w:spacing w:after="0"/>
        <w:tabs>
          <w:tab w:leader="none" w:pos="3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jc w:val="both"/>
        <w:ind w:left="20" w:right="20" w:firstLine="648"/>
        <w:spacing w:after="0" w:line="276" w:lineRule="auto"/>
        <w:rPr>
          <w:sz w:val="20"/>
          <w:szCs w:val="20"/>
          <w:color w:val="auto"/>
        </w:rPr>
      </w:pPr>
      <w:r>
        <w:rPr>
          <w:rFonts w:ascii="Arial" w:cs="Arial" w:eastAsia="Arial" w:hAnsi="Arial"/>
          <w:sz w:val="17"/>
          <w:szCs w:val="17"/>
          <w:color w:val="auto"/>
        </w:rPr>
        <w:t>In consideration for administrative, accounting, and recordkeeping services, the Company pays the Administrator a quarterly administration fee. This fee is calculated based on the quarter end invested assets. For the year ended March 31, 2018, the Company had incurred $150,362 in administration fees, of which $37,465 were payable at the end of the year. For the year ended March 31, 2017, the Company had incurred $120,543 in administration fees, of which $35,101 were payable at the end of the year. For the period ended March 31, 2016, the Company had incurred $35,106 in administration fees, of which $19,068 were payable at the end of the year.</w:t>
      </w:r>
    </w:p>
    <w:p>
      <w:pPr>
        <w:spacing w:after="0" w:line="173" w:lineRule="exact"/>
        <w:rPr>
          <w:sz w:val="20"/>
          <w:szCs w:val="20"/>
          <w:color w:val="auto"/>
        </w:rPr>
      </w:pPr>
    </w:p>
    <w:p>
      <w:pPr>
        <w:jc w:val="both"/>
        <w:ind w:left="20" w:right="20" w:firstLine="648"/>
        <w:spacing w:after="0" w:line="264" w:lineRule="auto"/>
        <w:rPr>
          <w:sz w:val="20"/>
          <w:szCs w:val="20"/>
          <w:color w:val="auto"/>
        </w:rPr>
      </w:pPr>
      <w:r>
        <w:rPr>
          <w:rFonts w:ascii="Arial" w:cs="Arial" w:eastAsia="Arial" w:hAnsi="Arial"/>
          <w:sz w:val="18"/>
          <w:szCs w:val="18"/>
          <w:color w:val="auto"/>
        </w:rPr>
        <w:t>The Administrator is affiliated with a broker, U.S. Bank, through which the Company transacts operations. At March 31, 2018, cash and cash equivalents in the amount of $9.3 million are held with U.S. Bank. At March 31, 2017, cash and cash equivalents in the amount of $12.1 million are held by U.S. Bank.</w:t>
      </w:r>
    </w:p>
    <w:p>
      <w:pPr>
        <w:spacing w:after="0" w:line="177" w:lineRule="exact"/>
        <w:rPr>
          <w:sz w:val="20"/>
          <w:szCs w:val="20"/>
          <w:color w:val="auto"/>
        </w:rPr>
      </w:pPr>
    </w:p>
    <w:p>
      <w:pPr>
        <w:ind w:left="380" w:hanging="369"/>
        <w:spacing w:after="0"/>
        <w:tabs>
          <w:tab w:leader="none" w:pos="3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20" w:firstLine="648"/>
        <w:spacing w:after="0" w:line="286" w:lineRule="auto"/>
        <w:rPr>
          <w:sz w:val="20"/>
          <w:szCs w:val="20"/>
          <w:color w:val="auto"/>
        </w:rPr>
      </w:pPr>
      <w:r>
        <w:rPr>
          <w:rFonts w:ascii="Arial" w:cs="Arial" w:eastAsia="Arial" w:hAnsi="Arial"/>
          <w:sz w:val="17"/>
          <w:szCs w:val="17"/>
          <w:color w:val="auto"/>
        </w:rPr>
        <w:t>The Company entered into various trades during the periods ended March 31, 2018 and 2017. As of March 31, 2018 and 2017, there were outstanding trades in the amount of approximately $3.2 million and $11.8 million, respectively, that remained unsettled. This is shown as payable for securities purchased on the Consolidated Statements of Assets, Liabilities and Members’ Equity.</w:t>
      </w:r>
    </w:p>
    <w:p>
      <w:pPr>
        <w:spacing w:after="0" w:line="166" w:lineRule="exact"/>
        <w:rPr>
          <w:sz w:val="20"/>
          <w:szCs w:val="20"/>
          <w:color w:val="auto"/>
        </w:rPr>
      </w:pPr>
    </w:p>
    <w:p>
      <w:pPr>
        <w:jc w:val="both"/>
        <w:ind w:left="20" w:firstLine="648"/>
        <w:spacing w:after="0" w:line="259" w:lineRule="auto"/>
        <w:rPr>
          <w:sz w:val="20"/>
          <w:szCs w:val="20"/>
          <w:color w:val="auto"/>
        </w:rPr>
      </w:pPr>
      <w:r>
        <w:rPr>
          <w:rFonts w:ascii="Arial" w:cs="Arial" w:eastAsia="Arial" w:hAnsi="Arial"/>
          <w:sz w:val="18"/>
          <w:szCs w:val="18"/>
          <w:color w:val="auto"/>
        </w:rPr>
        <w:t>In the normal course of business, the Company is a party to financial instruments with off-balance sheet risk, consisting primarily of unused commitments to extend financing to the Company’s portfolio companies. Since commitments may expire without being drawn upon, the total commitment amount does not necessarily represent future cash requirements. The following table lists the outstanding commitments as of March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Type</w:t>
            </w: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76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3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right"/>
              <w:ind w:right="155"/>
              <w:spacing w:after="0" w:line="142" w:lineRule="exact"/>
              <w:rPr>
                <w:sz w:val="20"/>
                <w:szCs w:val="20"/>
                <w:color w:val="auto"/>
              </w:rPr>
            </w:pPr>
            <w:r>
              <w:rPr>
                <w:rFonts w:ascii="Arial" w:cs="Arial" w:eastAsia="Arial" w:hAnsi="Arial"/>
                <w:sz w:val="14"/>
                <w:szCs w:val="14"/>
                <w:b w:val="1"/>
                <w:bCs w:val="1"/>
                <w:color w:val="auto"/>
                <w:w w:val="97"/>
              </w:rPr>
              <w:t>(amounts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Ansira Holdings, Inc.</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Delayed Draw Term Loan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PT Network, LLC</w:t>
            </w:r>
          </w:p>
        </w:tc>
        <w:tc>
          <w:tcPr>
            <w:tcW w:w="3460" w:type="dxa"/>
            <w:vAlign w:val="bottom"/>
            <w:gridSpan w:val="2"/>
          </w:tcPr>
          <w:p>
            <w:pPr>
              <w:spacing w:after="0"/>
              <w:rPr>
                <w:sz w:val="20"/>
                <w:szCs w:val="20"/>
                <w:color w:val="auto"/>
              </w:rPr>
            </w:pPr>
            <w:r>
              <w:rPr>
                <w:rFonts w:ascii="Arial" w:cs="Arial" w:eastAsia="Arial" w:hAnsi="Arial"/>
                <w:sz w:val="18"/>
                <w:szCs w:val="18"/>
                <w:color w:val="auto"/>
              </w:rPr>
              <w:t>Delayed Draw Term Loan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Solaray, LLC</w:t>
            </w: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Delayed Draw Term Loan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TGP Holdings III LLC</w:t>
            </w:r>
          </w:p>
        </w:tc>
        <w:tc>
          <w:tcPr>
            <w:tcW w:w="3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Delayed Draw Term Loan</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unused commitments to extend financing</w:t>
            </w:r>
          </w:p>
        </w:tc>
        <w:tc>
          <w:tcPr>
            <w:tcW w:w="3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2" w:right="7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b w:val="1"/>
          <w:bCs w:val="1"/>
          <w:color w:val="auto"/>
        </w:rPr>
        <w:t>I-45 SLF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ind w:left="380" w:hanging="369"/>
        <w:spacing w:after="0"/>
        <w:tabs>
          <w:tab w:leader="none" w:pos="3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229" w:lineRule="exact"/>
        <w:rPr>
          <w:sz w:val="20"/>
          <w:szCs w:val="20"/>
          <w:color w:val="auto"/>
        </w:rPr>
      </w:pPr>
    </w:p>
    <w:p>
      <w:pPr>
        <w:jc w:val="both"/>
        <w:ind w:left="20" w:firstLine="648"/>
        <w:spacing w:after="0" w:line="312" w:lineRule="auto"/>
        <w:rPr>
          <w:sz w:val="20"/>
          <w:szCs w:val="20"/>
          <w:color w:val="auto"/>
        </w:rPr>
      </w:pPr>
      <w:r>
        <w:rPr>
          <w:rFonts w:ascii="Arial" w:cs="Arial" w:eastAsia="Arial" w:hAnsi="Arial"/>
          <w:sz w:val="16"/>
          <w:szCs w:val="16"/>
          <w:color w:val="auto"/>
        </w:rPr>
        <w:t>The Company may, from time to time, be involved in litigation arising out of its operations in the normal course of business or otherwise. Furthermore, third parties may try to seek to impose liability on the Company in connection with the activities of its portfolio companies. The Company has no currently pending material legal proceedings to which it is are party or to which any of its assets is subject.</w:t>
      </w:r>
    </w:p>
    <w:p>
      <w:pPr>
        <w:spacing w:after="0" w:line="143"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8"/>
          <w:szCs w:val="18"/>
          <w:b w:val="1"/>
          <w:bCs w:val="1"/>
          <w:color w:val="auto"/>
        </w:rPr>
        <w:t>9.</w:t>
        <w:tab/>
        <w:t>FINANCIAL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highlights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60" w:type="dxa"/>
            <w:vAlign w:val="bottom"/>
            <w:gridSpan w:val="2"/>
            <w:vMerge w:val="restart"/>
          </w:tcPr>
          <w:p>
            <w:pPr>
              <w:jc w:val="center"/>
              <w:ind w:right="250"/>
              <w:spacing w:after="0"/>
              <w:rPr>
                <w:sz w:val="20"/>
                <w:szCs w:val="20"/>
                <w:color w:val="auto"/>
              </w:rPr>
            </w:pPr>
            <w:r>
              <w:rPr>
                <w:rFonts w:ascii="Arial" w:cs="Arial" w:eastAsia="Arial" w:hAnsi="Arial"/>
                <w:sz w:val="14"/>
                <w:szCs w:val="14"/>
                <w:b w:val="1"/>
                <w:bCs w:val="1"/>
                <w:color w:val="auto"/>
                <w:w w:val="92"/>
              </w:rPr>
              <w:t>Year ended</w:t>
            </w: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60" w:type="dxa"/>
            <w:vAlign w:val="bottom"/>
            <w:gridSpan w:val="2"/>
            <w:vMerge w:val="restart"/>
          </w:tcPr>
          <w:p>
            <w:pPr>
              <w:jc w:val="right"/>
              <w:ind w:right="610"/>
              <w:spacing w:after="0"/>
              <w:rPr>
                <w:sz w:val="20"/>
                <w:szCs w:val="20"/>
                <w:color w:val="auto"/>
              </w:rPr>
            </w:pPr>
            <w:r>
              <w:rPr>
                <w:rFonts w:ascii="Arial" w:cs="Arial" w:eastAsia="Arial" w:hAnsi="Arial"/>
                <w:sz w:val="14"/>
                <w:szCs w:val="14"/>
                <w:b w:val="1"/>
                <w:bCs w:val="1"/>
                <w:color w:val="auto"/>
              </w:rPr>
              <w:t>Year ended</w:t>
            </w:r>
          </w:p>
        </w:tc>
        <w:tc>
          <w:tcPr>
            <w:tcW w:w="20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1"/>
              </w:rPr>
              <w:t>September 3,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6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5"/>
              </w:rPr>
              <w:t>March 31,</w:t>
            </w:r>
          </w:p>
        </w:tc>
        <w:tc>
          <w:tcPr>
            <w:tcW w:w="1760" w:type="dxa"/>
            <w:vAlign w:val="bottom"/>
            <w:gridSpan w:val="2"/>
            <w:vMerge w:val="continue"/>
          </w:tcPr>
          <w:p>
            <w:pPr>
              <w:spacing w:after="0"/>
              <w:rPr>
                <w:sz w:val="12"/>
                <w:szCs w:val="12"/>
                <w:color w:val="auto"/>
              </w:rPr>
            </w:pPr>
          </w:p>
        </w:tc>
        <w:tc>
          <w:tcPr>
            <w:tcW w:w="20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3"/>
              </w:rPr>
              <w:t>(date of incorporation)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4"/>
                <w:szCs w:val="14"/>
                <w:color w:val="auto"/>
              </w:rPr>
            </w:pPr>
          </w:p>
        </w:tc>
        <w:tc>
          <w:tcPr>
            <w:tcW w:w="176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March 31, 2017</w:t>
            </w:r>
          </w:p>
        </w:tc>
        <w:tc>
          <w:tcPr>
            <w:tcW w:w="20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Net investment income to average members' equity </w:t>
            </w:r>
            <w:r>
              <w:rPr>
                <w:rFonts w:ascii="Arial" w:cs="Arial" w:eastAsia="Arial" w:hAnsi="Arial"/>
                <w:sz w:val="8"/>
                <w:szCs w:val="8"/>
                <w:color w:val="auto"/>
              </w:rPr>
              <w:t>(1)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 xml:space="preserve">Expenses to average members' equity </w:t>
            </w:r>
            <w:r>
              <w:rPr>
                <w:rFonts w:ascii="Arial" w:cs="Arial" w:eastAsia="Arial" w:hAnsi="Arial"/>
                <w:sz w:val="8"/>
                <w:szCs w:val="8"/>
                <w:color w:val="auto"/>
              </w:rPr>
              <w:t>(1)</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(7.85)%</w:t>
            </w: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(6.58)%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Internal Rate of Return, end of year </w:t>
            </w:r>
            <w:r>
              <w:rPr>
                <w:rFonts w:ascii="Arial" w:cs="Arial" w:eastAsia="Arial" w:hAnsi="Arial"/>
                <w:sz w:val="8"/>
                <w:szCs w:val="8"/>
                <w:color w:val="auto"/>
              </w:rPr>
              <w:t>(2)</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15.04 %</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15.13 %</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29"/>
        <w:spacing w:after="0" w:line="258"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Ratios are calculated by dividing the indicated amount by average members’ equity measured as the end of each quarter during the period. For the period from September 3, 2015 (date of incorporation) to March 31, 2016, the ratios are annualized.</w:t>
      </w:r>
    </w:p>
    <w:p>
      <w:pPr>
        <w:spacing w:after="0" w:line="1" w:lineRule="exact"/>
        <w:rPr>
          <w:rFonts w:ascii="Arial" w:cs="Arial" w:eastAsia="Arial" w:hAnsi="Arial"/>
          <w:sz w:val="18"/>
          <w:szCs w:val="18"/>
          <w:color w:val="auto"/>
        </w:rPr>
      </w:pPr>
    </w:p>
    <w:p>
      <w:pPr>
        <w:jc w:val="both"/>
        <w:ind w:left="340" w:hanging="329"/>
        <w:spacing w:after="0" w:line="255"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internal rate of return since inception (“IRR”) of the members is computed based on the actual dates of cash inflows, outflows and the ending net assets at the end of the year of the members’ equity account as of each measurement date. The IRR includes actual cash payments and does not include distributions declared but not yet paid.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highlights are calculated for the members’ class taken as a whole. An individual member’s return and ratios may vary.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highlights disclosed may not be indicative of future performance of the Company.</w:t>
      </w:r>
    </w:p>
    <w:p>
      <w:pPr>
        <w:spacing w:after="0" w:line="207" w:lineRule="exact"/>
        <w:rPr>
          <w:sz w:val="20"/>
          <w:szCs w:val="20"/>
          <w:color w:val="auto"/>
        </w:rPr>
      </w:pPr>
    </w:p>
    <w:p>
      <w:pPr>
        <w:ind w:left="460" w:hanging="449"/>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firstLine="603"/>
        <w:spacing w:after="0" w:line="277" w:lineRule="auto"/>
        <w:rPr>
          <w:sz w:val="20"/>
          <w:szCs w:val="20"/>
          <w:color w:val="auto"/>
        </w:rPr>
      </w:pPr>
      <w:r>
        <w:rPr>
          <w:rFonts w:ascii="Arial" w:cs="Arial" w:eastAsia="Arial" w:hAnsi="Arial"/>
          <w:sz w:val="18"/>
          <w:szCs w:val="18"/>
          <w:color w:val="auto"/>
        </w:rPr>
        <w:t>Management has evaluated the need for additional disclosures and/or adjustments resulting from subsequent events through May 17, 2018, the date the consolidated financial statements were available to be issued.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99.3</w:t>
      </w:r>
    </w:p>
    <w:p>
      <w:pPr>
        <w:spacing w:after="0" w:line="19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TitanLiner, Inc.</w:t>
      </w:r>
    </w:p>
    <w:p>
      <w:pPr>
        <w:spacing w:after="0" w:line="25" w:lineRule="exact"/>
        <w:rPr>
          <w:sz w:val="20"/>
          <w:szCs w:val="20"/>
          <w:color w:val="auto"/>
        </w:rPr>
      </w:pPr>
    </w:p>
    <w:p>
      <w:pPr>
        <w:spacing w:after="0"/>
        <w:rPr>
          <w:sz w:val="20"/>
          <w:szCs w:val="20"/>
          <w:color w:val="auto"/>
        </w:rPr>
      </w:pPr>
      <w:r>
        <w:rPr>
          <w:rFonts w:ascii="Arial" w:cs="Arial" w:eastAsia="Arial" w:hAnsi="Arial"/>
          <w:sz w:val="32"/>
          <w:szCs w:val="32"/>
          <w:color w:val="auto"/>
        </w:rPr>
        <w:t>Financial Report</w:t>
      </w:r>
    </w:p>
    <w:p>
      <w:pPr>
        <w:spacing w:after="0"/>
        <w:rPr>
          <w:sz w:val="20"/>
          <w:szCs w:val="20"/>
          <w:color w:val="auto"/>
        </w:rPr>
      </w:pPr>
      <w:r>
        <w:rPr>
          <w:rFonts w:ascii="Arial" w:cs="Arial" w:eastAsia="Arial" w:hAnsi="Arial"/>
          <w:sz w:val="32"/>
          <w:szCs w:val="32"/>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6612255" cy="7715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6612255" cy="77152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35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20" w:type="dxa"/>
            <w:vAlign w:val="bottom"/>
            <w:gridSpan w:val="2"/>
          </w:tcPr>
          <w:p>
            <w:pPr>
              <w:jc w:val="right"/>
              <w:ind w:right="4370"/>
              <w:spacing w:after="0"/>
              <w:rPr>
                <w:sz w:val="20"/>
                <w:szCs w:val="20"/>
                <w:color w:val="auto"/>
              </w:rPr>
            </w:pPr>
            <w:r>
              <w:rPr>
                <w:rFonts w:ascii="Arial" w:cs="Arial" w:eastAsia="Arial" w:hAnsi="Arial"/>
                <w:sz w:val="27"/>
                <w:szCs w:val="27"/>
                <w:b w:val="1"/>
                <w:bCs w:val="1"/>
                <w:color w:val="auto"/>
              </w:rPr>
              <w:t>CONTENTS</w:t>
            </w:r>
          </w:p>
        </w:tc>
      </w:tr>
      <w:tr>
        <w:trPr>
          <w:trHeight w:val="47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85"/>
        </w:trPr>
        <w:tc>
          <w:tcPr>
            <w:tcW w:w="20" w:type="dxa"/>
            <w:vAlign w:val="bottom"/>
          </w:tcPr>
          <w:p>
            <w:pPr>
              <w:spacing w:after="0"/>
              <w:rPr>
                <w:sz w:val="24"/>
                <w:szCs w:val="24"/>
                <w:color w:val="auto"/>
              </w:rPr>
            </w:pPr>
          </w:p>
        </w:tc>
        <w:tc>
          <w:tcPr>
            <w:tcW w:w="21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76">
              <w:r>
                <w:rPr>
                  <w:rFonts w:ascii="Arial" w:cs="Arial" w:eastAsia="Arial" w:hAnsi="Arial"/>
                  <w:sz w:val="18"/>
                  <w:szCs w:val="18"/>
                  <w:color w:val="0000EE"/>
                  <w:w w:val="91"/>
                </w:rPr>
                <w:t>Independent Auditor’s Report</w:t>
              </w:r>
            </w:hyperlink>
          </w:p>
        </w:tc>
        <w:tc>
          <w:tcPr>
            <w:tcW w:w="1920" w:type="dxa"/>
            <w:vAlign w:val="bottom"/>
            <w:gridSpan w:val="4"/>
          </w:tcPr>
          <w:p>
            <w:pPr>
              <w:spacing w:after="0"/>
              <w:rPr>
                <w:sz w:val="24"/>
                <w:szCs w:val="24"/>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20" w:type="dxa"/>
            <w:vAlign w:val="bottom"/>
          </w:tcPr>
          <w:p>
            <w:pPr>
              <w:spacing w:after="0"/>
              <w:rPr>
                <w:sz w:val="24"/>
                <w:szCs w:val="24"/>
                <w:color w:val="auto"/>
              </w:rPr>
            </w:pPr>
          </w:p>
        </w:tc>
        <w:tc>
          <w:tcPr>
            <w:tcW w:w="15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77">
              <w:r>
                <w:rPr>
                  <w:rFonts w:ascii="Arial" w:cs="Arial" w:eastAsia="Arial" w:hAnsi="Arial"/>
                  <w:sz w:val="18"/>
                  <w:szCs w:val="18"/>
                  <w:color w:val="0000EE"/>
                  <w:w w:val="88"/>
                </w:rPr>
                <w:t>Financial Statements</w:t>
              </w:r>
            </w:hyperlink>
          </w:p>
        </w:tc>
        <w:tc>
          <w:tcPr>
            <w:tcW w:w="2580" w:type="dxa"/>
            <w:vAlign w:val="bottom"/>
            <w:gridSpan w:val="6"/>
          </w:tcPr>
          <w:p>
            <w:pPr>
              <w:spacing w:after="0"/>
              <w:rPr>
                <w:sz w:val="24"/>
                <w:szCs w:val="24"/>
                <w:color w:val="auto"/>
              </w:rPr>
            </w:pPr>
          </w:p>
        </w:tc>
        <w:tc>
          <w:tcPr>
            <w:tcW w:w="5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Borders>
              <w:bottom w:val="single" w:sz="8" w:color="0000EE"/>
            </w:tcBorders>
          </w:tcPr>
          <w:p>
            <w:pPr>
              <w:spacing w:after="0"/>
              <w:rPr>
                <w:rFonts w:ascii="Arial" w:cs="Arial" w:eastAsia="Arial" w:hAnsi="Arial"/>
                <w:sz w:val="18"/>
                <w:szCs w:val="18"/>
                <w:color w:val="0000EE"/>
                <w:w w:val="85"/>
              </w:rPr>
            </w:pPr>
            <w:hyperlink w:anchor="page178">
              <w:r>
                <w:rPr>
                  <w:rFonts w:ascii="Arial" w:cs="Arial" w:eastAsia="Arial" w:hAnsi="Arial"/>
                  <w:sz w:val="18"/>
                  <w:szCs w:val="18"/>
                  <w:color w:val="0000EE"/>
                  <w:w w:val="85"/>
                </w:rPr>
                <w:t>Balance Sheets</w:t>
              </w:r>
            </w:hyperlink>
          </w:p>
        </w:tc>
        <w:tc>
          <w:tcPr>
            <w:tcW w:w="2660" w:type="dxa"/>
            <w:vAlign w:val="bottom"/>
            <w:gridSpan w:val="7"/>
          </w:tcPr>
          <w:p>
            <w:pPr>
              <w:spacing w:after="0"/>
              <w:rPr>
                <w:sz w:val="24"/>
                <w:szCs w:val="24"/>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79">
              <w:r>
                <w:rPr>
                  <w:rFonts w:ascii="Arial" w:cs="Arial" w:eastAsia="Arial" w:hAnsi="Arial"/>
                  <w:sz w:val="18"/>
                  <w:szCs w:val="18"/>
                  <w:color w:val="0000EE"/>
                  <w:w w:val="88"/>
                </w:rPr>
                <w:t>Statements of Operations</w:t>
              </w:r>
            </w:hyperlink>
          </w:p>
        </w:tc>
        <w:tc>
          <w:tcPr>
            <w:tcW w:w="1940" w:type="dxa"/>
            <w:vAlign w:val="bottom"/>
            <w:gridSpan w:val="5"/>
          </w:tcPr>
          <w:p>
            <w:pPr>
              <w:spacing w:after="0"/>
              <w:rPr>
                <w:sz w:val="24"/>
                <w:szCs w:val="24"/>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8"/>
          </w:tcPr>
          <w:p>
            <w:pPr>
              <w:spacing w:after="0"/>
              <w:rPr>
                <w:rFonts w:ascii="Arial" w:cs="Arial" w:eastAsia="Arial" w:hAnsi="Arial"/>
                <w:sz w:val="18"/>
                <w:szCs w:val="18"/>
                <w:color w:val="0000EE"/>
                <w:w w:val="99"/>
              </w:rPr>
            </w:pPr>
            <w:hyperlink w:anchor="page180">
              <w:r>
                <w:rPr>
                  <w:rFonts w:ascii="Arial" w:cs="Arial" w:eastAsia="Arial" w:hAnsi="Arial"/>
                  <w:sz w:val="18"/>
                  <w:szCs w:val="18"/>
                  <w:color w:val="0000EE"/>
                  <w:w w:val="99"/>
                </w:rPr>
                <w:t>Statements of Changes in Stockholders’ Equity</w:t>
              </w:r>
            </w:hyperlink>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181">
              <w:r>
                <w:rPr>
                  <w:rFonts w:ascii="Arial" w:cs="Arial" w:eastAsia="Arial" w:hAnsi="Arial"/>
                  <w:sz w:val="18"/>
                  <w:szCs w:val="18"/>
                  <w:color w:val="0000EE"/>
                  <w:w w:val="88"/>
                </w:rPr>
                <w:t>Statements of Cash Flows</w:t>
              </w:r>
            </w:hyperlink>
          </w:p>
        </w:tc>
        <w:tc>
          <w:tcPr>
            <w:tcW w:w="1520" w:type="dxa"/>
            <w:vAlign w:val="bottom"/>
            <w:tcBorders>
              <w:top w:val="single" w:sz="8" w:color="0000EE"/>
            </w:tcBorders>
            <w:gridSpan w:val="2"/>
          </w:tcPr>
          <w:p>
            <w:pPr>
              <w:spacing w:after="0"/>
              <w:rPr>
                <w:sz w:val="24"/>
                <w:szCs w:val="24"/>
                <w:color w:val="auto"/>
              </w:rPr>
            </w:pPr>
          </w:p>
        </w:tc>
        <w:tc>
          <w:tcPr>
            <w:tcW w:w="360" w:type="dxa"/>
            <w:vAlign w:val="bottom"/>
          </w:tcPr>
          <w:p>
            <w:pPr>
              <w:spacing w:after="0"/>
              <w:rPr>
                <w:sz w:val="24"/>
                <w:szCs w:val="24"/>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gridSpan w:val="8"/>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Notes to Financial Statements</w:t>
              </w:r>
            </w:hyperlink>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1027"/>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2" w:right="739" w:bottom="1440" w:gutter="0" w:footer="0" w:header="0"/>
        </w:sectPr>
      </w:pPr>
    </w:p>
    <w:bookmarkStart w:id="175" w:name="page176"/>
    <w:bookmarkEnd w:id="175"/>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474980</wp:posOffset>
            </wp:positionH>
            <wp:positionV relativeFrom="page">
              <wp:posOffset>226060</wp:posOffset>
            </wp:positionV>
            <wp:extent cx="2255520" cy="677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2255520" cy="677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TitanLiner,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 Worth, Texas</w:t>
      </w:r>
    </w:p>
    <w:p>
      <w:pPr>
        <w:spacing w:after="0" w:line="21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We have audited the accompanying financial statements of TitanLiner, Inc. (a Nevada corporation), which comprise the balance sheets as of December 31, 2017 and 2016, and the related statements of operations, changes in stockholders’ equity and cash flows for each of the years in the three-year period ended December 31, 2017, and the related notes to the financial statements.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29"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Auditor’s Responsibility</w:t>
      </w:r>
    </w:p>
    <w:p>
      <w:pPr>
        <w:spacing w:after="0" w:line="229"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81"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TitanLiner, Inc. as of December 31, 2017 and 2016, and the results of its operations and its cash flows for the each of the years in the three-year period ended December 31, 2017 in accordance with accounting principles generally accepted in the United States of America.</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700" w:type="dxa"/>
            <w:vAlign w:val="bottom"/>
          </w:tcPr>
          <w:p>
            <w:pPr>
              <w:ind w:left="740"/>
              <w:spacing w:after="0"/>
              <w:rPr>
                <w:sz w:val="20"/>
                <w:szCs w:val="20"/>
                <w:color w:val="auto"/>
              </w:rPr>
            </w:pPr>
            <w:r>
              <w:rPr>
                <w:rFonts w:ascii="Arial" w:cs="Arial" w:eastAsia="Arial" w:hAnsi="Arial"/>
                <w:sz w:val="14"/>
                <w:szCs w:val="14"/>
                <w:color w:val="auto"/>
                <w:w w:val="96"/>
              </w:rPr>
              <w:t>2821 WEST SEVENTH STREET, SUITE 700, FORT WORTH, TX</w:t>
            </w:r>
          </w:p>
        </w:tc>
      </w:tr>
      <w:tr>
        <w:trPr>
          <w:trHeight w:val="149"/>
        </w:trPr>
        <w:tc>
          <w:tcPr>
            <w:tcW w:w="2540" w:type="dxa"/>
            <w:vAlign w:val="bottom"/>
          </w:tcPr>
          <w:p>
            <w:pPr>
              <w:ind w:left="20"/>
              <w:spacing w:after="0" w:line="149" w:lineRule="exact"/>
              <w:rPr>
                <w:sz w:val="20"/>
                <w:szCs w:val="20"/>
                <w:color w:val="auto"/>
              </w:rPr>
            </w:pPr>
            <w:r>
              <w:rPr>
                <w:rFonts w:ascii="Arial" w:cs="Arial" w:eastAsia="Arial" w:hAnsi="Arial"/>
                <w:sz w:val="14"/>
                <w:szCs w:val="14"/>
                <w:color w:val="auto"/>
              </w:rPr>
              <w:t>AN INDEPENDENT MEMBER OF</w:t>
            </w:r>
          </w:p>
        </w:tc>
        <w:tc>
          <w:tcPr>
            <w:tcW w:w="3180" w:type="dxa"/>
            <w:vAlign w:val="bottom"/>
          </w:tcPr>
          <w:p>
            <w:pPr>
              <w:ind w:left="420"/>
              <w:spacing w:after="0" w:line="149" w:lineRule="exact"/>
              <w:rPr>
                <w:sz w:val="20"/>
                <w:szCs w:val="20"/>
                <w:color w:val="auto"/>
              </w:rPr>
            </w:pPr>
            <w:r>
              <w:rPr>
                <w:rFonts w:ascii="Arial" w:cs="Arial" w:eastAsia="Arial" w:hAnsi="Arial"/>
                <w:sz w:val="14"/>
                <w:szCs w:val="14"/>
                <w:color w:val="34715B"/>
              </w:rPr>
              <w:t>WEAVER AND TIDWELL, L.L.P.</w:t>
            </w:r>
          </w:p>
        </w:tc>
        <w:tc>
          <w:tcPr>
            <w:tcW w:w="4700" w:type="dxa"/>
            <w:vAlign w:val="bottom"/>
          </w:tcPr>
          <w:p>
            <w:pPr>
              <w:ind w:left="740"/>
              <w:spacing w:after="0" w:line="149" w:lineRule="exact"/>
              <w:rPr>
                <w:sz w:val="20"/>
                <w:szCs w:val="20"/>
                <w:color w:val="auto"/>
              </w:rPr>
            </w:pPr>
            <w:r>
              <w:rPr>
                <w:rFonts w:ascii="Arial" w:cs="Arial" w:eastAsia="Arial" w:hAnsi="Arial"/>
                <w:sz w:val="14"/>
                <w:szCs w:val="14"/>
                <w:color w:val="auto"/>
              </w:rPr>
              <w:t>76107</w:t>
            </w: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BAKER TILLY INTERNATIONAL</w:t>
            </w:r>
          </w:p>
        </w:tc>
        <w:tc>
          <w:tcPr>
            <w:tcW w:w="7880" w:type="dxa"/>
            <w:vAlign w:val="bottom"/>
            <w:gridSpan w:val="2"/>
          </w:tcPr>
          <w:p>
            <w:pPr>
              <w:ind w:left="420"/>
              <w:spacing w:after="0"/>
              <w:rPr>
                <w:sz w:val="20"/>
                <w:szCs w:val="20"/>
                <w:color w:val="auto"/>
              </w:rPr>
            </w:pPr>
            <w:r>
              <w:rPr>
                <w:rFonts w:ascii="Arial" w:cs="Arial" w:eastAsia="Arial" w:hAnsi="Arial"/>
                <w:sz w:val="14"/>
                <w:szCs w:val="14"/>
                <w:color w:val="auto"/>
              </w:rPr>
              <w:t xml:space="preserve">CERTIFIED PUBLIC ACCOUNTANTS AND ADVISORS </w:t>
            </w:r>
            <w:r>
              <w:rPr>
                <w:rFonts w:ascii="Arial" w:cs="Arial" w:eastAsia="Arial" w:hAnsi="Arial"/>
                <w:sz w:val="14"/>
                <w:szCs w:val="14"/>
                <w:color w:val="34715B"/>
              </w:rPr>
              <w:t>P:</w:t>
            </w:r>
            <w:r>
              <w:rPr>
                <w:rFonts w:ascii="Arial" w:cs="Arial" w:eastAsia="Arial" w:hAnsi="Arial"/>
                <w:sz w:val="14"/>
                <w:szCs w:val="14"/>
                <w:color w:val="auto"/>
              </w:rPr>
              <w:t xml:space="preserve"> 817.332.7905  </w:t>
            </w:r>
            <w:r>
              <w:rPr>
                <w:rFonts w:ascii="Arial" w:cs="Arial" w:eastAsia="Arial" w:hAnsi="Arial"/>
                <w:sz w:val="14"/>
                <w:szCs w:val="14"/>
                <w:color w:val="34715B"/>
              </w:rPr>
              <w:t>F:</w:t>
            </w:r>
            <w:r>
              <w:rPr>
                <w:rFonts w:ascii="Arial" w:cs="Arial" w:eastAsia="Arial" w:hAnsi="Arial"/>
                <w:sz w:val="14"/>
                <w:szCs w:val="14"/>
                <w:color w:val="auto"/>
              </w:rPr>
              <w:t xml:space="preserve"> 817.429.5936</w:t>
            </w:r>
          </w:p>
        </w:tc>
      </w:tr>
      <w:tr>
        <w:trPr>
          <w:trHeight w:val="330"/>
        </w:trPr>
        <w:tc>
          <w:tcPr>
            <w:tcW w:w="25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440" w:right="73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35"/>
          <w:szCs w:val="35"/>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812165</wp:posOffset>
            </wp:positionV>
            <wp:extent cx="661225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019"/>
          </w:cols>
          <w:pgMar w:left="1440" w:top="308"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Balance Sheets</w:t>
      </w:r>
    </w:p>
    <w:p>
      <w:pPr>
        <w:jc w:val="center"/>
        <w:spacing w:after="0"/>
        <w:rPr>
          <w:sz w:val="20"/>
          <w:szCs w:val="20"/>
          <w:color w:val="auto"/>
        </w:rPr>
      </w:pPr>
      <w:r>
        <w:rPr>
          <w:rFonts w:ascii="Arial" w:cs="Arial" w:eastAsia="Arial" w:hAnsi="Arial"/>
          <w:sz w:val="22"/>
          <w:szCs w:val="22"/>
          <w:b w:val="1"/>
          <w:bCs w:val="1"/>
          <w:color w:val="auto"/>
        </w:rPr>
        <w:t>December 31, 2017 and 2016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rPr>
              <w:t>Cash</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1,382,463</w:t>
            </w:r>
          </w:p>
        </w:tc>
        <w:tc>
          <w:tcPr>
            <w:tcW w:w="1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999,415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 of allowance of $67,402 and $33,133, respectively)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5,397,404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3,037,643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835,638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483,618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117,832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rPr>
              <w:t>Income tax receivable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413,785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 asset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7,781,006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4,997,965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6"/>
                <w:szCs w:val="16"/>
                <w:b w:val="1"/>
                <w:bCs w:val="1"/>
                <w:color w:val="auto"/>
              </w:rPr>
              <w:t>PROPERTY AND EQUIPMENT, net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3,191,639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1,938,310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60,111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Deposits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39,601</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other assets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99,927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11,072,572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7,045,168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819,063</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954,053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 payable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348,516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rPr>
              <w:t>Capital lease obligation, current portion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131,937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137,369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current portion</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26,787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ind w:left="62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2,280,356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999,063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6"/>
                <w:szCs w:val="16"/>
                <w:b w:val="1"/>
                <w:bCs w:val="1"/>
                <w:color w:val="auto"/>
              </w:rPr>
              <w:t>LONG-TERM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Line of credit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1,064,114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1,064,114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rPr>
              <w:t>Capital lease obligation, net of current portion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Deferred income tax liability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374,024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240,582</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long-term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1,498,157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1,386,373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w w:val="92"/>
              </w:rPr>
              <w:t>Series A preferred stock, $0.001 stated par value, 370,664 shares authorized, issued, and outstanding at December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2017 and 2016,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1"/>
              </w:rPr>
              <w:t>Series B preferred stock, $0.001 stated par value, 1,299,173 shares authorized, issued, and outstanding at December 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2017 and 2016,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uto"/>
                <w:w w:val="96"/>
              </w:rPr>
              <w:t>Common stock, $0.001 stated par value, 5,000,000 shares authorized, 1,000,000 issued, and 765,031 and 749,300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6"/>
                <w:szCs w:val="16"/>
                <w:color w:val="auto"/>
              </w:rPr>
              <w:t>outstanding at December 31, 2017 and 2016,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8,297,502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8,258,241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3,158,065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562,999</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11,458,237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8,823,910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Treasury 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(4,164,178)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(4,164,178)</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7,294,059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4,659,732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11,072,572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7,045,168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Notes to Financial Statements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integral part of these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661225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Operations</w:t>
      </w:r>
    </w:p>
    <w:p>
      <w:pPr>
        <w:jc w:val="center"/>
        <w:spacing w:after="0"/>
        <w:rPr>
          <w:sz w:val="20"/>
          <w:szCs w:val="20"/>
          <w:color w:val="auto"/>
        </w:rPr>
      </w:pPr>
      <w:r>
        <w:rPr>
          <w:rFonts w:ascii="Arial" w:cs="Arial" w:eastAsia="Arial" w:hAnsi="Arial"/>
          <w:sz w:val="22"/>
          <w:szCs w:val="22"/>
          <w:b w:val="1"/>
          <w:bCs w:val="1"/>
          <w:color w:val="auto"/>
        </w:rPr>
        <w:t>Years Ended December 31, 2017, 2016, and 2015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net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15,471,273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8,023,883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13,374,467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7,761,967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5,594,808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8,425,226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7,709,306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2,429,075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4,949,241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Selling expenses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3,093,263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2,690,156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3,046,816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selling, general and administrative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3,445,458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20"/>
              <w:spacing w:after="0"/>
              <w:rPr>
                <w:sz w:val="20"/>
                <w:szCs w:val="20"/>
                <w:color w:val="auto"/>
              </w:rPr>
            </w:pPr>
            <w:r>
              <w:rPr>
                <w:rFonts w:ascii="Arial" w:cs="Arial" w:eastAsia="Arial" w:hAnsi="Arial"/>
                <w:sz w:val="18"/>
                <w:szCs w:val="18"/>
                <w:color w:val="auto"/>
              </w:rPr>
              <w:t>Operating income (loss)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3,736,923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(1,016,383)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Miscellaneous income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Gain (loss) on disposal of assets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(189,792)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(636,412)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(645,306)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3,700,067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(1,652,795)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 (BENEFIT)</w:t>
            </w:r>
          </w:p>
        </w:tc>
        <w:tc>
          <w:tcPr>
            <w:tcW w:w="1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1,105,001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4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2,595,066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(1,083,053)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Notes to Financial Statements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integral part of these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Statements of Changes in Stockholders’ Equity</w:t>
      </w:r>
    </w:p>
    <w:p>
      <w:pPr>
        <w:ind w:left="2960"/>
        <w:spacing w:after="0"/>
        <w:rPr>
          <w:sz w:val="20"/>
          <w:szCs w:val="20"/>
          <w:color w:val="auto"/>
        </w:rPr>
      </w:pPr>
      <w:r>
        <w:rPr>
          <w:rFonts w:ascii="Arial" w:cs="Arial" w:eastAsia="Arial" w:hAnsi="Arial"/>
          <w:sz w:val="22"/>
          <w:szCs w:val="22"/>
          <w:b w:val="1"/>
          <w:bCs w:val="1"/>
          <w:color w:val="auto"/>
        </w:rPr>
        <w:t>Years Ended December 31, 2017, 2016, and 2015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3"/>
                <w:szCs w:val="13"/>
                <w:b w:val="1"/>
                <w:bCs w:val="1"/>
                <w:color w:val="auto"/>
                <w:w w:val="86"/>
              </w:rPr>
              <w:t>Preferred Stock</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Treasury</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10"/>
        </w:trPr>
        <w:tc>
          <w:tcPr>
            <w:tcW w:w="276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1"/>
              </w:rPr>
              <w:t>Series A</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Series A</w:t>
            </w:r>
          </w:p>
        </w:tc>
        <w:tc>
          <w:tcPr>
            <w:tcW w:w="58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99"/>
              </w:rPr>
              <w:t>Series B</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1"/>
              </w:rPr>
              <w:t>Series B</w:t>
            </w:r>
          </w:p>
        </w:tc>
        <w:tc>
          <w:tcPr>
            <w:tcW w:w="5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Common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7"/>
              </w:rPr>
              <w:t>Stock</w:t>
            </w:r>
          </w:p>
        </w:tc>
        <w:tc>
          <w:tcPr>
            <w:tcW w:w="100" w:type="dxa"/>
            <w:vAlign w:val="bottom"/>
          </w:tcPr>
          <w:p>
            <w:pPr>
              <w:spacing w:after="0"/>
              <w:rPr>
                <w:sz w:val="9"/>
                <w:szCs w:val="9"/>
                <w:color w:val="auto"/>
              </w:rPr>
            </w:pPr>
          </w:p>
        </w:tc>
        <w:tc>
          <w:tcPr>
            <w:tcW w:w="7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Paid-in</w:t>
            </w:r>
          </w:p>
        </w:tc>
        <w:tc>
          <w:tcPr>
            <w:tcW w:w="5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Treasury</w:t>
            </w:r>
          </w:p>
        </w:tc>
        <w:tc>
          <w:tcPr>
            <w:tcW w:w="80" w:type="dxa"/>
            <w:vAlign w:val="bottom"/>
          </w:tcPr>
          <w:p>
            <w:pPr>
              <w:spacing w:after="0"/>
              <w:rPr>
                <w:sz w:val="9"/>
                <w:szCs w:val="9"/>
                <w:color w:val="auto"/>
              </w:rPr>
            </w:pPr>
          </w:p>
        </w:tc>
        <w:tc>
          <w:tcPr>
            <w:tcW w:w="70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53"/>
        </w:trPr>
        <w:tc>
          <w:tcPr>
            <w:tcW w:w="276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Par Value</w:t>
            </w:r>
          </w:p>
        </w:tc>
        <w:tc>
          <w:tcPr>
            <w:tcW w:w="580" w:type="dxa"/>
            <w:vAlign w:val="bottom"/>
          </w:tcPr>
          <w:p>
            <w:pPr>
              <w:jc w:val="right"/>
              <w:ind w:right="7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Par Value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Par Value</w:t>
            </w:r>
          </w:p>
        </w:tc>
        <w:tc>
          <w:tcPr>
            <w:tcW w:w="10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Capital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3"/>
                <w:szCs w:val="1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129"/>
        </w:trPr>
        <w:tc>
          <w:tcPr>
            <w:tcW w:w="2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January 1, 2015</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237,164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237</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717,837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1,000</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$ 5,225,717</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282,163</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 (4,164,178)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1,613,697</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2,676,473</w:t>
            </w: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57,585</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57,585</w:t>
            </w: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Issuance of stock grants</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(11,831)</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Exercise of Series A preferred stock warrants</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w w:val="93"/>
              </w:rPr>
              <w:t>122,239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1,100</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1,222</w:t>
            </w: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32,355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32,355</w:t>
            </w:r>
          </w:p>
        </w:tc>
      </w:tr>
      <w:tr>
        <w:trPr>
          <w:trHeight w:val="129"/>
        </w:trPr>
        <w:tc>
          <w:tcPr>
            <w:tcW w:w="27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December 31, 2015</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359,403</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359</w:t>
            </w:r>
          </w:p>
        </w:tc>
        <w:tc>
          <w:tcPr>
            <w:tcW w:w="10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729,668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5,284,402</w:t>
            </w: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270,332</w:t>
            </w: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(4,164,178)</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1,646,052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2,767,635</w:t>
            </w: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Stock-based compensation</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63,693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63,693</w:t>
            </w: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Issuance of stock grants</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19,632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(19,632)</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Exercise of Series A preferred stock warrants</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w:t>
            </w: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w w:val="98"/>
              </w:rPr>
              <w:t>Conversion of debt to Series B preferred stock</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9"/>
              </w:rPr>
              <w:t>1,299,173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1,299</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2,910,045</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6"/>
              </w:rPr>
              <w:t>2,911,344</w:t>
            </w: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loss</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7"/>
              </w:rPr>
              <w:t>(1,083,053)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0"/>
              </w:rPr>
              <w:t>(1,083,053)</w:t>
            </w:r>
          </w:p>
        </w:tc>
      </w:tr>
      <w:tr>
        <w:trPr>
          <w:trHeight w:val="129"/>
        </w:trPr>
        <w:tc>
          <w:tcPr>
            <w:tcW w:w="27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December 31, 2016</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370,664</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371</w:t>
            </w:r>
          </w:p>
        </w:tc>
        <w:tc>
          <w:tcPr>
            <w:tcW w:w="10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1,299,173</w:t>
            </w: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1,299</w:t>
            </w: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749,300</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8,258,241</w:t>
            </w: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250,700</w:t>
            </w:r>
          </w:p>
        </w:tc>
        <w:tc>
          <w:tcPr>
            <w:tcW w:w="8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(4,164,178)</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562,999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4,659,732</w:t>
            </w: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Stock-based compensation</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39,261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39,261</w:t>
            </w:r>
          </w:p>
        </w:tc>
      </w:tr>
      <w:tr>
        <w:trPr>
          <w:trHeight w:val="135"/>
        </w:trPr>
        <w:tc>
          <w:tcPr>
            <w:tcW w:w="2760" w:type="dxa"/>
            <w:vAlign w:val="bottom"/>
          </w:tcPr>
          <w:p>
            <w:pPr>
              <w:ind w:left="120"/>
              <w:spacing w:after="0" w:line="135" w:lineRule="exact"/>
              <w:rPr>
                <w:sz w:val="20"/>
                <w:szCs w:val="20"/>
                <w:color w:val="auto"/>
              </w:rPr>
            </w:pPr>
            <w:r>
              <w:rPr>
                <w:rFonts w:ascii="Arial" w:cs="Arial" w:eastAsia="Arial" w:hAnsi="Arial"/>
                <w:sz w:val="13"/>
                <w:szCs w:val="13"/>
                <w:color w:val="auto"/>
              </w:rPr>
              <w:t>Issuance of stock grants</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15,731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(15,731)</w:t>
            </w: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Net income</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2,595,066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2,595,066</w:t>
            </w:r>
          </w:p>
        </w:tc>
      </w:tr>
      <w:tr>
        <w:trPr>
          <w:trHeight w:val="136"/>
        </w:trPr>
        <w:tc>
          <w:tcPr>
            <w:tcW w:w="2760" w:type="dxa"/>
            <w:vAlign w:val="bottom"/>
          </w:tcPr>
          <w:p>
            <w:pPr>
              <w:ind w:left="120"/>
              <w:spacing w:after="0" w:line="129" w:lineRule="exact"/>
              <w:rPr>
                <w:sz w:val="20"/>
                <w:szCs w:val="20"/>
                <w:color w:val="auto"/>
              </w:rPr>
            </w:pPr>
            <w:r>
              <w:rPr>
                <w:rFonts w:ascii="Arial" w:cs="Arial" w:eastAsia="Arial" w:hAnsi="Arial"/>
                <w:sz w:val="13"/>
                <w:szCs w:val="13"/>
                <w:color w:val="auto"/>
              </w:rPr>
              <w:t>BALANCE, December 31, 2017</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370,664</w:t>
            </w: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371</w:t>
            </w: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1,299,173</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1,299</w:t>
            </w:r>
          </w:p>
        </w:tc>
        <w:tc>
          <w:tcPr>
            <w:tcW w:w="1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765,031</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4"/>
              </w:rPr>
              <w:t>$ 8,297,502</w:t>
            </w:r>
          </w:p>
        </w:tc>
        <w:tc>
          <w:tcPr>
            <w:tcW w:w="1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234,969</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 (4,164,178)</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3,158,065</w:t>
            </w: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6"/>
              </w:rPr>
              <w:t>7,294,059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Notes to Financial Statements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integral part of these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Cash Flows</w:t>
      </w:r>
    </w:p>
    <w:p>
      <w:pPr>
        <w:jc w:val="center"/>
        <w:spacing w:after="0"/>
        <w:rPr>
          <w:sz w:val="20"/>
          <w:szCs w:val="20"/>
          <w:color w:val="auto"/>
        </w:rPr>
      </w:pPr>
      <w:r>
        <w:rPr>
          <w:rFonts w:ascii="Arial" w:cs="Arial" w:eastAsia="Arial" w:hAnsi="Arial"/>
          <w:sz w:val="22"/>
          <w:szCs w:val="22"/>
          <w:b w:val="1"/>
          <w:bCs w:val="1"/>
          <w:color w:val="auto"/>
        </w:rPr>
        <w:t>Years Ended December 31, 2017, 2016, and 2015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Arial" w:cs="Arial" w:eastAsia="Arial" w:hAnsi="Arial"/>
                <w:sz w:val="16"/>
                <w:szCs w:val="16"/>
                <w:color w:val="auto"/>
              </w:rPr>
              <w:t>Net income (loss)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2,595,066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(1,083,053)</w:t>
            </w:r>
          </w:p>
        </w:tc>
        <w:tc>
          <w:tcPr>
            <w:tcW w:w="2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32,355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Adjustments to reconcile net income (loss) to net cash provided by (used in) operating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Arial" w:cs="Arial" w:eastAsia="Arial" w:hAnsi="Arial"/>
                <w:sz w:val="16"/>
                <w:szCs w:val="16"/>
                <w:color w:val="auto"/>
              </w:rPr>
              <w:t>Provision for bad debt expense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67,402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33,133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814,873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835,955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1,301,888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Arial" w:cs="Arial" w:eastAsia="Arial" w:hAnsi="Arial"/>
                <w:sz w:val="16"/>
                <w:szCs w:val="16"/>
                <w:color w:val="auto"/>
              </w:rPr>
              <w:t>Interest on warrants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206,494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208,737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(Gain) loss on sale of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189,792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Arial" w:cs="Arial" w:eastAsia="Arial" w:hAnsi="Arial"/>
                <w:sz w:val="16"/>
                <w:szCs w:val="16"/>
                <w:color w:val="auto"/>
              </w:rPr>
              <w:t>Non-cash stock-based compensation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39,261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63,693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57,585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Deferred tax</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(2,427,163)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(150,133)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1,073,583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Arial" w:cs="Arial" w:eastAsia="Arial" w:hAnsi="Arial"/>
                <w:sz w:val="16"/>
                <w:szCs w:val="16"/>
                <w:color w:val="auto"/>
              </w:rPr>
              <w:t>Inventory</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(352,020)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365,392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(52,532)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Prepaid expenses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59,929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Arial" w:cs="Arial" w:eastAsia="Arial" w:hAnsi="Arial"/>
                <w:sz w:val="16"/>
                <w:szCs w:val="16"/>
                <w:color w:val="auto"/>
              </w:rPr>
              <w:t>Income tax receivable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413,785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(385,748)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Intangible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Arial" w:cs="Arial" w:eastAsia="Arial" w:hAnsi="Arial"/>
                <w:sz w:val="16"/>
                <w:szCs w:val="16"/>
                <w:color w:val="auto"/>
              </w:rPr>
              <w:t>Deposits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5,037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(24,422)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62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601,387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91,094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5"/>
              </w:rPr>
              <w:t>(2,630,060)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Income tax payable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348,516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(393,483)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2,456,086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367,113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5"/>
              </w:rPr>
              <w:t>(1,983,188)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(202,096)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(760,400)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1,004,266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ind w:left="94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5"/>
              </w:rPr>
              <w:t>(1,964,544)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802,170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(737,514)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preferred stock warrants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300"/>
              <w:spacing w:after="0"/>
              <w:rPr>
                <w:sz w:val="20"/>
                <w:szCs w:val="20"/>
                <w:color w:val="auto"/>
              </w:rPr>
            </w:pPr>
            <w:r>
              <w:rPr>
                <w:rFonts w:ascii="Arial" w:cs="Arial" w:eastAsia="Arial" w:hAnsi="Arial"/>
                <w:sz w:val="16"/>
                <w:szCs w:val="16"/>
                <w:color w:val="auto"/>
              </w:rPr>
              <w:t>Net payments on line of credit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(617,591)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Payments on capital lease obligation</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(182,754)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Payments on long-term debt principal</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(29,388)</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(254,013)</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(66,324)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(108,494)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(1,054,245)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(441,609)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tcPr>
          <w:p>
            <w:pPr>
              <w:ind w:left="940"/>
              <w:spacing w:after="0"/>
              <w:rPr>
                <w:sz w:val="20"/>
                <w:szCs w:val="20"/>
                <w:color w:val="auto"/>
              </w:rPr>
            </w:pPr>
            <w:r>
              <w:rPr>
                <w:rFonts w:ascii="Arial" w:cs="Arial" w:eastAsia="Arial" w:hAnsi="Arial"/>
                <w:sz w:val="16"/>
                <w:szCs w:val="16"/>
                <w:color w:val="auto"/>
              </w:rPr>
              <w:t>Change in cash</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383,048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115,038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5"/>
              </w:rPr>
              <w:t>(2,004,171)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beginning of year</w:t>
            </w: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999,415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884,377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2,888,548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rPr>
                <w:sz w:val="20"/>
                <w:szCs w:val="20"/>
                <w:color w:val="auto"/>
              </w:rPr>
            </w:pPr>
            <w:r>
              <w:rPr>
                <w:rFonts w:ascii="Arial" w:cs="Arial" w:eastAsia="Arial" w:hAnsi="Arial"/>
                <w:sz w:val="16"/>
                <w:szCs w:val="16"/>
                <w:b w:val="1"/>
                <w:bCs w:val="1"/>
                <w:color w:val="auto"/>
              </w:rPr>
              <w:t>CASH, end of year</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1,382,463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999,415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884,377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paid during the year for interest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311,514</w:t>
            </w:r>
          </w:p>
        </w:tc>
        <w:tc>
          <w:tcPr>
            <w:tcW w:w="2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683,171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20" w:type="dxa"/>
            <w:vAlign w:val="bottom"/>
            <w:tcBorders>
              <w:top w:val="single" w:sz="8" w:color="CCEEFF"/>
              <w:bottom w:val="single" w:sz="8" w:color="CCEEFF"/>
            </w:tcBorders>
          </w:tcPr>
          <w:p>
            <w:pPr>
              <w:ind w:left="300"/>
              <w:spacing w:after="0"/>
              <w:rPr>
                <w:sz w:val="20"/>
                <w:szCs w:val="20"/>
                <w:color w:val="auto"/>
              </w:rPr>
            </w:pPr>
            <w:r>
              <w:rPr>
                <w:rFonts w:ascii="Arial" w:cs="Arial" w:eastAsia="Arial" w:hAnsi="Arial"/>
                <w:sz w:val="16"/>
                <w:szCs w:val="16"/>
                <w:color w:val="auto"/>
              </w:rPr>
              <w:t>Cash paid for income taxes</w:t>
            </w:r>
          </w:p>
        </w:tc>
        <w:tc>
          <w:tcPr>
            <w:tcW w:w="3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b w:val="1"/>
                <w:bCs w:val="1"/>
                <w:color w:val="auto"/>
              </w:rPr>
              <w:t>NON CASH INVESTING AND FINANCING ACTIVITIES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Equipment purchased with financing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277,051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20" w:type="dxa"/>
            <w:vAlign w:val="bottom"/>
            <w:tcBorders>
              <w:top w:val="single" w:sz="8" w:color="CCEEFF"/>
            </w:tcBorders>
          </w:tcPr>
          <w:p>
            <w:pPr>
              <w:ind w:left="300"/>
              <w:spacing w:after="0"/>
              <w:rPr>
                <w:sz w:val="20"/>
                <w:szCs w:val="20"/>
                <w:color w:val="auto"/>
              </w:rPr>
            </w:pPr>
            <w:r>
              <w:rPr>
                <w:rFonts w:ascii="Arial" w:cs="Arial" w:eastAsia="Arial" w:hAnsi="Arial"/>
                <w:sz w:val="16"/>
                <w:szCs w:val="16"/>
                <w:color w:val="auto"/>
              </w:rPr>
              <w:t>Conversion of notes payable to Series B preferred stock</w:t>
            </w: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2,911,344</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Notes to Financial Statements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integral part of these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661225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28" w:right="7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Notes to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Organization and Nature of Operations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TitanLiner, Inc. (the Company) is a Nevada corporation which was originally organized as a Texas limited liability company (LLC) on April 15, 2010. The Company converted from a LLC to a Texas corporation on June 29, 2012. On November 2, 2012, the Company converted from a Texas corporation to a Nevada corporation.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the conversion, the Company entered into an investment agreement (the Agreement) with Capital Southwest Corporation (CSC), K. Rick Turner Revocable Trust, Turner Family Partnership, MK Holdings, LP, Josh Hopkins, Tim Manning, Brannon Nash and Coy Taylor (collectively the Investors). The Company sold and the Investors acquired the Company’s senior subordinated secured promissory notes in the aggregate principal of $3,000,000, 237,164 shares of Series A Convertible Preferred Stock for $3,500,000 and warrants to acquire an aggregate of 133,500 shares of Series A Convertible Preferred Stock. In December 2016, the Company and the Investors agreed to convert the outstanding notes payable totaling $2,911,344 net of the debt discount of $88,656 into 1,299,173 shares of Series B Convertible Preferred Stock.</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was organized to acquire and operate containment systems and related activities. The Company derives its revenue from building rigid secondary containment systems and renting portable containment systems in the oil and gas industry and providing coating services.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purposes of the statements of cash flows, the Company considers all highly liquid instruments with an original maturity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 and Allowance for Doubtful Accounts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Accounts receivable are stated at the amounts management expects to collect from outstanding balances. The carrying amount of accounts receivable is reduced by an allowance for uncollectible accounts that reflects management’s best estimate of the amount that will not be collected. Management individually reviews all receivable balances and, based on an assessment of current creditworthiness, past experience, historical losses, and management’s evaluation of other pertinent factors, estimates the portion, if any, of the balance that will not be collected.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provides for probable uncollectible amounts through a charge to earnings and a credit to a valuation allowance, based on its assessment.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that are still outstanding after management has used reasonable collection efforts are written off through a charge to the allowance and a credit to the respective receivable account.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consists of tank bases, containment systems, and various chemical agents. Inventory is stated at the lower of cost or net realizable value. Cost is determined using the average cost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include the prepaid portion of insurance policies and building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of property and equipment is provided using the straight-line method for financial reporting purposes at rates based on the following estimated useful lives:</w:t>
      </w:r>
    </w:p>
    <w:p>
      <w:pPr>
        <w:spacing w:after="0" w:line="198"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Equipment</w:t>
            </w:r>
          </w:p>
        </w:tc>
        <w:tc>
          <w:tcPr>
            <w:tcW w:w="3520" w:type="dxa"/>
            <w:vAlign w:val="bottom"/>
          </w:tcPr>
          <w:p>
            <w:pPr>
              <w:jc w:val="right"/>
              <w:spacing w:after="0"/>
              <w:rPr>
                <w:sz w:val="20"/>
                <w:szCs w:val="20"/>
                <w:color w:val="auto"/>
              </w:rPr>
            </w:pPr>
            <w:r>
              <w:rPr>
                <w:rFonts w:ascii="Arial" w:cs="Arial" w:eastAsia="Arial" w:hAnsi="Arial"/>
                <w:sz w:val="18"/>
                <w:szCs w:val="18"/>
                <w:color w:val="auto"/>
              </w:rPr>
              <w:t>2 – 5 years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Autos, trucks and trailers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Building</w:t>
            </w:r>
          </w:p>
        </w:tc>
        <w:tc>
          <w:tcPr>
            <w:tcW w:w="3520" w:type="dxa"/>
            <w:vAlign w:val="bottom"/>
          </w:tcPr>
          <w:p>
            <w:pPr>
              <w:jc w:val="right"/>
              <w:spacing w:after="0"/>
              <w:rPr>
                <w:sz w:val="20"/>
                <w:szCs w:val="20"/>
                <w:color w:val="auto"/>
              </w:rPr>
            </w:pPr>
            <w:r>
              <w:rPr>
                <w:rFonts w:ascii="Arial" w:cs="Arial" w:eastAsia="Arial" w:hAnsi="Arial"/>
                <w:sz w:val="18"/>
                <w:szCs w:val="18"/>
                <w:color w:val="auto"/>
              </w:rPr>
              <w:t>40 years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years</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Rental equipment</w:t>
            </w:r>
          </w:p>
        </w:tc>
        <w:tc>
          <w:tcPr>
            <w:tcW w:w="3520" w:type="dxa"/>
            <w:vAlign w:val="bottom"/>
          </w:tcPr>
          <w:p>
            <w:pPr>
              <w:jc w:val="right"/>
              <w:spacing w:after="0"/>
              <w:rPr>
                <w:sz w:val="20"/>
                <w:szCs w:val="20"/>
                <w:color w:val="auto"/>
              </w:rPr>
            </w:pPr>
            <w:r>
              <w:rPr>
                <w:rFonts w:ascii="Arial" w:cs="Arial" w:eastAsia="Arial" w:hAnsi="Arial"/>
                <w:sz w:val="18"/>
                <w:szCs w:val="18"/>
                <w:color w:val="auto"/>
              </w:rPr>
              <w:t>2 years</w:t>
            </w:r>
          </w:p>
        </w:tc>
      </w:tr>
    </w:tbl>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Replacements, betterments, and additions to property and equipment are capitalized at cost. Expenditures for repairs and maintenance are expensed as incurred. The cost of assets disposed of and the related accumulated depreciation are eliminated from the accounts in the year of disposal. Gains or losses resulting from property disposals are credited or charged to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include costs incurred for a patent for portable containment systems for hazardous or other materials and computer software.</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was $9,181 for each of the years ended December 31, 2017, 2016, and 2015 respectively. Estimated amortization expense for each of the next 5 years and thereafter are as follows:</w:t>
      </w:r>
    </w:p>
    <w:p>
      <w:pPr>
        <w:spacing w:after="0" w:line="176"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6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Years ending December 31,</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r>
      <w:tr>
        <w:trPr>
          <w:trHeight w:val="210"/>
        </w:trPr>
        <w:tc>
          <w:tcPr>
            <w:tcW w:w="6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9,181</w:t>
            </w:r>
          </w:p>
        </w:tc>
      </w:tr>
      <w:tr>
        <w:trPr>
          <w:trHeight w:val="216"/>
        </w:trPr>
        <w:tc>
          <w:tcPr>
            <w:tcW w:w="67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9,181</w:t>
            </w:r>
          </w:p>
        </w:tc>
      </w:tr>
      <w:tr>
        <w:trPr>
          <w:trHeight w:val="216"/>
        </w:trPr>
        <w:tc>
          <w:tcPr>
            <w:tcW w:w="6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9,181</w:t>
            </w:r>
          </w:p>
        </w:tc>
      </w:tr>
      <w:tr>
        <w:trPr>
          <w:trHeight w:val="216"/>
        </w:trPr>
        <w:tc>
          <w:tcPr>
            <w:tcW w:w="67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9,181</w:t>
            </w:r>
          </w:p>
        </w:tc>
      </w:tr>
      <w:tr>
        <w:trPr>
          <w:trHeight w:val="216"/>
        </w:trPr>
        <w:tc>
          <w:tcPr>
            <w:tcW w:w="6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9,181</w:t>
            </w:r>
          </w:p>
        </w:tc>
      </w:tr>
      <w:tr>
        <w:trPr>
          <w:trHeight w:val="216"/>
        </w:trPr>
        <w:tc>
          <w:tcPr>
            <w:tcW w:w="6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Thereafter</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14,206</w:t>
            </w:r>
          </w:p>
        </w:tc>
      </w:tr>
      <w:tr>
        <w:trPr>
          <w:trHeight w:val="217"/>
        </w:trPr>
        <w:tc>
          <w:tcPr>
            <w:tcW w:w="6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60,111</w:t>
            </w: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applies Financial Accounting Standards Board (FASB) Accounting Standard Codification (ASC) Topic 350,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and Other </w:t>
      </w:r>
      <w:r>
        <w:rPr>
          <w:rFonts w:ascii="Arial" w:cs="Arial" w:eastAsia="Arial" w:hAnsi="Arial"/>
          <w:sz w:val="16"/>
          <w:szCs w:val="16"/>
          <w:color w:val="auto"/>
        </w:rPr>
        <w:t>(ASC Topic 350) which establishes a framework for capitalizing internally developed intangibles. ASC Topic 350 states an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internally generated intangible (i.e. patent or trademark) may be capitalized if the following three conditions are satisfied; 1) the costs relate to an intangible asset that can be specifically identified; 2) the identifiable intangible has a determinable life, and 3) the intangible is not one that is inherent in a going concern (internally generated goodwill). The Company deems the patent mentioned above meets all three of these criteria.</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Intangible assets are amortized over their estimated useful lives. Amortizable intangible assets are reviewed at least annually to determine whether events or circumstances warrant a revision to the remaining period of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 and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applies Financial Accounting Standards Board (FASB) Accounting Standard Codification (ASC) Topic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 </w:t>
      </w:r>
      <w:r>
        <w:rPr>
          <w:rFonts w:ascii="Arial" w:cs="Arial" w:eastAsia="Arial" w:hAnsi="Arial"/>
          <w:sz w:val="18"/>
          <w:szCs w:val="18"/>
          <w:color w:val="auto"/>
        </w:rPr>
        <w:t>(ASC Topic 820), which establishes a framework for measuring fair value under U.S.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principles and enhances disclosures about the fair value of financial instruments.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instruments of the Company consist of cash, trade accounts receivable, and trade accounts payable. The carrying value of these financial instruments approximates their fair value due to the short maturity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products and services are sold based upon purchase orders or field tickets with their customers. The Company recognizes revenue once the following four criteria are met: (i) persuasive evidence of an arrangement exists, (ii) delivery of the product has occurred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661225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services have been rendered, (iii) the price of the product or service is fixed or determinable and (iv) collectability is reasonably assured. The Company also recognizes revenue as services are performed in accordance with the related field tickets.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products and services are recognized upon completion of a containment system at the customer site, upon completion of a coating service, or upon completion of a portable rental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was converted to a C-corporation on June 29, 2012. Items of income and loss attributable to a C-corporation are taxed at the corporate level. The Company is subject to federal income tax.</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deferred taxes represent the future tax return consequences of those differences, which will either be taxable or deductible when the assets and liabilities are recovered or settled. An asset and liability approach is used in accounting for income taxes. Deferred tax assets and deferred tax liabilities are classified as current or non-current based on the classification of the related asset or liability for financial reporting or according to the expected reversal date of temporary differences not related to an asset or liability for financial reporting. In addition, a valuation allowance is used, if necessary, to reduce deferred tax assets by the amount of any tax benefits that are not expected to be realized in the future based on available evidence.</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implemented the accounting guidance for uncertainty in income taxes using the provisions of ASC Topic 740</w:t>
      </w:r>
      <w:r>
        <w:rPr>
          <w:rFonts w:ascii="Arial" w:cs="Arial" w:eastAsia="Arial" w:hAnsi="Arial"/>
          <w:sz w:val="16"/>
          <w:szCs w:val="16"/>
          <w:i w:val="1"/>
          <w:iCs w:val="1"/>
          <w:color w:val="auto"/>
        </w:rPr>
        <w:t>.</w:t>
      </w:r>
      <w:r>
        <w:rPr>
          <w:rFonts w:ascii="Arial" w:cs="Arial" w:eastAsia="Arial" w:hAnsi="Arial"/>
          <w:sz w:val="16"/>
          <w:szCs w:val="16"/>
          <w:color w:val="auto"/>
        </w:rPr>
        <w:t xml:space="preserve"> Using that guidance, tax positions initially need to be recognized in the financial statements when it is more-likely-than-not the position will be sustained upon examination by the tax authorities. Such tax positions initially and subsequently need to be measured as the largest amount of tax benefit that has a greater than 50% likelihood of being realized upon ultimate settlement with the tax authority assuming full knowledge of the position and relevant facts. The Company believes that it has appropriate support for the income tax positions taken and to be taken on its tax returns, and that its accruals for tax liabilities are adequate for all open tax years based on an assessment of many factors including experience and interpretations of tax laws applied to the facts of each matter. As of December 31, 2017, the Company’s tax years 2014 and thereafter remain subject to examination for federal tax purposes and tax years 2013 and thereafter remain subject to examination for state tax purposes.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policy is to record any interest or penalties related to uncertain tax positions as a component of the related federal or state income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Accordingly,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Concentrations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revenue is derived from customers involved in the oil and gas industry. Future operations could be affected by changes in economic or other conditions in the geographical areas in which they operate or by changes in the demand for such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normal course of business, the Company maintains cash balances in excess of federally insured limits. The Company has not experienced any losses in such accounts and believes it is not exposed to any significant credit risk on cash or cash equivalents.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customer base consists primarily of oil and natural gas producers. This concentration of customers may impact the Company’s overall credit risk, either positively or negatively, in that these entities may be similarly affected by changes in economic or other conditions. Collateral is not required for credit extended to the Company’s customers in the form of accounts receivable. The Company believes the individual customer credit risk is generally mitigated by the size, reputation and nature of its customers.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normal course of business, the Company grants credit to its customers based on credit evaluations of their financial condition and generally requires no collateral or other security. Major customers are defined as those individually comprising more than 10% of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661225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Company’s accounts receivable. At December 31, 2017 and 2016, the Company had three major customers representing 38% and 56% of accounts receivable, respectively.</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Major customers are defined as those individually comprising more than 10% of the Company’s sales. For the year ended December 31, 2017, the Company had two major customers representing 27% of the Company’s sales. For the year ended December 31, 2016, the Company had one major customer representing 35% of the Company’s sales. For the year ended December 31, 2015, the Company had three major customers representing 43% of the Company’s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costs for the years ended December 31, 2017, 2016 , and 2015 were $72,202, $45,748, and $65,745,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November 2015, the FASB issued ASU 2015</w:t>
      </w:r>
      <w:r>
        <w:rPr>
          <w:rFonts w:ascii="MS PGothic" w:cs="MS PGothic" w:eastAsia="MS PGothic" w:hAnsi="MS PGothic"/>
          <w:sz w:val="17"/>
          <w:szCs w:val="17"/>
          <w:color w:val="auto"/>
        </w:rPr>
        <w:t>‑</w:t>
      </w:r>
      <w:r>
        <w:rPr>
          <w:rFonts w:ascii="Arial" w:cs="Arial" w:eastAsia="Arial" w:hAnsi="Arial"/>
          <w:sz w:val="17"/>
          <w:szCs w:val="17"/>
          <w:color w:val="auto"/>
        </w:rPr>
        <w:t>17, “Income Taxes”, which requires all deferred tax assets and liabilities to be classified as non-current on the balance sheet instead of separating deferred taxes into current and non-current amounts. The guidance is effective for annual and interim periods beginning after December 15, 2017, and may be adopted on either a prospective or retrospective basis.</w:t>
      </w:r>
    </w:p>
    <w:p>
      <w:pPr>
        <w:spacing w:after="0" w:line="20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“Leases”, a comprehensive new standard that amends various aspects of existing accounting guidance for leases, including the recognition of a right of use asset and a lease liability for leases with a duration greater than one year. The guidance is effective for fiscal years beginning after December 15, 2019, including interim periods within those fiscal years. Early adoption is permitted. The Company has not completed a review of the new guidance; however, the Company anticipates that upon adoption of the standard the Company will recognize additional assets and corresponding liabilities related to leases on the Company’s balance sheet.</w:t>
      </w:r>
    </w:p>
    <w:p>
      <w:pPr>
        <w:spacing w:after="0" w:line="2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May 2014, the FASB issued ASU No. 2014</w:t>
      </w:r>
      <w:r>
        <w:rPr>
          <w:rFonts w:ascii="MS PGothic" w:cs="MS PGothic" w:eastAsia="MS PGothic" w:hAnsi="MS PGothic"/>
          <w:sz w:val="18"/>
          <w:szCs w:val="18"/>
          <w:color w:val="auto"/>
        </w:rPr>
        <w:t>‑</w:t>
      </w:r>
      <w:r>
        <w:rPr>
          <w:rFonts w:ascii="Arial" w:cs="Arial" w:eastAsia="Arial" w:hAnsi="Arial"/>
          <w:sz w:val="18"/>
          <w:szCs w:val="18"/>
          <w:color w:val="auto"/>
        </w:rPr>
        <w:t>09, which amends ASC Topic 606, “Revenue from Contracts with Customers”. The amendments in this ASU are intended to provide a more robust framework for addressing revenue issues, improve comparability of revenue recognition practices and improve disclosure requirements. The amendments in this accounting standard update are effective for interim and annual reporting periods beginning after December 15, 2017 and December 15, 2018 for public and private entities, respectively. This ASU can be adopted either retrospectively or as a cumulative effect adjustment as of the date of adoption. The Company has not completed a review of the new guidance and its impact on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has evaluated all events or transactions that occurred after December 31, 2017 through May 31, 2018, the date the financial statements were available to be issued. During this period, the Company had no material recognizable subsequent events.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Property and Equipment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 December 31:</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5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86,029</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641,893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643,785</w:t>
            </w:r>
          </w:p>
        </w:tc>
        <w:tc>
          <w:tcPr>
            <w:tcW w:w="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Autos, trucks and trailers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1,906,715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1,726,938</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Building</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1,299,510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1,244,830</w:t>
            </w:r>
          </w:p>
        </w:tc>
        <w:tc>
          <w:tcPr>
            <w:tcW w:w="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49,535</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97,151</w:t>
            </w:r>
          </w:p>
        </w:tc>
        <w:tc>
          <w:tcPr>
            <w:tcW w:w="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Rental equipment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3,058,360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1,489,582</w:t>
            </w:r>
          </w:p>
        </w:tc>
        <w:tc>
          <w:tcPr>
            <w:tcW w:w="6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7,082,172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5,337,850</w:t>
            </w:r>
          </w:p>
        </w:tc>
        <w:tc>
          <w:tcPr>
            <w:tcW w:w="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(3,890,533)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(3,399,540)</w:t>
            </w:r>
          </w:p>
        </w:tc>
        <w:tc>
          <w:tcPr>
            <w:tcW w:w="60" w:type="dxa"/>
            <w:vAlign w:val="bottom"/>
            <w:shd w:val="clear" w:color="auto" w:fill="CCEEFF"/>
          </w:tcPr>
          <w:p>
            <w:pPr>
              <w:spacing w:after="0"/>
              <w:rPr>
                <w:sz w:val="18"/>
                <w:szCs w:val="18"/>
                <w:color w:val="auto"/>
              </w:rPr>
            </w:pPr>
          </w:p>
        </w:tc>
      </w:tr>
      <w:tr>
        <w:trPr>
          <w:trHeight w:val="217"/>
        </w:trPr>
        <w:tc>
          <w:tcPr>
            <w:tcW w:w="5840" w:type="dxa"/>
            <w:vAlign w:val="bottom"/>
          </w:tcPr>
          <w:p>
            <w:pPr>
              <w:ind w:left="48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3,191,639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1,938,310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2017, 2016, and 2015 was $805,692, $826,774, and $1,292,707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661225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Line of Credit</w:t>
      </w:r>
    </w:p>
    <w:p>
      <w:pPr>
        <w:spacing w:after="0" w:line="21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loan agreement with Comerica Bank was amended in December 2016 to require that the Company pay the principal sum of $3,000,000, or the amount outstanding under the agreement, together with interest thereon at the daily LIBOR rate plus the applicable margin, due January 1, 2019. Eligible accounts consist solely of trade accounts created in the ordinary course of business, upon which the Company’s right to receive advances or repayments is absolute and not contingent upon the fulfillment of any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and 2016, the outstanding balance was $1,064,114,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Long-Term Debt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59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Term notes payable to a financing company, payable in monthly installments</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totaling $2,664 including interest at 5.95% through January 6, 2020; secured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by equipment.</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0"/>
              </w:rPr>
              <w:t>60,382</w:t>
            </w:r>
          </w:p>
        </w:tc>
        <w:tc>
          <w:tcPr>
            <w:tcW w:w="4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0"/>
              </w:rPr>
              <w:t>89,770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ind w:left="54"/>
              <w:spacing w:after="0"/>
              <w:rPr>
                <w:sz w:val="20"/>
                <w:szCs w:val="20"/>
                <w:color w:val="auto"/>
              </w:rPr>
            </w:pPr>
            <w:r>
              <w:rPr>
                <w:rFonts w:ascii="Arial" w:cs="Arial" w:eastAsia="Arial" w:hAnsi="Arial"/>
                <w:sz w:val="18"/>
                <w:szCs w:val="18"/>
                <w:color w:val="auto"/>
                <w:w w:val="90"/>
              </w:rPr>
              <w:t>60,382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90"/>
              </w:rPr>
              <w:t>89,770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 portion</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4"/>
              <w:spacing w:after="0"/>
              <w:rPr>
                <w:sz w:val="20"/>
                <w:szCs w:val="20"/>
                <w:color w:val="auto"/>
              </w:rPr>
            </w:pPr>
            <w:r>
              <w:rPr>
                <w:rFonts w:ascii="Arial" w:cs="Arial" w:eastAsia="Arial" w:hAnsi="Arial"/>
                <w:sz w:val="18"/>
                <w:szCs w:val="18"/>
                <w:color w:val="auto"/>
                <w:w w:val="92"/>
              </w:rPr>
              <w:t>(26,787)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2"/>
              </w:rPr>
              <w:t>(27,358)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5920" w:type="dxa"/>
            <w:vAlign w:val="bottom"/>
          </w:tcPr>
          <w:p>
            <w:pPr>
              <w:ind w:left="64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center"/>
              <w:ind w:left="54"/>
              <w:spacing w:after="0"/>
              <w:rPr>
                <w:sz w:val="20"/>
                <w:szCs w:val="20"/>
                <w:color w:val="auto"/>
              </w:rPr>
            </w:pPr>
            <w:r>
              <w:rPr>
                <w:rFonts w:ascii="Arial" w:cs="Arial" w:eastAsia="Arial" w:hAnsi="Arial"/>
                <w:sz w:val="18"/>
                <w:szCs w:val="18"/>
                <w:color w:val="auto"/>
                <w:w w:val="90"/>
              </w:rPr>
              <w:t>33,595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0"/>
              </w:rPr>
              <w:t>62,412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60" w:type="dxa"/>
            <w:vAlign w:val="bottom"/>
            <w:gridSpan w:val="2"/>
          </w:tcPr>
          <w:p>
            <w:pPr>
              <w:spacing w:after="0"/>
              <w:rPr>
                <w:sz w:val="20"/>
                <w:szCs w:val="20"/>
                <w:color w:val="auto"/>
              </w:rPr>
            </w:pPr>
            <w:r>
              <w:rPr>
                <w:rFonts w:ascii="Arial" w:cs="Arial" w:eastAsia="Arial" w:hAnsi="Arial"/>
                <w:sz w:val="18"/>
                <w:szCs w:val="18"/>
                <w:color w:val="auto"/>
              </w:rPr>
              <w:t>As of December 31, 2017, maturities of long-term debt are as follows: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vMerge w:val="restart"/>
          </w:tcPr>
          <w:p>
            <w:pPr>
              <w:spacing w:after="0"/>
              <w:rPr>
                <w:sz w:val="19"/>
                <w:szCs w:val="19"/>
                <w:color w:val="auto"/>
              </w:rPr>
            </w:pPr>
          </w:p>
        </w:tc>
        <w:tc>
          <w:tcPr>
            <w:tcW w:w="5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Income Taxes</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Deferred income tax assets and liabilities for the Company are computed annually for temporary differences between financial statement and tax bases of assets and liabilities that will result in taxable or deductible amounts in the future based on enacted tax laws and rates applicable to the periods in which the differences are expected to be realized. Income tax expenses are the taxes payable or refundable for the period plus or minus the change during the period in deferred tax assets and liabilities.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income tax provision differs from that computed by applying statutory rates to income before income tax expense (refund) primarily because of property basis adjustments required by tax regulations.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22, 2017, legislation was signed into law which enacts significant changes to U.S. tax and related laws, including certain key U.S. federal income tax provisions applicable to oilfield service and manufacturing companies such as the Company. These include, but are not limited to, the following: a reduction in the maximum U.S. corporate tax rate to 21% beginning in 2018 from 35% in 2017, allows for the immediate expensing of certain property placed in service after September 27, 2017, elimination of certain manufacturing deductions after 2017 and limitations on the deductibility of Interest expense after 2017. U.S. state or other regulatory bodies have not announced potential changes to existing laws and regulations which may result from the new U.S. tax and related laws. U.S. GAAP requires that the impact of tax legislation be recognized in the period in which the law was enacted. As a result, the Company recorded a tax benefit of $190,288 due to a remeasurement of deferred tax assets and liabilities at December 31, 2017 at the U.S. corporate tax rate of 21%.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661225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income tax provision for the years ended December 31, 2017, 2016, and 2015 consists of the following:</w:t>
      </w:r>
    </w:p>
    <w:p>
      <w:pPr>
        <w:spacing w:after="0" w:line="230"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39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ind w:left="320"/>
              <w:spacing w:after="0"/>
              <w:rPr>
                <w:sz w:val="20"/>
                <w:szCs w:val="20"/>
                <w:color w:val="auto"/>
              </w:rPr>
            </w:pPr>
            <w:r>
              <w:rPr>
                <w:rFonts w:ascii="Arial" w:cs="Arial" w:eastAsia="Arial" w:hAnsi="Arial"/>
                <w:sz w:val="18"/>
                <w:szCs w:val="18"/>
                <w:color w:val="auto"/>
              </w:rPr>
              <w:t>Current</w:t>
            </w:r>
          </w:p>
        </w:tc>
        <w:tc>
          <w:tcPr>
            <w:tcW w:w="1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739,052</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(384,548)</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32,169</w:t>
            </w: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279,130</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State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60" w:type="dxa"/>
            <w:vAlign w:val="bottom"/>
            <w:shd w:val="clear" w:color="auto" w:fill="CCEEFF"/>
          </w:tcPr>
          <w:p>
            <w:pPr>
              <w:spacing w:after="0"/>
              <w:rPr>
                <w:sz w:val="18"/>
                <w:szCs w:val="18"/>
                <w:color w:val="auto"/>
              </w:rPr>
            </w:pPr>
          </w:p>
        </w:tc>
      </w:tr>
      <w:tr>
        <w:trPr>
          <w:trHeight w:val="216"/>
        </w:trPr>
        <w:tc>
          <w:tcPr>
            <w:tcW w:w="3900" w:type="dxa"/>
            <w:vAlign w:val="bottom"/>
          </w:tcPr>
          <w:p>
            <w:pPr>
              <w:ind w:left="320"/>
              <w:spacing w:after="0"/>
              <w:rPr>
                <w:sz w:val="20"/>
                <w:szCs w:val="20"/>
                <w:color w:val="auto"/>
              </w:rPr>
            </w:pPr>
            <w:r>
              <w:rPr>
                <w:rFonts w:ascii="Arial" w:cs="Arial" w:eastAsia="Arial" w:hAnsi="Arial"/>
                <w:sz w:val="18"/>
                <w:szCs w:val="18"/>
                <w:color w:val="auto"/>
              </w:rPr>
              <w:t>Deferred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520"/>
              <w:spacing w:after="0"/>
              <w:rPr>
                <w:sz w:val="20"/>
                <w:szCs w:val="20"/>
                <w:color w:val="auto"/>
              </w:rPr>
            </w:pPr>
            <w:r>
              <w:rPr>
                <w:rFonts w:ascii="Arial" w:cs="Arial" w:eastAsia="Arial" w:hAnsi="Arial"/>
                <w:sz w:val="14"/>
                <w:szCs w:val="14"/>
                <w:color w:val="auto"/>
              </w:rPr>
              <w:t>—</w:t>
            </w:r>
          </w:p>
        </w:tc>
      </w:tr>
      <w:tr>
        <w:trPr>
          <w:trHeight w:val="217"/>
        </w:trPr>
        <w:tc>
          <w:tcPr>
            <w:tcW w:w="390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Income tax provision(benefit)</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1,105,001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319,065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estimated provision for income tax differs from the amount calculated by applying the statutory federal income tax rates to income before taxes due to expenses which are not deductible for federal income tax, as follows:</w:t>
      </w:r>
    </w:p>
    <w:p>
      <w:pPr>
        <w:spacing w:after="0" w:line="176"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5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Taxes at statutory rates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1,258,023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(561,950)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51,991</w:t>
            </w:r>
          </w:p>
        </w:tc>
        <w:tc>
          <w:tcPr>
            <w:tcW w:w="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State taxes at various rates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97,766</w:t>
            </w:r>
          </w:p>
        </w:tc>
        <w:tc>
          <w:tcPr>
            <w:tcW w:w="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(221,941)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169,308</w:t>
            </w:r>
          </w:p>
        </w:tc>
        <w:tc>
          <w:tcPr>
            <w:tcW w:w="60" w:type="dxa"/>
            <w:vAlign w:val="bottom"/>
            <w:shd w:val="clear" w:color="auto" w:fill="CCEEFF"/>
          </w:tcPr>
          <w:p>
            <w:pPr>
              <w:spacing w:after="0"/>
              <w:rPr>
                <w:sz w:val="18"/>
                <w:szCs w:val="18"/>
                <w:color w:val="auto"/>
              </w:rPr>
            </w:pPr>
          </w:p>
        </w:tc>
      </w:tr>
      <w:tr>
        <w:trPr>
          <w:trHeight w:val="217"/>
        </w:trPr>
        <w:tc>
          <w:tcPr>
            <w:tcW w:w="502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1,105,001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(569,742)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319,065</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at December 31, 2017 and 2016 are presented below:</w:t>
      </w:r>
    </w:p>
    <w:p>
      <w:pPr>
        <w:spacing w:after="0" w:line="257" w:lineRule="exact"/>
        <w:rPr>
          <w:sz w:val="20"/>
          <w:szCs w:val="20"/>
          <w:color w:val="auto"/>
        </w:rPr>
      </w:pPr>
    </w:p>
    <w:tbl>
      <w:tblPr>
        <w:tblLayout w:type="fixed"/>
        <w:tblInd w:w="1620" w:type="dxa"/>
        <w:tblCellMar>
          <w:top w:w="0" w:type="dxa"/>
          <w:left w:w="0" w:type="dxa"/>
          <w:bottom w:w="0" w:type="dxa"/>
          <w:right w:w="0" w:type="dxa"/>
        </w:tblCellMar>
      </w:tblPr>
      <w:tr>
        <w:trPr>
          <w:trHeight w:val="171"/>
        </w:trPr>
        <w:tc>
          <w:tcPr>
            <w:tcW w:w="50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Stock compensation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23,182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22,393</w:t>
            </w: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Bad debts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5"/>
              </w:rPr>
              <w:t>(12,958)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w:t>
            </w:r>
          </w:p>
        </w:tc>
        <w:tc>
          <w:tcPr>
            <w:tcW w:w="60" w:type="dxa"/>
            <w:vAlign w:val="bottom"/>
            <w:shd w:val="clear" w:color="auto" w:fill="CCEEFF"/>
          </w:tcPr>
          <w:p>
            <w:pPr>
              <w:spacing w:after="0"/>
              <w:rPr>
                <w:sz w:val="18"/>
                <w:szCs w:val="18"/>
                <w:color w:val="auto"/>
              </w:rPr>
            </w:pPr>
          </w:p>
        </w:tc>
      </w:tr>
      <w:tr>
        <w:trPr>
          <w:trHeight w:val="217"/>
        </w:trPr>
        <w:tc>
          <w:tcPr>
            <w:tcW w:w="5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income tax asset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32,173</w:t>
            </w:r>
          </w:p>
        </w:tc>
        <w:tc>
          <w:tcPr>
            <w:tcW w:w="60" w:type="dxa"/>
            <w:vAlign w:val="bottom"/>
            <w:tcBorders>
              <w:bottom w:val="single" w:sz="8" w:color="CCEEFF"/>
            </w:tcBorders>
          </w:tcPr>
          <w:p>
            <w:pPr>
              <w:spacing w:after="0"/>
              <w:rPr>
                <w:sz w:val="18"/>
                <w:szCs w:val="18"/>
                <w:color w:val="auto"/>
              </w:rPr>
            </w:pPr>
          </w:p>
        </w:tc>
      </w:tr>
      <w:tr>
        <w:trPr>
          <w:trHeight w:val="216"/>
        </w:trPr>
        <w:tc>
          <w:tcPr>
            <w:tcW w:w="5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principally due to depreciation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374,024</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253,590</w:t>
            </w:r>
          </w:p>
        </w:tc>
        <w:tc>
          <w:tcPr>
            <w:tcW w:w="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5"/>
              </w:rPr>
              <w:t>(13,008)</w:t>
            </w:r>
          </w:p>
        </w:tc>
      </w:tr>
      <w:tr>
        <w:trPr>
          <w:trHeight w:val="217"/>
        </w:trPr>
        <w:tc>
          <w:tcPr>
            <w:tcW w:w="5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income tax liability</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 7.  Leases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jc w:val="both"/>
        <w:ind w:left="20" w:right="20"/>
        <w:spacing w:after="0" w:line="312" w:lineRule="auto"/>
        <w:rPr>
          <w:sz w:val="20"/>
          <w:szCs w:val="20"/>
          <w:color w:val="auto"/>
        </w:rPr>
      </w:pPr>
      <w:r>
        <w:rPr>
          <w:rFonts w:ascii="Arial" w:cs="Arial" w:eastAsia="Arial" w:hAnsi="Arial"/>
          <w:sz w:val="16"/>
          <w:szCs w:val="16"/>
          <w:color w:val="auto"/>
        </w:rPr>
        <w:t>The Company leases autos and equipment with lease terms through 2020. The assets and liabilities under capital leases are recorded at the lower of the present value of the minimum lease payments or the fair value of the assets. The assets are depreciated over the shorter of their related lease terms or their estimated productive lives. Depreciation of assets under capital leases is included in depreciation expense.</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Following is a summary of property held under capital leases at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1040" w:type="dxa"/>
            <w:vAlign w:val="bottom"/>
          </w:tcPr>
          <w:p>
            <w:pPr>
              <w:spacing w:after="0"/>
              <w:rPr>
                <w:sz w:val="14"/>
                <w:szCs w:val="14"/>
                <w:color w:val="auto"/>
              </w:rPr>
            </w:pPr>
          </w:p>
        </w:tc>
      </w:tr>
      <w:tr>
        <w:trPr>
          <w:trHeight w:val="210"/>
        </w:trPr>
        <w:tc>
          <w:tcPr>
            <w:tcW w:w="10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Autos</w:t>
            </w:r>
          </w:p>
        </w:tc>
        <w:tc>
          <w:tcPr>
            <w:tcW w:w="3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454,926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482,948</w:t>
            </w:r>
          </w:p>
        </w:tc>
        <w:tc>
          <w:tcPr>
            <w:tcW w:w="10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3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(350,581)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(310,450)</w:t>
            </w:r>
          </w:p>
        </w:tc>
        <w:tc>
          <w:tcPr>
            <w:tcW w:w="1040" w:type="dxa"/>
            <w:vAlign w:val="bottom"/>
          </w:tcPr>
          <w:p>
            <w:pPr>
              <w:spacing w:after="0"/>
              <w:rPr>
                <w:sz w:val="18"/>
                <w:szCs w:val="18"/>
                <w:color w:val="auto"/>
              </w:rPr>
            </w:pPr>
          </w:p>
        </w:tc>
      </w:tr>
      <w:tr>
        <w:trPr>
          <w:trHeight w:val="230"/>
        </w:trPr>
        <w:tc>
          <w:tcPr>
            <w:tcW w:w="106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5"/>
              </w:rPr>
              <w:t>104,345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172,498</w:t>
            </w:r>
          </w:p>
        </w:tc>
        <w:tc>
          <w:tcPr>
            <w:tcW w:w="1040" w:type="dxa"/>
            <w:vAlign w:val="bottom"/>
          </w:tcPr>
          <w:p>
            <w:pPr>
              <w:spacing w:after="0"/>
              <w:rPr>
                <w:sz w:val="19"/>
                <w:szCs w:val="19"/>
                <w:color w:val="auto"/>
              </w:rPr>
            </w:pPr>
          </w:p>
        </w:tc>
      </w:tr>
      <w:tr>
        <w:trPr>
          <w:trHeight w:val="851"/>
        </w:trPr>
        <w:tc>
          <w:tcPr>
            <w:tcW w:w="10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20" w:type="dxa"/>
            <w:vAlign w:val="bottom"/>
          </w:tcPr>
          <w:p>
            <w:pPr>
              <w:jc w:val="right"/>
              <w:ind w:right="187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5"/>
        </w:trPr>
        <w:tc>
          <w:tcPr>
            <w:tcW w:w="10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12" w:right="7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lease payments under capital leases as of December 31, 2017 for each of the next three years are:</w:t>
      </w:r>
    </w:p>
    <w:p>
      <w:pPr>
        <w:spacing w:after="0" w:line="230"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28,585</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60" w:type="dxa"/>
            <w:vAlign w:val="bottom"/>
            <w:shd w:val="clear" w:color="auto" w:fill="CCEEFF"/>
          </w:tcPr>
          <w:p>
            <w:pPr>
              <w:spacing w:after="0"/>
              <w:rPr>
                <w:sz w:val="18"/>
                <w:szCs w:val="18"/>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165,019</w:t>
            </w:r>
          </w:p>
        </w:tc>
        <w:tc>
          <w:tcPr>
            <w:tcW w:w="6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Amount representing interest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60" w:type="dxa"/>
            <w:vAlign w:val="bottom"/>
            <w:shd w:val="clear" w:color="auto" w:fill="CCEEFF"/>
          </w:tcPr>
          <w:p>
            <w:pPr>
              <w:spacing w:after="0"/>
              <w:rPr>
                <w:sz w:val="18"/>
                <w:szCs w:val="18"/>
                <w:color w:val="auto"/>
              </w:rPr>
            </w:pPr>
          </w:p>
        </w:tc>
      </w:tr>
      <w:tr>
        <w:trPr>
          <w:trHeight w:val="210"/>
        </w:trPr>
        <w:tc>
          <w:tcPr>
            <w:tcW w:w="7320" w:type="dxa"/>
            <w:vAlign w:val="bottom"/>
            <w:gridSpan w:val="2"/>
          </w:tcPr>
          <w:p>
            <w:pPr>
              <w:ind w:left="320"/>
              <w:spacing w:after="0"/>
              <w:rPr>
                <w:sz w:val="20"/>
                <w:szCs w:val="20"/>
                <w:color w:val="auto"/>
              </w:rPr>
            </w:pPr>
            <w:r>
              <w:rPr>
                <w:rFonts w:ascii="Arial" w:cs="Arial" w:eastAsia="Arial" w:hAnsi="Arial"/>
                <w:sz w:val="18"/>
                <w:szCs w:val="18"/>
                <w:color w:val="auto"/>
              </w:rPr>
              <w:t>Present value of net minimum lease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158,361</w:t>
            </w:r>
          </w:p>
        </w:tc>
        <w:tc>
          <w:tcPr>
            <w:tcW w:w="6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Current portion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(131,937)</w:t>
            </w:r>
          </w:p>
        </w:tc>
        <w:tc>
          <w:tcPr>
            <w:tcW w:w="60" w:type="dxa"/>
            <w:vAlign w:val="bottom"/>
            <w:shd w:val="clear" w:color="auto" w:fill="CCEEFF"/>
          </w:tcPr>
          <w:p>
            <w:pPr>
              <w:spacing w:after="0"/>
              <w:rPr>
                <w:sz w:val="18"/>
                <w:szCs w:val="18"/>
                <w:color w:val="auto"/>
              </w:rPr>
            </w:pPr>
          </w:p>
        </w:tc>
      </w:tr>
      <w:tr>
        <w:trPr>
          <w:trHeight w:val="217"/>
        </w:trPr>
        <w:tc>
          <w:tcPr>
            <w:tcW w:w="7320" w:type="dxa"/>
            <w:vAlign w:val="bottom"/>
            <w:gridSpan w:val="2"/>
          </w:tcPr>
          <w:p>
            <w:pPr>
              <w:ind w:left="320"/>
              <w:spacing w:after="0"/>
              <w:rPr>
                <w:sz w:val="20"/>
                <w:szCs w:val="20"/>
                <w:color w:val="auto"/>
              </w:rPr>
            </w:pPr>
            <w:r>
              <w:rPr>
                <w:rFonts w:ascii="Arial" w:cs="Arial" w:eastAsia="Arial" w:hAnsi="Arial"/>
                <w:sz w:val="18"/>
                <w:szCs w:val="18"/>
                <w:color w:val="auto"/>
              </w:rPr>
              <w:t>Present value of net minimum lease payments, net of current portion</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26,424</w:t>
            </w:r>
          </w:p>
        </w:tc>
        <w:tc>
          <w:tcPr>
            <w:tcW w:w="6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leases warehouse and office space under non-cancelable agreements classified as operating leases, expiring at various dates through 2022. Rental expense for the year was $567,019, $551,197, and $634,727 for 2017, 2016, and 2015 respectively. Minimum annual rental commitments under non-cancelable agreements are as follows at December 31, 2017:</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7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 Ending 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439,702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333,248</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219,000</w:t>
            </w:r>
          </w:p>
        </w:tc>
        <w:tc>
          <w:tcPr>
            <w:tcW w:w="60" w:type="dxa"/>
            <w:vAlign w:val="bottom"/>
            <w:shd w:val="clear" w:color="auto" w:fill="CCEEFF"/>
          </w:tcPr>
          <w:p>
            <w:pPr>
              <w:spacing w:after="0"/>
              <w:rPr>
                <w:sz w:val="18"/>
                <w:szCs w:val="18"/>
                <w:color w:val="auto"/>
              </w:rPr>
            </w:pPr>
          </w:p>
        </w:tc>
      </w:tr>
      <w:tr>
        <w:trPr>
          <w:trHeight w:val="216"/>
        </w:trPr>
        <w:tc>
          <w:tcPr>
            <w:tcW w:w="70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78,000</w:t>
            </w:r>
          </w:p>
        </w:tc>
        <w:tc>
          <w:tcPr>
            <w:tcW w:w="60" w:type="dxa"/>
            <w:vAlign w:val="bottom"/>
          </w:tcPr>
          <w:p>
            <w:pPr>
              <w:spacing w:after="0"/>
              <w:rPr>
                <w:sz w:val="18"/>
                <w:szCs w:val="18"/>
                <w:color w:val="auto"/>
              </w:rPr>
            </w:pPr>
          </w:p>
        </w:tc>
      </w:tr>
      <w:tr>
        <w:trPr>
          <w:trHeight w:val="216"/>
        </w:trPr>
        <w:tc>
          <w:tcPr>
            <w:tcW w:w="7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45,500</w:t>
            </w:r>
          </w:p>
        </w:tc>
        <w:tc>
          <w:tcPr>
            <w:tcW w:w="60" w:type="dxa"/>
            <w:vAlign w:val="bottom"/>
            <w:shd w:val="clear" w:color="auto" w:fill="CCEEFF"/>
          </w:tcPr>
          <w:p>
            <w:pPr>
              <w:spacing w:after="0"/>
              <w:rPr>
                <w:sz w:val="18"/>
                <w:szCs w:val="18"/>
                <w:color w:val="auto"/>
              </w:rPr>
            </w:pPr>
          </w:p>
        </w:tc>
      </w:tr>
      <w:tr>
        <w:trPr>
          <w:trHeight w:val="217"/>
        </w:trPr>
        <w:tc>
          <w:tcPr>
            <w:tcW w:w="72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Total minimum lease payments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1,115,450</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Stockholders’ Equity</w:t>
      </w:r>
    </w:p>
    <w:p>
      <w:pPr>
        <w:spacing w:after="0" w:line="2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three classes of stock which includes Series A preferred stock, Series B preferred stock, and common stock. The Company is authorized to issue an aggregate of 6,669,837 shares having a par value of $0.001 per share, of which 5,000,000 shares shall be common stock, 370,664 shares shall be “Series A Convertible Preferred Stock”, and 1,299,173 shares shall be “Series B Convertible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Series A Convertible Preferred Stock and Series B Convertible Preferred Stock holders may vote on any matters and are entitled to cast votes equal to the number of shares each respective class can convert into Common Stock. The holders may convert their shares at any time into Common Stock. In the event of liquidation, the holders of Series B shares shall be paid preferential amounts before payments are made to the holders of Series A shares.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Series A Convertible Preferred Stock are valued at the Series A Liquidation Preference on the date of such conversion. The Series A Liquidation Preference is equal to the original issue price plus all accrued and unpaid dividends thereon to the date fixed for liquidation. As of December 31, 2017 and 2016, there were no accrued and unpaid dividends.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Series B Convertible Preferred Stock are valued at the Series B Liquidation Preference on the date of such conversion. The Series B Liquidation Preference is equal to the original issue price plus the PIK Amount (“PIK”) defined as equal to 6% per annum of the original issue price wherein interest from the date of issuance shall accrue cumulatively and be compounded annually. As of December 31, 2017 and 2016, the balance related to PIK was $164,957 and 0, respectively.</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2017 and 2016, all Series A shares and Series B shares totaling 1,669,837, respectively, were issued and held by the investor group consisting of Capital Southwest Corporation, K. Rick Turner Revocable Trust, Turner Family Partnership, and MK Holdings, LP.</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661225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7"/>
          <w:szCs w:val="27"/>
          <w:b w:val="1"/>
          <w:bCs w:val="1"/>
          <w:color w:val="auto"/>
        </w:rPr>
        <w:t>TitanLiner,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and 2016, the Company had outstanding warrants to purchase zero shares of Series A Convertible Preferred Stock with an exercise price of $0.01 per share, respectively. The warrants became exercisable in 2012 and will expire on December 31, 2022. No warrants were exercised during 2017. 11,261 warrants were exercised in December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Common Stock has all the rights, privileges, preferences and obligations provided for in the Agreement, which are generally consistent with an ordinary equity ownership interest. At December 31, 2017 and 2016, 1,000,000 shares of Common Stock had been issued, 765,031 and 749,300 of which were still outstanding at December 31,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Treasury stock is shown at cost and at December 31, 2017 and 2016, consisted of 234,969 and 250,700 shares of common stock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2017 and 2016, the Company granted 9,000 and 6,000 equity equivalent awards, respectively, in the form of Stock Appreciation Rights (“SARs”) to key members of management that vest evenly over four years from the date of the grant. The SARs have no rights with payment contingent on a change of control. The Company determined the fair value of the SARs to be $0 as of the date of the grant.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Commitments and Contingencies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normal course of business, the Company is involved in disputes and/or claims made by it against others or made by others against it. Management believes that the ultimate outcome of any dispute will not have a material adverse effect on its financial position, results of operations or on cash flows.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in an industry subject to increasingly demanding environmental standards imposed by federal, state and local environmental laws and regulations. Management believes it is in substantial compliance with applicable environmental laws and regulations.</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Employee Benefit Plan</w:t>
      </w:r>
    </w:p>
    <w:p>
      <w:pPr>
        <w:spacing w:after="0" w:line="2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 safe harbor 401(k) plan through Fidelity Investments covering all employees who have worked for the Company for more than 90 days as defined in the plan. The plan provides for employer matching up to 4% of each eligible employee’s contributions. The Company contributed $73,896, $57,525, and $52,684 to the plan for the years ended December 31, 2017, 2016, and 2015,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661225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sectPr>
      <w:pgSz w:w="11900" w:h="16838" w:orient="portrait"/>
      <w:cols w:equalWidth="0" w:num="1">
        <w:col w:w="10400"/>
      </w:cols>
      <w:pgMar w:left="760" w:top="112"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upperLetter"/>
      <w:start w:val="1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lvl w:ilvl="1">
      <w:lvlJc w:val="left"/>
      <w:lvlText w:val="(%2)"/>
      <w:numFmt w:val="decimal"/>
      <w:start w:val="3"/>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1)"/>
      <w:numFmt w:val="decimal"/>
      <w:start w:val="2"/>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o"/>
      <w:numFmt w:val="bullet"/>
      <w:start w:val="1"/>
    </w:lvl>
  </w:abstractNum>
  <w:abstractNum w:abstractNumId="16">
    <w:nsid w:val="3B0FD379"/>
    <w:multiLevelType w:val="hybridMultilevel"/>
    <w:lvl w:ilvl="0">
      <w:lvlJc w:val="left"/>
      <w:lvlText w:val="(%1)"/>
      <w:numFmt w:val="lowerRoman"/>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1"/>
      <w:numFmt w:val="bullet"/>
      <w:start w:val="1"/>
    </w:lvl>
  </w:abstractNum>
  <w:abstractNum w:abstractNumId="27">
    <w:nsid w:val="6EB5BD4"/>
    <w:multiLevelType w:val="hybridMultilevel"/>
    <w:lvl w:ilvl="0">
      <w:lvlJc w:val="left"/>
      <w:lvlText w:val="(%1)"/>
      <w:numFmt w:val="decimal"/>
      <w:start w:val="1"/>
    </w:lvl>
  </w:abstractNum>
  <w:abstractNum w:abstractNumId="28">
    <w:nsid w:val="6F6DD9AC"/>
    <w:multiLevelType w:val="hybridMultilevel"/>
    <w:lvl w:ilvl="0">
      <w:lvlJc w:val="left"/>
      <w:lvlText w:val="1"/>
      <w:numFmt w:val="bullet"/>
      <w:start w:val="1"/>
    </w:lvl>
  </w:abstractNum>
  <w:abstractNum w:abstractNumId="29">
    <w:nsid w:val="94211F2"/>
    <w:multiLevelType w:val="hybridMultilevel"/>
    <w:lvl w:ilvl="0">
      <w:lvlJc w:val="left"/>
      <w:lvlText w:val="(%1)"/>
      <w:numFmt w:val="lowerLetter"/>
      <w:start w:val="1"/>
    </w:lvl>
  </w:abstractNum>
  <w:abstractNum w:abstractNumId="30">
    <w:nsid w:val="885E1B"/>
    <w:multiLevelType w:val="hybridMultilevel"/>
    <w:lvl w:ilvl="0">
      <w:lvlJc w:val="left"/>
      <w:lvlText w:val="(%1)"/>
      <w:numFmt w:val="lowerLetter"/>
      <w:start w:val="1"/>
    </w:lvl>
  </w:abstractNum>
  <w:abstractNum w:abstractNumId="31">
    <w:nsid w:val="76272110"/>
    <w:multiLevelType w:val="hybridMultilevel"/>
    <w:lvl w:ilvl="0">
      <w:lvlJc w:val="left"/>
      <w:lvlText w:val="1"/>
      <w:numFmt w:val="bullet"/>
      <w:start w:val="1"/>
    </w:lvl>
  </w:abstractNum>
  <w:abstractNum w:abstractNumId="32">
    <w:nsid w:val="4C04A8AF"/>
    <w:multiLevelType w:val="hybridMultilevel"/>
    <w:lvl w:ilvl="0">
      <w:lvlJc w:val="left"/>
      <w:lvlText w:val="2"/>
      <w:numFmt w:val="bullet"/>
      <w:start w:val="1"/>
    </w:lvl>
  </w:abstractNum>
  <w:abstractNum w:abstractNumId="33">
    <w:nsid w:val="1716703B"/>
    <w:multiLevelType w:val="hybridMultilevel"/>
    <w:lvl w:ilvl="0">
      <w:lvlJc w:val="left"/>
      <w:lvlText w:val="3"/>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1)"/>
      <w:numFmt w:val="decimal"/>
      <w:start w:val="1"/>
    </w:lvl>
  </w:abstractNum>
  <w:abstractNum w:abstractNumId="36">
    <w:nsid w:val="74DE0EE3"/>
    <w:multiLevelType w:val="hybridMultilevel"/>
    <w:lvl w:ilvl="0">
      <w:lvlJc w:val="left"/>
      <w:lvlText w:val="1"/>
      <w:numFmt w:val="bullet"/>
      <w:start w:val="1"/>
    </w:lvl>
  </w:abstractNum>
  <w:abstractNum w:abstractNumId="37">
    <w:nsid w:val="68EBC550"/>
    <w:multiLevelType w:val="hybridMultilevel"/>
    <w:lvl w:ilvl="0">
      <w:lvlJc w:val="left"/>
      <w:lvlText w:val="1"/>
      <w:numFmt w:val="bullet"/>
      <w:start w:val="1"/>
    </w:lvl>
  </w:abstractNum>
  <w:abstractNum w:abstractNumId="38">
    <w:nsid w:val="2DF6D648"/>
    <w:multiLevelType w:val="hybridMultilevel"/>
    <w:lvl w:ilvl="0">
      <w:lvlJc w:val="left"/>
      <w:lvlText w:val="3"/>
      <w:numFmt w:val="bullet"/>
      <w:start w:val="1"/>
    </w:lvl>
  </w:abstractNum>
  <w:abstractNum w:abstractNumId="39">
    <w:nsid w:val="46B7D447"/>
    <w:multiLevelType w:val="hybridMultilevel"/>
    <w:lvl w:ilvl="0">
      <w:lvlJc w:val="left"/>
      <w:lvlText w:val="4"/>
      <w:numFmt w:val="bullet"/>
      <w:start w:val="1"/>
    </w:lvl>
  </w:abstractNum>
  <w:abstractNum w:abstractNumId="40">
    <w:nsid w:val="4A2AC315"/>
    <w:multiLevelType w:val="hybridMultilevel"/>
    <w:lvl w:ilvl="0">
      <w:lvlJc w:val="left"/>
      <w:lvlText w:val="5"/>
      <w:numFmt w:val="bullet"/>
      <w:start w:val="1"/>
    </w:lvl>
  </w:abstractNum>
  <w:abstractNum w:abstractNumId="41">
    <w:nsid w:val="39EE015C"/>
    <w:multiLevelType w:val="hybridMultilevel"/>
    <w:lvl w:ilvl="0">
      <w:lvlJc w:val="left"/>
      <w:lvlText w:val="6"/>
      <w:numFmt w:val="bullet"/>
      <w:start w:val="1"/>
    </w:lvl>
  </w:abstractNum>
  <w:abstractNum w:abstractNumId="42">
    <w:nsid w:val="57FC4FBB"/>
    <w:multiLevelType w:val="hybridMultilevel"/>
    <w:lvl w:ilvl="0">
      <w:lvlJc w:val="left"/>
      <w:lvlText w:val="7"/>
      <w:numFmt w:val="bullet"/>
      <w:start w:val="1"/>
    </w:lvl>
  </w:abstractNum>
  <w:abstractNum w:abstractNumId="43">
    <w:nsid w:val="CC1016F"/>
    <w:multiLevelType w:val="hybridMultilevel"/>
    <w:lvl w:ilvl="0">
      <w:lvlJc w:val="left"/>
      <w:lvlText w:val="8"/>
      <w:numFmt w:val="bullet"/>
      <w:start w:val="1"/>
    </w:lvl>
  </w:abstractNum>
  <w:abstractNum w:abstractNumId="44">
    <w:nsid w:val="43F18422"/>
    <w:multiLevelType w:val="hybridMultilevel"/>
    <w:lvl w:ilvl="0">
      <w:lvlJc w:val="left"/>
      <w:lvlText w:val="9"/>
      <w:numFmt w:val="bullet"/>
      <w:start w:val="1"/>
    </w:lvl>
  </w:abstractNum>
  <w:abstractNum w:abstractNumId="45">
    <w:nsid w:val="60EF0119"/>
    <w:multiLevelType w:val="hybridMultilevel"/>
    <w:lvl w:ilvl="0">
      <w:lvlJc w:val="left"/>
      <w:lvlText w:val="%1"/>
      <w:numFmt w:val="decimal"/>
      <w:start w:val="10"/>
    </w:lvl>
  </w:abstractNum>
  <w:abstractNum w:abstractNumId="46">
    <w:nsid w:val="26F324BA"/>
    <w:multiLevelType w:val="hybridMultilevel"/>
    <w:lvl w:ilvl="0">
      <w:lvlJc w:val="left"/>
      <w:lvlText w:val="1"/>
      <w:numFmt w:val="bullet"/>
      <w:start w:val="1"/>
    </w:lvl>
  </w:abstractNum>
  <w:abstractNum w:abstractNumId="47">
    <w:nsid w:val="7F01579B"/>
    <w:multiLevelType w:val="hybridMultilevel"/>
    <w:lvl w:ilvl="0">
      <w:lvlJc w:val="left"/>
      <w:lvlText w:val="%1"/>
      <w:numFmt w:val="decimal"/>
      <w:start w:val="12"/>
    </w:lvl>
  </w:abstractNum>
  <w:abstractNum w:abstractNumId="48">
    <w:nsid w:val="49DA307D"/>
    <w:multiLevelType w:val="hybridMultilevel"/>
    <w:lvl w:ilvl="0">
      <w:lvlJc w:val="left"/>
      <w:lvlText w:val="%1."/>
      <w:numFmt w:val="decimal"/>
      <w:start w:val="1"/>
    </w:lvl>
  </w:abstractNum>
  <w:abstractNum w:abstractNumId="49">
    <w:nsid w:val="7055A5F5"/>
    <w:multiLevelType w:val="hybridMultilevel"/>
    <w:lvl w:ilvl="0">
      <w:lvlJc w:val="left"/>
      <w:lvlText w:val="(%1)"/>
      <w:numFmt w:val="decimal"/>
      <w:start w:val="1"/>
    </w:lvl>
  </w:abstractNum>
  <w:abstractNum w:abstractNumId="50">
    <w:nsid w:val="5FB8370B"/>
    <w:multiLevelType w:val="hybridMultilevel"/>
    <w:lvl w:ilvl="0">
      <w:lvlJc w:val="left"/>
      <w:lvlText w:val="(%1)"/>
      <w:numFmt w:val="decimal"/>
      <w:start w:val="4"/>
    </w:lvl>
    <w:lvl w:ilvl="1">
      <w:lvlJc w:val="left"/>
      <w:lvlText w:val="(%2)"/>
      <w:numFmt w:val="decimal"/>
      <w:start w:val="6"/>
    </w:lvl>
  </w:abstractNum>
  <w:abstractNum w:abstractNumId="51">
    <w:nsid w:val="50801EE1"/>
    <w:multiLevelType w:val="hybridMultilevel"/>
    <w:lvl w:ilvl="0">
      <w:lvlJc w:val="left"/>
      <w:lvlText w:val="%1"/>
      <w:numFmt w:val="lowerRoman"/>
      <w:start w:val="1"/>
    </w:lvl>
    <w:lvl w:ilvl="1">
      <w:lvlJc w:val="left"/>
      <w:lvlText w:val="(%2)"/>
      <w:numFmt w:val="decimal"/>
      <w:start w:val="1"/>
    </w:lvl>
  </w:abstractNum>
  <w:abstractNum w:abstractNumId="52">
    <w:nsid w:val="488AC1A"/>
    <w:multiLevelType w:val="hybridMultilevel"/>
    <w:lvl w:ilvl="0">
      <w:lvlJc w:val="left"/>
      <w:lvlText w:val="(%1)"/>
      <w:numFmt w:val="lowerRoman"/>
      <w:start w:val="3"/>
    </w:lvl>
    <w:lvl w:ilvl="1">
      <w:lvlJc w:val="left"/>
      <w:lvlText w:val="%2"/>
      <w:numFmt w:val="decimal"/>
      <w:start w:val="1"/>
    </w:lvl>
  </w:abstractNum>
  <w:abstractNum w:abstractNumId="53">
    <w:nsid w:val="5FB8011C"/>
    <w:multiLevelType w:val="hybridMultilevel"/>
    <w:lvl w:ilvl="0">
      <w:lvlJc w:val="left"/>
      <w:lvlText w:val="%1."/>
      <w:numFmt w:val="decimal"/>
      <w:start w:val="2"/>
    </w:lvl>
  </w:abstractNum>
  <w:abstractNum w:abstractNumId="54">
    <w:nsid w:val="6AA78F7F"/>
    <w:multiLevelType w:val="hybridMultilevel"/>
    <w:lvl w:ilvl="0">
      <w:lvlJc w:val="left"/>
      <w:lvlText w:val="%1."/>
      <w:numFmt w:val="decimal"/>
      <w:start w:val="9"/>
    </w:lvl>
  </w:abstractNum>
  <w:abstractNum w:abstractNumId="55">
    <w:nsid w:val="7672BD23"/>
    <w:multiLevelType w:val="hybridMultilevel"/>
    <w:lvl w:ilvl="0">
      <w:lvlJc w:val="left"/>
      <w:lvlText w:val="%1."/>
      <w:numFmt w:val="decimal"/>
      <w:start w:val="3"/>
    </w:lvl>
  </w:abstractNum>
  <w:abstractNum w:abstractNumId="56">
    <w:nsid w:val="6FC75AF8"/>
    <w:multiLevelType w:val="hybridMultilevel"/>
    <w:lvl w:ilvl="0">
      <w:lvlJc w:val="left"/>
      <w:lvlText w:val="1"/>
      <w:numFmt w:val="bullet"/>
      <w:start w:val="1"/>
    </w:lvl>
  </w:abstractNum>
  <w:abstractNum w:abstractNumId="57">
    <w:nsid w:val="6A5F7029"/>
    <w:multiLevelType w:val="hybridMultilevel"/>
    <w:lvl w:ilvl="0">
      <w:lvlJc w:val="left"/>
      <w:lvlText w:val="2"/>
      <w:numFmt w:val="bullet"/>
      <w:start w:val="1"/>
    </w:lvl>
  </w:abstractNum>
  <w:abstractNum w:abstractNumId="58">
    <w:nsid w:val="7D5E18F8"/>
    <w:multiLevelType w:val="hybridMultilevel"/>
    <w:lvl w:ilvl="0">
      <w:lvlJc w:val="left"/>
      <w:lvlText w:val="3"/>
      <w:numFmt w:val="bullet"/>
      <w:start w:val="1"/>
    </w:lvl>
  </w:abstractNum>
  <w:abstractNum w:abstractNumId="59">
    <w:nsid w:val="5F3534A4"/>
    <w:multiLevelType w:val="hybridMultilevel"/>
    <w:lvl w:ilvl="0">
      <w:lvlJc w:val="left"/>
      <w:lvlText w:val="1"/>
      <w:numFmt w:val="bullet"/>
      <w:start w:val="1"/>
    </w:lvl>
  </w:abstractNum>
  <w:abstractNum w:abstractNumId="60">
    <w:nsid w:val="73A1821B"/>
    <w:multiLevelType w:val="hybridMultilevel"/>
    <w:lvl w:ilvl="0">
      <w:lvlJc w:val="left"/>
      <w:lvlText w:val="1"/>
      <w:numFmt w:val="bullet"/>
      <w:start w:val="1"/>
    </w:lvl>
  </w:abstractNum>
  <w:abstractNum w:abstractNumId="61">
    <w:nsid w:val="7DE67713"/>
    <w:multiLevelType w:val="hybridMultilevel"/>
    <w:lvl w:ilvl="0">
      <w:lvlJc w:val="left"/>
      <w:lvlText w:val="2"/>
      <w:numFmt w:val="bullet"/>
      <w:start w:val="1"/>
    </w:lvl>
  </w:abstractNum>
  <w:abstractNum w:abstractNumId="62">
    <w:nsid w:val="555C55B5"/>
    <w:multiLevelType w:val="hybridMultilevel"/>
    <w:lvl w:ilvl="0">
      <w:lvlJc w:val="left"/>
      <w:lvlText w:val="%1."/>
      <w:numFmt w:val="decimal"/>
      <w:start w:val="4"/>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1)"/>
      <w:numFmt w:val="decimal"/>
      <w:start w:val="3"/>
    </w:lvl>
  </w:abstractNum>
  <w:abstractNum w:abstractNumId="67">
    <w:nsid w:val="9DAF632"/>
    <w:multiLevelType w:val="hybridMultilevel"/>
    <w:lvl w:ilvl="0">
      <w:lvlJc w:val="left"/>
      <w:lvlText w:val="1"/>
      <w:numFmt w:val="bullet"/>
      <w:start w:val="1"/>
    </w:lvl>
  </w:abstractNum>
  <w:abstractNum w:abstractNumId="68">
    <w:nsid w:val="53299938"/>
    <w:multiLevelType w:val="hybridMultilevel"/>
    <w:lvl w:ilvl="0">
      <w:lvlJc w:val="left"/>
      <w:lvlText w:val="2"/>
      <w:numFmt w:val="bullet"/>
      <w:start w:val="1"/>
    </w:lvl>
  </w:abstractNum>
  <w:abstractNum w:abstractNumId="69">
    <w:nsid w:val="1FBFE8E0"/>
    <w:multiLevelType w:val="hybridMultilevel"/>
    <w:lvl w:ilvl="0">
      <w:lvlJc w:val="left"/>
      <w:lvlText w:val="1"/>
      <w:numFmt w:val="bullet"/>
      <w:start w:val="1"/>
    </w:lvl>
  </w:abstractNum>
  <w:abstractNum w:abstractNumId="70">
    <w:nsid w:val="5092CA79"/>
    <w:multiLevelType w:val="hybridMultilevel"/>
    <w:lvl w:ilvl="0">
      <w:lvlJc w:val="left"/>
      <w:lvlText w:val="%1."/>
      <w:numFmt w:val="decimal"/>
      <w:start w:val="5"/>
    </w:lvl>
  </w:abstractNum>
  <w:abstractNum w:abstractNumId="71">
    <w:nsid w:val="1D545C4D"/>
    <w:multiLevelType w:val="hybridMultilevel"/>
    <w:lvl w:ilvl="0">
      <w:lvlJc w:val="left"/>
      <w:lvlText w:val="%1."/>
      <w:numFmt w:val="decimal"/>
      <w:start w:val="6"/>
    </w:lvl>
  </w:abstractNum>
  <w:abstractNum w:abstractNumId="72">
    <w:nsid w:val="59ADEA3D"/>
    <w:multiLevelType w:val="hybridMultilevel"/>
    <w:lvl w:ilvl="0">
      <w:lvlJc w:val="left"/>
      <w:lvlText w:val="1"/>
      <w:numFmt w:val="bullet"/>
      <w:start w:val="1"/>
    </w:lvl>
  </w:abstractNum>
  <w:abstractNum w:abstractNumId="73">
    <w:nsid w:val="288F1A34"/>
    <w:multiLevelType w:val="hybridMultilevel"/>
    <w:lvl w:ilvl="0">
      <w:lvlJc w:val="left"/>
      <w:lvlText w:val="1"/>
      <w:numFmt w:val="bullet"/>
      <w:start w:val="1"/>
    </w:lvl>
  </w:abstractNum>
  <w:abstractNum w:abstractNumId="74">
    <w:nsid w:val="2A155DBC"/>
    <w:multiLevelType w:val="hybridMultilevel"/>
    <w:lvl w:ilvl="0">
      <w:lvlJc w:val="left"/>
      <w:lvlText w:val="2"/>
      <w:numFmt w:val="bullet"/>
      <w:start w:val="1"/>
    </w:lvl>
  </w:abstractNum>
  <w:abstractNum w:abstractNumId="75">
    <w:nsid w:val="1D9F6E5F"/>
    <w:multiLevelType w:val="hybridMultilevel"/>
    <w:lvl w:ilvl="0">
      <w:lvlJc w:val="left"/>
      <w:lvlText w:val="1"/>
      <w:numFmt w:val="bullet"/>
      <w:start w:val="1"/>
    </w:lvl>
  </w:abstractNum>
  <w:abstractNum w:abstractNumId="76">
    <w:nsid w:val="97E1B4E"/>
    <w:multiLevelType w:val="hybridMultilevel"/>
    <w:lvl w:ilvl="0">
      <w:lvlJc w:val="left"/>
      <w:lvlText w:val="2"/>
      <w:numFmt w:val="bullet"/>
      <w:start w:val="1"/>
    </w:lvl>
  </w:abstractNum>
  <w:abstractNum w:abstractNumId="77">
    <w:nsid w:val="51088277"/>
    <w:multiLevelType w:val="hybridMultilevel"/>
    <w:lvl w:ilvl="0">
      <w:lvlJc w:val="left"/>
      <w:lvlText w:val="%1."/>
      <w:numFmt w:val="decimal"/>
      <w:start w:val="7"/>
    </w:lvl>
  </w:abstractNum>
  <w:abstractNum w:abstractNumId="78">
    <w:nsid w:val="1CA0C5FA"/>
    <w:multiLevelType w:val="hybridMultilevel"/>
    <w:lvl w:ilvl="0">
      <w:lvlJc w:val="left"/>
      <w:lvlText w:val="%1."/>
      <w:numFmt w:val="decimal"/>
      <w:start w:val="8"/>
    </w:lvl>
  </w:abstractNum>
  <w:abstractNum w:abstractNumId="79">
    <w:nsid w:val="53584BCB"/>
    <w:multiLevelType w:val="hybridMultilevel"/>
    <w:lvl w:ilvl="0">
      <w:lvlJc w:val="left"/>
      <w:lvlText w:val="%1."/>
      <w:numFmt w:val="decimal"/>
      <w:start w:val="9"/>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1."/>
      <w:numFmt w:val="decimal"/>
      <w:start w:val="10"/>
    </w:lvl>
  </w:abstractNum>
  <w:abstractNum w:abstractNumId="82">
    <w:nsid w:val="23D86AAC"/>
    <w:multiLevelType w:val="hybridMultilevel"/>
    <w:lvl w:ilvl="0">
      <w:lvlJc w:val="left"/>
      <w:lvlText w:val="%1."/>
      <w:numFmt w:val="decimal"/>
      <w:start w:val="11"/>
    </w:lvl>
  </w:abstractNum>
  <w:abstractNum w:abstractNumId="83">
    <w:nsid w:val="45E6D486"/>
    <w:multiLevelType w:val="hybridMultilevel"/>
    <w:lvl w:ilvl="0">
      <w:lvlJc w:val="left"/>
      <w:lvlText w:val="%1."/>
      <w:numFmt w:val="decimal"/>
      <w:start w:val="12"/>
    </w:lvl>
  </w:abstractNum>
  <w:abstractNum w:abstractNumId="84">
    <w:nsid w:val="5C10FE21"/>
    <w:multiLevelType w:val="hybridMultilevel"/>
    <w:lvl w:ilvl="0">
      <w:lvlJc w:val="left"/>
      <w:lvlText w:val="%1."/>
      <w:numFmt w:val="decimal"/>
      <w:start w:val="13"/>
    </w:lvl>
  </w:abstractNum>
  <w:abstractNum w:abstractNumId="85">
    <w:nsid w:val="E7FFA2B"/>
    <w:multiLevelType w:val="hybridMultilevel"/>
    <w:lvl w:ilvl="0">
      <w:lvlJc w:val="left"/>
      <w:lvlText w:val="%1."/>
      <w:numFmt w:val="decimal"/>
      <w:start w:val="14"/>
    </w:lvl>
  </w:abstractNum>
  <w:abstractNum w:abstractNumId="86">
    <w:nsid w:val="3C5991AA"/>
    <w:multiLevelType w:val="hybridMultilevel"/>
    <w:lvl w:ilvl="0">
      <w:lvlJc w:val="left"/>
      <w:lvlText w:val="%1."/>
      <w:numFmt w:val="decimal"/>
      <w:start w:val="15"/>
    </w:lvl>
  </w:abstractNum>
  <w:abstractNum w:abstractNumId="87">
    <w:nsid w:val="4BD8591A"/>
    <w:multiLevelType w:val="hybridMultilevel"/>
    <w:lvl w:ilvl="0">
      <w:lvlJc w:val="left"/>
      <w:lvlText w:val="%1."/>
      <w:numFmt w:val="decimal"/>
      <w:start w:val="16"/>
    </w:lvl>
  </w:abstractNum>
  <w:abstractNum w:abstractNumId="88">
    <w:nsid w:val="78DF6A55"/>
    <w:multiLevelType w:val="hybridMultilevel"/>
    <w:lvl w:ilvl="0">
      <w:lvlJc w:val="left"/>
      <w:lvlText w:val="1"/>
      <w:numFmt w:val="bullet"/>
      <w:start w:val="1"/>
    </w:lvl>
  </w:abstractNum>
  <w:abstractNum w:abstractNumId="89">
    <w:nsid w:val="39B7AAA2"/>
    <w:multiLevelType w:val="hybridMultilevel"/>
    <w:lvl w:ilvl="0">
      <w:lvlJc w:val="left"/>
      <w:lvlText w:val="2"/>
      <w:numFmt w:val="bullet"/>
      <w:start w:val="1"/>
    </w:lvl>
  </w:abstractNum>
  <w:abstractNum w:abstractNumId="90">
    <w:nsid w:val="2B0D8DBE"/>
    <w:multiLevelType w:val="hybridMultilevel"/>
    <w:lvl w:ilvl="0">
      <w:lvlJc w:val="left"/>
      <w:lvlText w:val="3"/>
      <w:numFmt w:val="bullet"/>
      <w:start w:val="1"/>
    </w:lvl>
  </w:abstractNum>
  <w:abstractNum w:abstractNumId="91">
    <w:nsid w:val="6C80EC70"/>
    <w:multiLevelType w:val="hybridMultilevel"/>
    <w:lvl w:ilvl="0">
      <w:lvlJc w:val="left"/>
      <w:lvlText w:val="4"/>
      <w:numFmt w:val="bullet"/>
      <w:start w:val="1"/>
    </w:lvl>
  </w:abstractNum>
  <w:abstractNum w:abstractNumId="92">
    <w:nsid w:val="379E21B5"/>
    <w:multiLevelType w:val="hybridMultilevel"/>
    <w:lvl w:ilvl="0">
      <w:lvlJc w:val="left"/>
      <w:lvlText w:val="5"/>
      <w:numFmt w:val="bullet"/>
      <w:start w:val="1"/>
    </w:lvl>
  </w:abstractNum>
  <w:abstractNum w:abstractNumId="93">
    <w:nsid w:val="69E373"/>
    <w:multiLevelType w:val="hybridMultilevel"/>
    <w:lvl w:ilvl="0">
      <w:lvlJc w:val="left"/>
      <w:lvlText w:val="6"/>
      <w:numFmt w:val="bullet"/>
      <w:start w:val="1"/>
    </w:lvl>
  </w:abstractNum>
  <w:abstractNum w:abstractNumId="94">
    <w:nsid w:val="2C27173B"/>
    <w:multiLevelType w:val="hybridMultilevel"/>
    <w:lvl w:ilvl="0">
      <w:lvlJc w:val="left"/>
      <w:lvlText w:val="7"/>
      <w:numFmt w:val="bullet"/>
      <w:start w:val="1"/>
    </w:lvl>
  </w:abstractNum>
  <w:abstractNum w:abstractNumId="95">
    <w:nsid w:val="4C9B0904"/>
    <w:multiLevelType w:val="hybridMultilevel"/>
    <w:lvl w:ilvl="0">
      <w:lvlJc w:val="left"/>
      <w:lvlText w:val="%1."/>
      <w:numFmt w:val="decimal"/>
      <w:start w:val="17"/>
    </w:lvl>
  </w:abstractNum>
  <w:abstractNum w:abstractNumId="96">
    <w:nsid w:val="6AA7B75C"/>
    <w:multiLevelType w:val="hybridMultilevel"/>
    <w:lvl w:ilvl="0">
      <w:lvlJc w:val="left"/>
      <w:lvlText w:val="1"/>
      <w:numFmt w:val="bullet"/>
      <w:start w:val="1"/>
    </w:lvl>
  </w:abstractNum>
  <w:abstractNum w:abstractNumId="97">
    <w:nsid w:val="1DF029D3"/>
    <w:multiLevelType w:val="hybridMultilevel"/>
    <w:lvl w:ilvl="0">
      <w:lvlJc w:val="left"/>
      <w:lvlText w:val="2"/>
      <w:numFmt w:val="bullet"/>
      <w:start w:val="1"/>
    </w:lvl>
  </w:abstractNum>
  <w:abstractNum w:abstractNumId="98">
    <w:nsid w:val="5675FF36"/>
    <w:multiLevelType w:val="hybridMultilevel"/>
    <w:lvl w:ilvl="0">
      <w:lvlJc w:val="left"/>
      <w:lvlText w:val="3"/>
      <w:numFmt w:val="bullet"/>
      <w:start w:val="1"/>
    </w:lvl>
  </w:abstractNum>
  <w:abstractNum w:abstractNumId="99">
    <w:nsid w:val="3DD15094"/>
    <w:multiLevelType w:val="hybridMultilevel"/>
    <w:lvl w:ilvl="0">
      <w:lvlJc w:val="left"/>
      <w:lvlText w:val="1"/>
      <w:numFmt w:val="bullet"/>
      <w:start w:val="1"/>
    </w:lvl>
  </w:abstractNum>
  <w:abstractNum w:abstractNumId="100">
    <w:nsid w:val="3DB012B3"/>
    <w:multiLevelType w:val="hybridMultilevel"/>
    <w:lvl w:ilvl="0">
      <w:lvlJc w:val="left"/>
      <w:lvlText w:val="2"/>
      <w:numFmt w:val="bullet"/>
      <w:start w:val="1"/>
    </w:lvl>
  </w:abstractNum>
  <w:abstractNum w:abstractNumId="101">
    <w:nsid w:val="2708C9AF"/>
    <w:multiLevelType w:val="hybridMultilevel"/>
    <w:lvl w:ilvl="0">
      <w:lvlJc w:val="left"/>
      <w:lvlText w:val="(%1)"/>
      <w:numFmt w:val="decimal"/>
      <w:start w:val="1"/>
    </w:lvl>
  </w:abstractNum>
  <w:abstractNum w:abstractNumId="102">
    <w:nsid w:val="5B25ACE2"/>
    <w:multiLevelType w:val="hybridMultilevel"/>
    <w:lvl w:ilvl="0">
      <w:lvlJc w:val="left"/>
      <w:lvlText w:val="%1)"/>
      <w:numFmt w:val="decimal"/>
      <w:start w:val="1"/>
    </w:lvl>
  </w:abstractNum>
  <w:abstractNum w:abstractNumId="103">
    <w:nsid w:val="175DFCF0"/>
    <w:multiLevelType w:val="hybridMultilevel"/>
    <w:lvl w:ilvl="0">
      <w:lvlJc w:val="left"/>
      <w:lvlText w:val="%1."/>
      <w:numFmt w:val="decimal"/>
      <w:start w:val="1"/>
    </w:lvl>
  </w:abstractNum>
  <w:abstractNum w:abstractNumId="104">
    <w:nsid w:val="4F97E3E4"/>
    <w:multiLevelType w:val="hybridMultilevel"/>
    <w:lvl w:ilvl="0">
      <w:lvlJc w:val="left"/>
      <w:lvlText w:val="**"/>
      <w:numFmt w:val="bullet"/>
      <w:start w:val="1"/>
    </w:lvl>
  </w:abstractNum>
  <w:abstractNum w:abstractNumId="105">
    <w:nsid w:val="53B0A9E"/>
    <w:multiLevelType w:val="hybridMultilevel"/>
    <w:lvl w:ilvl="0">
      <w:lvlJc w:val="left"/>
      <w:lvlText w:val="(%1)"/>
      <w:numFmt w:val="lowerRoman"/>
      <w:start w:val="1"/>
    </w:lvl>
  </w:abstractNum>
  <w:abstractNum w:abstractNumId="106">
    <w:nsid w:val="34FD6B4F"/>
    <w:multiLevelType w:val="hybridMultilevel"/>
    <w:lvl w:ilvl="0">
      <w:lvlJc w:val="left"/>
      <w:lvlText w:val="(%1)"/>
      <w:numFmt w:val="lowerLetter"/>
      <w:start w:val="1"/>
    </w:lvl>
  </w:abstractNum>
  <w:abstractNum w:abstractNumId="107">
    <w:nsid w:val="5915FF32"/>
    <w:multiLevelType w:val="hybridMultilevel"/>
    <w:lvl w:ilvl="0">
      <w:lvlJc w:val="left"/>
      <w:lvlText w:val="(%1)"/>
      <w:numFmt w:val="lowerLetter"/>
      <w:start w:val="10"/>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lowerRoman"/>
      <w:start w:val="2"/>
    </w:lvl>
  </w:abstractNum>
  <w:abstractNum w:abstractNumId="111">
    <w:nsid w:val="17A1B582"/>
    <w:multiLevelType w:val="hybridMultilevel"/>
    <w:lvl w:ilvl="0">
      <w:lvlJc w:val="left"/>
      <w:lvlText w:val="(%1)"/>
      <w:numFmt w:val="lowerLetter"/>
      <w:start w:val="1"/>
    </w:lvl>
  </w:abstractNum>
  <w:abstractNum w:abstractNumId="112">
    <w:nsid w:val="4DF72E4E"/>
    <w:multiLevelType w:val="hybridMultilevel"/>
    <w:lvl w:ilvl="0">
      <w:lvlJc w:val="left"/>
      <w:lvlText w:val="(%1)"/>
      <w:numFmt w:val="lowerLetter"/>
      <w:start w:val="1"/>
    </w:lvl>
  </w:abstractNum>
  <w:abstractNum w:abstractNumId="113">
    <w:nsid w:val="5046B5A9"/>
    <w:multiLevelType w:val="hybridMultilevel"/>
    <w:lvl w:ilvl="0">
      <w:lvlJc w:val="left"/>
      <w:lvlText w:val="(%1)"/>
      <w:numFmt w:val="lowerLetter"/>
      <w:start w:val="2"/>
    </w:lvl>
  </w:abstractNum>
  <w:abstractNum w:abstractNumId="114">
    <w:nsid w:val="5D888A08"/>
    <w:multiLevelType w:val="hybridMultilevel"/>
    <w:lvl w:ilvl="0">
      <w:lvlJc w:val="left"/>
      <w:lvlText w:val="(%1)"/>
      <w:numFmt w:val="lowerLetter"/>
      <w:start w:val="1"/>
    </w:lvl>
  </w:abstractNum>
  <w:abstractNum w:abstractNumId="115">
    <w:nsid w:val="2A082C70"/>
    <w:multiLevelType w:val="hybridMultilevel"/>
    <w:lvl w:ilvl="0">
      <w:lvlJc w:val="left"/>
      <w:lvlText w:val="%1:"/>
      <w:numFmt w:val="upperLetter"/>
      <w:start w:val="29"/>
    </w:lvl>
  </w:abstractNum>
  <w:abstractNum w:abstractNumId="116">
    <w:nsid w:val="5EC6AFD4"/>
    <w:multiLevelType w:val="hybridMultilevel"/>
    <w:lvl w:ilvl="0">
      <w:lvlJc w:val="left"/>
      <w:lvlText w:val="-"/>
      <w:numFmt w:val="bullet"/>
      <w:start w:val="1"/>
    </w:lvl>
  </w:abstractNum>
  <w:abstractNum w:abstractNumId="117">
    <w:nsid w:val="19E21BB2"/>
    <w:multiLevelType w:val="hybridMultilevel"/>
    <w:lvl w:ilvl="0">
      <w:lvlJc w:val="left"/>
      <w:lvlText w:val="-"/>
      <w:numFmt w:val="bullet"/>
      <w:start w:val="1"/>
    </w:lvl>
  </w:abstractNum>
  <w:abstractNum w:abstractNumId="118">
    <w:nsid w:val="75E0858A"/>
    <w:multiLevelType w:val="hybridMultilevel"/>
    <w:lvl w:ilvl="0">
      <w:lvlJc w:val="left"/>
      <w:lvlText w:val="%1."/>
      <w:numFmt w:val="decimal"/>
      <w:start w:val="1"/>
    </w:lvl>
    <w:lvl w:ilvl="1">
      <w:lvlJc w:val="left"/>
      <w:lvlText w:val="%2)"/>
      <w:numFmt w:val="lowerLetter"/>
      <w:start w:val="1"/>
    </w:lvl>
  </w:abstractNum>
  <w:abstractNum w:abstractNumId="119">
    <w:nsid w:val="57A61A29"/>
    <w:multiLevelType w:val="hybridMultilevel"/>
    <w:lvl w:ilvl="0">
      <w:lvlJc w:val="left"/>
      <w:lvlText w:val="%1."/>
      <w:numFmt w:val="decimal"/>
      <w:start w:val="1"/>
    </w:lvl>
    <w:lvl w:ilvl="1">
      <w:lvlJc w:val="left"/>
      <w:lvlText w:val="%2)"/>
      <w:numFmt w:val="lowerLetter"/>
      <w:start w:val="1"/>
    </w:lvl>
  </w:abstractNum>
  <w:abstractNum w:abstractNumId="120">
    <w:nsid w:val="5399C654"/>
    <w:multiLevelType w:val="hybridMultilevel"/>
    <w:lvl w:ilvl="0">
      <w:lvlJc w:val="left"/>
      <w:lvlText w:val="%1."/>
      <w:numFmt w:val="decimal"/>
      <w:start w:val="1"/>
    </w:lvl>
  </w:abstractNum>
  <w:abstractNum w:abstractNumId="121">
    <w:nsid w:val="20EE1348"/>
    <w:multiLevelType w:val="hybridMultilevel"/>
    <w:lvl w:ilvl="0">
      <w:lvlJc w:val="left"/>
      <w:lvlText w:val="%1."/>
      <w:numFmt w:val="decimal"/>
      <w:start w:val="1"/>
    </w:lvl>
  </w:abstractNum>
  <w:abstractNum w:abstractNumId="122">
    <w:nsid w:val="4427069A"/>
    <w:multiLevelType w:val="hybridMultilevel"/>
    <w:lvl w:ilvl="0">
      <w:lvlJc w:val="left"/>
      <w:lvlText w:val="(%1)"/>
      <w:numFmt w:val="decimal"/>
      <w:start w:val="1"/>
    </w:lvl>
  </w:abstractNum>
  <w:abstractNum w:abstractNumId="123">
    <w:nsid w:val="B37E80A"/>
    <w:multiLevelType w:val="hybridMultilevel"/>
    <w:lvl w:ilvl="0">
      <w:lvlJc w:val="left"/>
      <w:lvlText w:val="(%1)"/>
      <w:numFmt w:val="decimal"/>
      <w:start w:val="1"/>
    </w:lvl>
  </w:abstractNum>
  <w:abstractNum w:abstractNumId="124">
    <w:nsid w:val="2157F6BC"/>
    <w:multiLevelType w:val="hybridMultilevel"/>
    <w:lvl w:ilvl="0">
      <w:lvlJc w:val="left"/>
      <w:lvlText w:val="%1."/>
      <w:numFmt w:val="decimal"/>
      <w:start w:val="1"/>
    </w:lvl>
  </w:abstractNum>
  <w:abstractNum w:abstractNumId="125">
    <w:nsid w:val="704E1DD5"/>
    <w:multiLevelType w:val="hybridMultilevel"/>
    <w:lvl w:ilvl="0">
      <w:lvlJc w:val="left"/>
      <w:lvlText w:val="%1."/>
      <w:numFmt w:val="decimal"/>
      <w:start w:val="2"/>
    </w:lvl>
  </w:abstractNum>
  <w:abstractNum w:abstractNumId="126">
    <w:nsid w:val="57D2F10E"/>
    <w:multiLevelType w:val="hybridMultilevel"/>
    <w:lvl w:ilvl="0">
      <w:lvlJc w:val="left"/>
      <w:lvlText w:val="%1."/>
      <w:numFmt w:val="decimal"/>
      <w:start w:val="2"/>
    </w:lvl>
  </w:abstractNum>
  <w:abstractNum w:abstractNumId="127">
    <w:nsid w:val="BFFAE18"/>
    <w:multiLevelType w:val="hybridMultilevel"/>
    <w:lvl w:ilvl="0">
      <w:lvlJc w:val="left"/>
      <w:lvlText w:val="(%1)"/>
      <w:numFmt w:val="decimal"/>
      <w:start w:val="2"/>
    </w:lvl>
  </w:abstractNum>
  <w:abstractNum w:abstractNumId="128">
    <w:nsid w:val="E3E47A8"/>
    <w:multiLevelType w:val="hybridMultilevel"/>
    <w:lvl w:ilvl="0">
      <w:lvlJc w:val="left"/>
      <w:lvlText w:val="%1."/>
      <w:numFmt w:val="decimal"/>
      <w:start w:val="2"/>
    </w:lvl>
  </w:abstractNum>
  <w:abstractNum w:abstractNumId="129">
    <w:nsid w:val="2E48F044"/>
    <w:multiLevelType w:val="hybridMultilevel"/>
    <w:lvl w:ilvl="0">
      <w:lvlJc w:val="left"/>
      <w:lvlText w:val="%1."/>
      <w:numFmt w:val="decimal"/>
      <w:start w:val="3"/>
    </w:lvl>
  </w:abstractNum>
  <w:abstractNum w:abstractNumId="130">
    <w:nsid w:val="49D0FEAC"/>
    <w:multiLevelType w:val="hybridMultilevel"/>
    <w:lvl w:ilvl="0">
      <w:lvlJc w:val="left"/>
      <w:lvlText w:val="·"/>
      <w:numFmt w:val="bullet"/>
      <w:start w:val="1"/>
    </w:lvl>
  </w:abstractNum>
  <w:abstractNum w:abstractNumId="131">
    <w:nsid w:val="4BEE5A5B"/>
    <w:multiLevelType w:val="hybridMultilevel"/>
    <w:lvl w:ilvl="0">
      <w:lvlJc w:val="left"/>
      <w:lvlText w:val="%1."/>
      <w:numFmt w:val="decimal"/>
      <w:start w:val="3"/>
    </w:lvl>
  </w:abstractNum>
  <w:abstractNum w:abstractNumId="132">
    <w:nsid w:val="5551B9F3"/>
    <w:multiLevelType w:val="hybridMultilevel"/>
    <w:lvl w:ilvl="0">
      <w:lvlJc w:val="left"/>
      <w:lvlText w:val="%1."/>
      <w:numFmt w:val="decimal"/>
      <w:start w:val="3"/>
    </w:lvl>
  </w:abstractNum>
  <w:abstractNum w:abstractNumId="133">
    <w:nsid w:val="24F6AB8E"/>
    <w:multiLevelType w:val="hybridMultilevel"/>
    <w:lvl w:ilvl="0">
      <w:lvlJc w:val="left"/>
      <w:lvlText w:val="(%1)"/>
      <w:numFmt w:val="lowerLetter"/>
      <w:start w:val="1"/>
    </w:lvl>
  </w:abstractNum>
  <w:abstractNum w:abstractNumId="134">
    <w:nsid w:val="634C574C"/>
    <w:multiLevelType w:val="hybridMultilevel"/>
    <w:lvl w:ilvl="0">
      <w:lvlJc w:val="left"/>
      <w:lvlText w:val="%1."/>
      <w:numFmt w:val="decimal"/>
      <w:start w:val="4"/>
    </w:lvl>
  </w:abstractNum>
  <w:abstractNum w:abstractNumId="135">
    <w:nsid w:val="24E99DD7"/>
    <w:multiLevelType w:val="hybridMultilevel"/>
    <w:lvl w:ilvl="0">
      <w:lvlJc w:val="left"/>
      <w:lvlText w:val="%1."/>
      <w:numFmt w:val="decimal"/>
      <w:start w:val="5"/>
    </w:lvl>
  </w:abstractNum>
  <w:abstractNum w:abstractNumId="136">
    <w:nsid w:val="2A31B62D"/>
    <w:multiLevelType w:val="hybridMultilevel"/>
    <w:lvl w:ilvl="0">
      <w:lvlJc w:val="left"/>
      <w:lvlText w:val="%1."/>
      <w:numFmt w:val="decimal"/>
      <w:start w:val="6"/>
    </w:lvl>
  </w:abstractNum>
  <w:abstractNum w:abstractNumId="137">
    <w:nsid w:val="1849C29B"/>
    <w:multiLevelType w:val="hybridMultilevel"/>
    <w:lvl w:ilvl="0">
      <w:lvlJc w:val="left"/>
      <w:lvlText w:val="%1."/>
      <w:numFmt w:val="decimal"/>
      <w:start w:val="7"/>
    </w:lvl>
  </w:abstractNum>
  <w:abstractNum w:abstractNumId="138">
    <w:nsid w:val="7DFF9D09"/>
    <w:multiLevelType w:val="hybridMultilevel"/>
    <w:lvl w:ilvl="0">
      <w:lvlJc w:val="left"/>
      <w:lvlText w:val="%1."/>
      <w:numFmt w:val="decimal"/>
      <w:start w:val="8"/>
    </w:lvl>
  </w:abstractNum>
  <w:abstractNum w:abstractNumId="139">
    <w:nsid w:val="754342"/>
    <w:multiLevelType w:val="hybridMultilevel"/>
    <w:lvl w:ilvl="0">
      <w:lvlJc w:val="left"/>
      <w:lvlText w:val="%1."/>
      <w:numFmt w:val="decimal"/>
      <w:start w:val="8"/>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3" Type="http://schemas.openxmlformats.org/officeDocument/2006/relationships/image" Target="media/image122.png"/><Relationship Id="rId17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jpe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129" Type="http://schemas.openxmlformats.org/officeDocument/2006/relationships/hyperlink" Target="http://www.sec.gov/Archives/edgar/data/17313/000114036115035006/ex2_1.htm" TargetMode="External"/><Relationship Id="rId130" Type="http://schemas.openxmlformats.org/officeDocument/2006/relationships/hyperlink" Target="http://www.sec.gov/Archives/edgar/data/17313/000156761917001886/s001849x1_ex-a.htm" TargetMode="External"/><Relationship Id="rId131" Type="http://schemas.openxmlformats.org/officeDocument/2006/relationships/hyperlink" Target="http://www.sec.gov/Archives/edgar/data/17313/000001731317000039/cswc-20170930ex328354d7b.htm" TargetMode="External"/><Relationship Id="rId132" Type="http://schemas.openxmlformats.org/officeDocument/2006/relationships/hyperlink" Target="http://www.sec.gov/Archives/edgar/data/17313/000101054902000371/capital10kex41033102.txt" TargetMode="External"/><Relationship Id="rId133" Type="http://schemas.openxmlformats.org/officeDocument/2006/relationships/hyperlink" Target="http://www.sec.gov/Archives/edgar/data/17313/000119312517316589/d391671dex99d2.htm" TargetMode="External"/><Relationship Id="rId134" Type="http://schemas.openxmlformats.org/officeDocument/2006/relationships/hyperlink" Target="http://www.sec.gov/Archives/edgar/data/17313/000119312517370355/d507361dex99d4.htm" TargetMode="External"/><Relationship Id="rId135" Type="http://schemas.openxmlformats.org/officeDocument/2006/relationships/hyperlink" Target="http://www.sec.gov/Archives/edgar/data/17313/000156761917001886/s001849x1_ex-e.htm" TargetMode="External"/><Relationship Id="rId136" Type="http://schemas.openxmlformats.org/officeDocument/2006/relationships/hyperlink" Target="http://www.sec.gov/Archives/edgar/data/17313/000101054909000411/cswc10kex103033109.htm" TargetMode="External"/><Relationship Id="rId137" Type="http://schemas.openxmlformats.org/officeDocument/2006/relationships/hyperlink" Target="http://www.sec.gov/Archives/edgar/data/17313/000001731317000039/cswc-20170930ex1012cf618.htm" TargetMode="External"/><Relationship Id="rId138" Type="http://schemas.openxmlformats.org/officeDocument/2006/relationships/hyperlink" Target="http://www.sec.gov/Archives/edgar/data/17313/000101054900000373/0001010549-00-000373-0002.txt" TargetMode="External"/><Relationship Id="rId139" Type="http://schemas.openxmlformats.org/officeDocument/2006/relationships/hyperlink" Target="http://www.sec.gov/Archives/edgar/data/17313/000101054905000505/capital8kex101071805.txt" TargetMode="External"/><Relationship Id="rId140" Type="http://schemas.openxmlformats.org/officeDocument/2006/relationships/hyperlink" Target="http://www.sec.gov/Archives/edgar/data/17313/000114036112028351/ex10_15.htm" TargetMode="External"/><Relationship Id="rId141" Type="http://schemas.openxmlformats.org/officeDocument/2006/relationships/hyperlink" Target="http://www.sec.gov/Archives/edgar/data/17313/000114036113023510/ex10_16.htm" TargetMode="External"/><Relationship Id="rId142" Type="http://schemas.openxmlformats.org/officeDocument/2006/relationships/hyperlink" Target="http://www.sec.gov/Archives/edgar/data/17313/000114036115030196/ex10_1.htm" TargetMode="External"/><Relationship Id="rId143" Type="http://schemas.openxmlformats.org/officeDocument/2006/relationships/hyperlink" Target="http://www.sec.gov/Archives/edgar/data/17313/000114036113021477/ex99_2.htm" TargetMode="External"/><Relationship Id="rId144" Type="http://schemas.openxmlformats.org/officeDocument/2006/relationships/hyperlink" Target="http://www.sec.gov/Archives/edgar/data/17313/000114036111039875/ex10_1.htm" TargetMode="External"/><Relationship Id="rId145" Type="http://schemas.openxmlformats.org/officeDocument/2006/relationships/hyperlink" Target="http://www.sec.gov/Archives/edgar/data/17313/000114036114040717/ex10_1.htm" TargetMode="External"/><Relationship Id="rId146" Type="http://schemas.openxmlformats.org/officeDocument/2006/relationships/hyperlink" Target="http://www.sec.gov/Archives/edgar/data/17313/000114036115031363/ex10_1.htm" TargetMode="External"/><Relationship Id="rId147" Type="http://schemas.openxmlformats.org/officeDocument/2006/relationships/hyperlink" Target="http://www.sec.gov/Archives/edgar/data/17313/000001731317000039/cswc-20170930ex104a0dac4.htm" TargetMode="External"/><Relationship Id="rId148" Type="http://schemas.openxmlformats.org/officeDocument/2006/relationships/hyperlink" Target="http://www.sec.gov/Archives/edgar/data/17313/000114036111039875/ex10_2.htm" TargetMode="External"/><Relationship Id="rId149" Type="http://schemas.openxmlformats.org/officeDocument/2006/relationships/hyperlink" Target="http://www.sec.gov/Archives/edgar/data/17313/000114036114040717/ex10_2.htm" TargetMode="External"/><Relationship Id="rId150" Type="http://schemas.openxmlformats.org/officeDocument/2006/relationships/hyperlink" Target="http://www.sec.gov/Archives/edgar/data/17313/000114036115031363/ex10_2.htm" TargetMode="External"/><Relationship Id="rId151" Type="http://schemas.openxmlformats.org/officeDocument/2006/relationships/hyperlink" Target="http://www.sec.gov/Archives/edgar/data/17313/000001731317000039/cswc-20170930ex10366ba72.htm" TargetMode="External"/><Relationship Id="rId152" Type="http://schemas.openxmlformats.org/officeDocument/2006/relationships/hyperlink" Target="http://www.sec.gov/Archives/edgar/data/17313/000114036114040717/ex10_3.htm" TargetMode="External"/><Relationship Id="rId154" Type="http://schemas.openxmlformats.org/officeDocument/2006/relationships/hyperlink" Target="http://www.sec.gov/Archives/edgar/data/17313/000114036114040717/ex10_4.htm" TargetMode="External"/><Relationship Id="rId155" Type="http://schemas.openxmlformats.org/officeDocument/2006/relationships/hyperlink" Target="http://www.sec.gov/Archives/edgar/data/17313/000114036114040717/ex10_5.htm" TargetMode="External"/><Relationship Id="rId156" Type="http://schemas.openxmlformats.org/officeDocument/2006/relationships/hyperlink" Target="http://www.sec.gov/Archives/edgar/data/17313/000114036115035006/ex10_1.htm" TargetMode="External"/><Relationship Id="rId157" Type="http://schemas.openxmlformats.org/officeDocument/2006/relationships/hyperlink" Target="http://www.sec.gov/Archives/edgar/data/17313/000114036115035006/ex10_2.htm" TargetMode="External"/><Relationship Id="rId158" Type="http://schemas.openxmlformats.org/officeDocument/2006/relationships/hyperlink" Target="http://www.sec.gov/Archives/edgar/data/17313/000114036115040254/ex10_3.htm" TargetMode="External"/><Relationship Id="rId159" Type="http://schemas.openxmlformats.org/officeDocument/2006/relationships/hyperlink" Target="http://www.sec.gov/Archives/edgar/data/17313/000114036115040254/ex10_4.htm" TargetMode="External"/><Relationship Id="rId160" Type="http://schemas.openxmlformats.org/officeDocument/2006/relationships/hyperlink" Target="http://www.sec.gov/Archives/edgar/data/17313/000114036115040254/ex10_5.htm" TargetMode="External"/><Relationship Id="rId161" Type="http://schemas.openxmlformats.org/officeDocument/2006/relationships/hyperlink" Target="http://www.sec.gov/Archives/edgar/data/17313/000114036115040254/ex10_6.htm" TargetMode="External"/><Relationship Id="rId162" Type="http://schemas.openxmlformats.org/officeDocument/2006/relationships/hyperlink" Target="http://www.sec.gov/Archives/edgar/data/17313/000114036115040254/ex10_7.htm" TargetMode="External"/><Relationship Id="rId163" Type="http://schemas.openxmlformats.org/officeDocument/2006/relationships/hyperlink" Target="http://www.sec.gov/Archives/edgar/data/17313/000114036115040254/ex10_8.htm" TargetMode="External"/><Relationship Id="rId164" Type="http://schemas.openxmlformats.org/officeDocument/2006/relationships/hyperlink" Target="http://www.sec.gov/Archives/edgar/data/17313/000114036115040254/ex10_9.htm" TargetMode="External"/><Relationship Id="rId165" Type="http://schemas.openxmlformats.org/officeDocument/2006/relationships/hyperlink" Target="http://www.sec.gov/Archives/edgar/data/17313/000114036115040254/ex10_10.htm" TargetMode="External"/><Relationship Id="rId166" Type="http://schemas.openxmlformats.org/officeDocument/2006/relationships/hyperlink" Target="http://www.sec.gov/Archives/edgar/data/17313/000114036115040254/ex10_11.htm" TargetMode="External"/><Relationship Id="rId167" Type="http://schemas.openxmlformats.org/officeDocument/2006/relationships/hyperlink" Target="http://www.sec.gov/Archives/edgar/data/17313/000114036115040254/ex10_12.htm" TargetMode="External"/><Relationship Id="rId168" Type="http://schemas.openxmlformats.org/officeDocument/2006/relationships/hyperlink" Target="http://www.sec.gov/Archives/edgar/data/17313/000114036115040254/ex10_13.htm" TargetMode="External"/><Relationship Id="rId169" Type="http://schemas.openxmlformats.org/officeDocument/2006/relationships/hyperlink" Target="http://www.sec.gov/Archives/edgar/data/17313/000114036115040254/ex10_14.htm" TargetMode="External"/><Relationship Id="rId171" Type="http://schemas.openxmlformats.org/officeDocument/2006/relationships/hyperlink" Target="http://www.sec.gov/Archives/edgar/data/17313/000001731316000013/cswc-20160901ex102f38ba6.htm" TargetMode="External"/><Relationship Id="rId172" Type="http://schemas.openxmlformats.org/officeDocument/2006/relationships/hyperlink" Target="http://www.sec.gov/Archives/edgar/data/17313/000001731316000013/cswc-20160901ex101008523.htm" TargetMode="External"/><Relationship Id="rId173" Type="http://schemas.openxmlformats.org/officeDocument/2006/relationships/hyperlink" Target="http://www.sec.gov/Archives/edgar/data/17313/000001731318000017/cswc-20180514ex101336cde.htm" TargetMode="External"/><Relationship Id="rId174" Type="http://schemas.openxmlformats.org/officeDocument/2006/relationships/hyperlink" Target="http://www.sec.gov/Archives/edgar/data/17313/000001731317000039/cswc-20170930ex102094bef.htm" TargetMode="External"/><Relationship Id="rId175" Type="http://schemas.openxmlformats.org/officeDocument/2006/relationships/hyperlink" Target="http://www.sec.gov/Archives/edgar/data/17313/000001731317000043/cswc-20171116ex101818f9c.htm" TargetMode="External"/><Relationship Id="rId176" Type="http://schemas.openxmlformats.org/officeDocument/2006/relationships/hyperlink" Target="http://www.sec.gov/Archives/edgar/data/17313/000001731318000011/cswc-20180416ex10193a0e5.htm" TargetMode="External"/><Relationship Id="rId177" Type="http://schemas.openxmlformats.org/officeDocument/2006/relationships/hyperlink" Target="http://www.sec.gov/Archives/edgar/data/17313/000156761917001886/s001849x1_ex-k3.htm" TargetMode="External"/><Relationship Id="rId178" Type="http://schemas.openxmlformats.org/officeDocument/2006/relationships/hyperlink" Target="http://www.sec.gov/Archives/edgar/data/17313/000156761917001886/s001849x1_ex-j1.htm" TargetMode="External"/><Relationship Id="rId179" Type="http://schemas.openxmlformats.org/officeDocument/2006/relationships/hyperlink" Target="http://www.sec.gov/Archives/edgar/data/17313/000156761917001886/s001849x1_ex-j2.htm" TargetMode="External"/><Relationship Id="rId180" Type="http://schemas.openxmlformats.org/officeDocument/2006/relationships/hyperlink" Target="http://www.sec.gov/Archives/edgar/data/17313/000156761917001886/s001849x1_ex-j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2019-12-28T21:45:14Z</dcterms:created>
  <dcterms:modified xsi:type="dcterms:W3CDTF">2019-12-28T21:45:14Z</dcterms:modified>
</cp:coreProperties>
</file>