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UNITED STATES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SECURITIES AND EXCHANGE COMMISSION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WASHINGTON, D.C. 20549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SCHEDULE 14A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Proxy Statement Pursuant to Section 14(a) of the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tabs>
          <w:tab w:leader="none" w:pos="1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Securities Exchange Act of 1934 (Amendment No.</w:t>
        <w:tab/>
        <w:t>)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spacing w:after="0" w:line="138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☒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 xml:space="preserve">Filed by a Party other than the Registrant </w:t>
      </w:r>
      <w:r>
        <w:rPr>
          <w:rFonts w:ascii="Wingdings" w:cs="Wingdings" w:eastAsia="Wingdings" w:hAnsi="Wingdings"/>
          <w:sz w:val="12"/>
          <w:szCs w:val="12"/>
          <w:b w:val="1"/>
          <w:bCs w:val="1"/>
          <w:color w:val="auto"/>
        </w:rPr>
        <w:t>o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Check the appropriate box: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60" w:hanging="856"/>
        <w:spacing w:after="0"/>
        <w:tabs>
          <w:tab w:leader="none" w:pos="860" w:val="left"/>
        </w:tabs>
        <w:numPr>
          <w:ilvl w:val="0"/>
          <w:numId w:val="1"/>
        </w:numPr>
        <w:rPr>
          <w:rFonts w:ascii="Wingdings" w:cs="Wingdings" w:eastAsia="Wingdings" w:hAnsi="Wingdings"/>
          <w:sz w:val="12"/>
          <w:szCs w:val="12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Preliminary Proxy Statement</w:t>
      </w:r>
    </w:p>
    <w:p>
      <w:pPr>
        <w:spacing w:after="0" w:line="15" w:lineRule="exact"/>
        <w:rPr>
          <w:rFonts w:ascii="Wingdings" w:cs="Wingdings" w:eastAsia="Wingdings" w:hAnsi="Wingdings"/>
          <w:sz w:val="12"/>
          <w:szCs w:val="12"/>
          <w:b w:val="1"/>
          <w:bCs w:val="1"/>
          <w:color w:val="auto"/>
        </w:rPr>
      </w:pPr>
    </w:p>
    <w:p>
      <w:pPr>
        <w:ind w:left="860" w:hanging="856"/>
        <w:spacing w:after="0" w:line="138" w:lineRule="exact"/>
        <w:tabs>
          <w:tab w:leader="none" w:pos="860" w:val="left"/>
        </w:tabs>
        <w:numPr>
          <w:ilvl w:val="0"/>
          <w:numId w:val="1"/>
        </w:numPr>
        <w:rPr>
          <w:rFonts w:ascii="Wingdings" w:cs="Wingdings" w:eastAsia="Wingdings" w:hAnsi="Wingdings"/>
          <w:sz w:val="12"/>
          <w:szCs w:val="12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Confidential, For Use of the Commission Only (as permitted by Rule 14a</w:t>
      </w:r>
      <w:r>
        <w:rPr>
          <w:rFonts w:ascii="MS PGothic" w:cs="MS PGothic" w:eastAsia="MS PGothic" w:hAnsi="MS PGothic"/>
          <w:sz w:val="12"/>
          <w:szCs w:val="12"/>
          <w:color w:val="auto"/>
          <w:strike w:val="1"/>
        </w:rPr>
        <w:t>‑</w:t>
      </w: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6(e)(2))</w:t>
      </w:r>
    </w:p>
    <w:p>
      <w:pPr>
        <w:spacing w:after="0" w:line="25" w:lineRule="exact"/>
        <w:rPr>
          <w:rFonts w:ascii="Wingdings" w:cs="Wingdings" w:eastAsia="Wingdings" w:hAnsi="Wingdings"/>
          <w:sz w:val="12"/>
          <w:szCs w:val="12"/>
          <w:b w:val="1"/>
          <w:bCs w:val="1"/>
          <w:color w:val="auto"/>
        </w:rPr>
      </w:pPr>
    </w:p>
    <w:p>
      <w:pPr>
        <w:ind w:left="860" w:hanging="856"/>
        <w:spacing w:after="0"/>
        <w:tabs>
          <w:tab w:leader="none" w:pos="860" w:val="left"/>
        </w:tabs>
        <w:numPr>
          <w:ilvl w:val="0"/>
          <w:numId w:val="1"/>
        </w:numPr>
        <w:rPr>
          <w:rFonts w:ascii="Wingdings" w:cs="Wingdings" w:eastAsia="Wingdings" w:hAnsi="Wingdings"/>
          <w:sz w:val="12"/>
          <w:szCs w:val="12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Definitive Proxy Statement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860" w:hanging="856"/>
        <w:spacing w:after="0"/>
        <w:tabs>
          <w:tab w:leader="none" w:pos="8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2"/>
          <w:szCs w:val="12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Definitive Additional Materials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860" w:hanging="856"/>
        <w:spacing w:after="0" w:line="138" w:lineRule="exact"/>
        <w:tabs>
          <w:tab w:leader="none" w:pos="860" w:val="left"/>
        </w:tabs>
        <w:numPr>
          <w:ilvl w:val="0"/>
          <w:numId w:val="3"/>
        </w:numPr>
        <w:rPr>
          <w:rFonts w:ascii="Wingdings" w:cs="Wingdings" w:eastAsia="Wingdings" w:hAnsi="Wingdings"/>
          <w:sz w:val="12"/>
          <w:szCs w:val="12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Soliciting Material Pursuant to Rule 14a</w:t>
      </w:r>
      <w:r>
        <w:rPr>
          <w:rFonts w:ascii="MS PGothic" w:cs="MS PGothic" w:eastAsia="MS PGothic" w:hAnsi="MS PGothic"/>
          <w:sz w:val="12"/>
          <w:szCs w:val="12"/>
          <w:color w:val="auto"/>
        </w:rPr>
        <w:t>‑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11(c) or Rule 14a</w:t>
      </w:r>
      <w:r>
        <w:rPr>
          <w:rFonts w:ascii="MS PGothic" w:cs="MS PGothic" w:eastAsia="MS PGothic" w:hAnsi="MS PGothic"/>
          <w:sz w:val="12"/>
          <w:szCs w:val="12"/>
          <w:color w:val="auto"/>
        </w:rPr>
        <w:t>‑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12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t>CAPITAL SOUTHWEST CORPORATION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(Name of Registrant as Specified In Its Charter)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Payment of Filing Fee (Check the appropriate box):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60" w:hanging="856"/>
        <w:spacing w:after="0"/>
        <w:tabs>
          <w:tab w:leader="none" w:pos="8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2"/>
          <w:szCs w:val="12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No fee required.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60" w:hanging="856"/>
        <w:spacing w:after="0"/>
        <w:tabs>
          <w:tab w:leader="none" w:pos="860" w:val="left"/>
        </w:tabs>
        <w:numPr>
          <w:ilvl w:val="0"/>
          <w:numId w:val="5"/>
        </w:numPr>
        <w:rPr>
          <w:rFonts w:ascii="Wingdings" w:cs="Wingdings" w:eastAsia="Wingdings" w:hAnsi="Wingdings"/>
          <w:sz w:val="12"/>
          <w:szCs w:val="12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Fee paid previously with preliminary materials.</w:t>
      </w:r>
    </w:p>
    <w:p>
      <w:pPr>
        <w:spacing w:after="0" w:line="5" w:lineRule="exact"/>
        <w:rPr>
          <w:rFonts w:ascii="Wingdings" w:cs="Wingdings" w:eastAsia="Wingdings" w:hAnsi="Wingdings"/>
          <w:sz w:val="12"/>
          <w:szCs w:val="12"/>
          <w:b w:val="1"/>
          <w:bCs w:val="1"/>
          <w:color w:val="auto"/>
        </w:rPr>
      </w:pPr>
    </w:p>
    <w:p>
      <w:pPr>
        <w:ind w:left="860" w:hanging="856"/>
        <w:spacing w:after="0"/>
        <w:tabs>
          <w:tab w:leader="none" w:pos="860" w:val="left"/>
        </w:tabs>
        <w:numPr>
          <w:ilvl w:val="0"/>
          <w:numId w:val="5"/>
        </w:numPr>
        <w:rPr>
          <w:rFonts w:ascii="Wingdings" w:cs="Wingdings" w:eastAsia="Wingdings" w:hAnsi="Wingdings"/>
          <w:sz w:val="12"/>
          <w:szCs w:val="12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Fee computed on table in exhibit required by Item 25(b) per Exchange Act Rules 14a-6(i)(1) and 0-11.</w:t>
      </w:r>
    </w:p>
    <w:p>
      <w:pPr>
        <w:sectPr>
          <w:pgSz w:w="11900" w:h="16838" w:orient="portrait"/>
          <w:cols w:equalWidth="0" w:num="1">
            <w:col w:w="10159"/>
          </w:cols>
          <w:pgMar w:left="300" w:top="700" w:right="1440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86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271780</wp:posOffset>
            </wp:positionV>
            <wp:extent cx="7130415" cy="51581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5158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tabs>
          <w:tab w:leader="none" w:pos="86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51587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5158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tabs>
          <w:tab w:leader="none" w:pos="860" w:val="left"/>
        </w:tabs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tabs>
          <w:tab w:leader="none" w:pos="86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271780</wp:posOffset>
            </wp:positionV>
            <wp:extent cx="7130415" cy="6244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6244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tabs>
          <w:tab w:leader="none" w:pos="86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6244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6244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tabs>
          <w:tab w:leader="none" w:pos="860" w:val="left"/>
        </w:tabs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  <w:font w:name="Wingdings">
    <w:panose1 w:val="05000000000000000000"/>
    <w:charset w:val="00"/>
    <w:family w:val="auto"/>
    <w:pitch w:val="variable"/>
    <w:sig w:usb0="00000000" w:usb1="0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o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o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o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2026-06-03T15:55:54Z</dcterms:created>
  <dcterms:modified xsi:type="dcterms:W3CDTF">2026-06-03T15:55:54Z</dcterms:modified>
</cp:coreProperties>
</file>