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424(b)(2)</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File No. 333-282873 </w:t>
      </w:r>
    </w:p>
    <w:p>
      <w:pPr>
        <w:pStyle w:val="TextBody"/>
        <w:bidi w:val="0"/>
        <w:spacing w:lineRule="auto" w:line="237" w:before="0" w:after="80"/>
        <w:jc w:val="left"/>
        <w:rPr/>
      </w:pPr>
      <w:r>
        <w:rPr>
          <w:rFonts w:ascii="Arial Narrow;sans-serif" w:hAnsi="Arial Narrow;sans-serif"/>
          <w:b/>
          <w:color w:val="EE2724"/>
          <w:sz w:val="20"/>
        </w:rPr>
        <w:t>The information in this preliminary prospectus supplement is not complete and may be changed. A registration statement relating to these securities has been filed with the Securities and Exchange Commission and has become effective. This preliminary prospectus supplement and the accompanying prospectus are not an offer to sell these securities and are not soliciting an offer to buy these securities in any jurisdiction where the offer or sale is not permitted.</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EE2724"/>
          <w:sz w:val="16"/>
        </w:rPr>
      </w:pPr>
      <w:r>
        <w:rPr>
          <w:rFonts w:ascii="Times New Roman;serif" w:hAnsi="Times New Roman;serif"/>
          <w:b/>
          <w:color w:val="EE2724"/>
          <w:sz w:val="16"/>
        </w:rPr>
        <w:t>SUBJECT TO COMPLETION DATED SEPTEMBER 10, 2026</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PRELIMINARY PROSPECTUS SUPPLEMENT</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 Prospectus dated October 29, 2024)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80975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742950"/>
                    </a:xfrm>
                    <a:prstGeom prst="rect">
                      <a:avLst/>
                    </a:prstGeom>
                  </pic:spPr>
                </pic:pic>
              </a:graphicData>
            </a:graphic>
          </wp:inline>
        </w:drawing>
      </w:r>
      <w:bookmarkStart w:id="0" w:name="i-1"/>
      <w:bookmarkEnd w:id="0"/>
    </w:p>
    <w:p>
      <w:pPr>
        <w:pStyle w:val="TextBody"/>
        <w:bidi w:val="0"/>
        <w:spacing w:lineRule="auto" w:line="333" w:before="100" w:after="283"/>
        <w:jc w:val="center"/>
        <w:rPr>
          <w:rFonts w:ascii="Times New Roman;serif" w:hAnsi="Times New Roman;serif"/>
          <w:b/>
          <w:color w:val="000000"/>
          <w:sz w:val="18"/>
        </w:rPr>
      </w:pPr>
      <w:r>
        <w:rPr>
          <w:rFonts w:ascii="Times New Roman;serif" w:hAnsi="Times New Roman;serif"/>
          <w:b/>
          <w:color w:val="000000"/>
          <w:sz w:val="18"/>
        </w:rPr>
        <w:t xml:space="preserve">$ </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 xml:space="preserve">% Notes due 2031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We are an internally managed, closed-end, non-diversified investment company that has elected to be treated as a business development company (“BDC”) under the Investment Company Act of 1940, as amended (the “1940 Act”). Our business strategy is to achieve our investment objective of producing attractive risk-adjusted returns by generating current income from our debt investments and capital appreciation from our equity and equity related investments.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We are offering $ million in aggregate principal amount of % notes due 2031, which we refer to as the Notes. The Notes will mature on , 2031. We will pay interest on the Notes on and of each year, beginning , 20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We may redeem the Notes in whole or in part at any time or from time to time, at the redemption price set forth under the section titled “Description of the Notes - Optional Redemption”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Notes will be our direct unsecured obligations and rank pari passu, which means equal in right of payment, with all outstanding and future unsecured unsubordinated indebtedness issued by us, including, without limitation, our 5.125% Convertible Notes due November 15, 2029 (the “2029 Convertible Notes”) and our 5.950% Notes due 2030 (the “2030 Notes”). As of September 9, 2026, the aggregate principal amounts outstanding under the 2029 Convertible Notes and the 2030 Notes were $230.0 million and $350.0 million, respectively. Because the Notes will not be secured by any of our assets, they are effectively subordinated to all of our existing and future secured indebtedness (or any indebtedness that is initially unsecured as to which we subsequently grant security), to the extent of the value of the assets securing such indebtedness, including, without limitation, borrowings under our senior secured revolving credit facility (the “Corporate Credit Facility”), of which we had $351.0 million outstanding as of September 9, 2026. The Notes will be structurally subordinated to all existing and future indebtedness and other obligations of any of our subsidiaries, including, without limitation, borrowings under our special purpose vehicle financing credit facility (the “SPV Credit Facility”), of which we had $151.0 million outstanding as of September 9, 2026, and the debentures guaranteed by the U.S. Small Business Administration (the “SBA”) issued by Capital Southwest SBIC I, LP and Capital Southwest SBIC II, LP (the “SBA Debentures”), of which $159.0 million and $122.0 million, respectively, were outstanding as of September 9, 2026. The Notes are obligations exclusively of Capital Southwest Corporation and not of any of our subsidiaries. None of our subsidiaries is a guarantor of the Notes and the Notes will not be required to be guaranteed by any subsidiary we may acquire or create in the future.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Notes, and any assets of our subsidiaries will not be directly available to satisfy the claims of our creditors, including holders of the Notes. For further discussion, see the section titled “Description of the Notes” in this prospectus supplement.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The Notes will rank pari passu with, or equal to, our general liabilities (other than amounts outstanding under the Corporate Credit Facility, the SPV Credit Facility, and the SBA Debentures). In total, these general liabilities were $35.9 million as of June 30, 2026. We currently do not have outstanding debt that is subordinated to the Notes and do not currently intend to issue indebtedness that expressly provides that it is subordinated to the Notes. Therefore, the Notes will not be senior to any of our indebtedness or obligations.</w:t>
      </w:r>
    </w:p>
    <w:p>
      <w:pPr>
        <w:pStyle w:val="TextBody"/>
        <w:bidi w:val="0"/>
        <w:spacing w:lineRule="auto" w:line="288" w:before="120" w:after="100"/>
        <w:jc w:val="both"/>
        <w:rPr>
          <w:rFonts w:ascii="Times New Roman;serif" w:hAnsi="Times New Roman;serif"/>
          <w:b w:val="false"/>
          <w:color w:val="000000"/>
          <w:sz w:val="16"/>
        </w:rPr>
      </w:pPr>
      <w:r>
        <w:rPr>
          <w:rFonts w:ascii="Times New Roman;serif" w:hAnsi="Times New Roman;serif"/>
          <w:b w:val="false"/>
          <w:color w:val="000000"/>
          <w:sz w:val="16"/>
        </w:rPr>
        <w:t xml:space="preserve">This prospectus supplement and the accompanying prospectus, including the information incorporated by reference herein and therein, contain important information about us that a prospective investor should know before investing in the Notes. We also may authorize one or more free writing prospectuses to be provided to you in connection with this offering. You should carefully read this prospectus supplement, the accompanying prospectus, and any related free writing prospectus, and the documents incorporated by reference, before investing in the Notes. We file annual, quarterly and current reports, proxy statements and other information with the Securities and Exchange Commission (the “SEC”). This information is available free of charge by contacting us at 8333 Douglas Avenue, Suite 1100, Dallas, Texas 75225, or by telephone at (214) 238-5700 or on our website at www.capitalsouthwest.com. Information contained on our website is not incorporated by reference into this prospectus supplement or the accompanying prospectus, and you should not consider that information to be part of this prospectus supplement or the accompanying prospectus. The SEC also maintains a website at www.sec.gov that contains information about us. </w:t>
      </w:r>
    </w:p>
    <w:p>
      <w:pPr>
        <w:pStyle w:val="TextBody"/>
        <w:bidi w:val="0"/>
        <w:spacing w:lineRule="atLeast" w:line="192" w:before="40" w:after="40"/>
        <w:jc w:val="both"/>
        <w:rPr/>
      </w:pPr>
      <w:r>
        <w:rPr>
          <w:rFonts w:ascii="Times New Roman;serif" w:hAnsi="Times New Roman;serif"/>
          <w:b/>
          <w:color w:val="000000"/>
          <w:sz w:val="16"/>
        </w:rPr>
        <w:t xml:space="preserve">Investing in the Notes involves a high degree of risk, and should be considered highly speculative. See “Supplementary Risk Factors” beginning on page </w:t>
      </w:r>
      <w:hyperlink w:anchor="ia9327d1d86fd48e6a093eb70c8d3870c_19">
        <w:r>
          <w:rPr>
            <w:rStyle w:val="InternetLink"/>
            <w:rFonts w:ascii="Times New Roman;serif" w:hAnsi="Times New Roman;serif"/>
            <w:b/>
            <w:color w:val="0000FF"/>
            <w:sz w:val="16"/>
            <w:u w:val="single"/>
          </w:rPr>
          <w:t>S-9</w:t>
        </w:r>
      </w:hyperlink>
      <w:r>
        <w:rPr>
          <w:color w:val="000000"/>
        </w:rPr>
        <w:t xml:space="preserve"> </w:t>
      </w:r>
      <w:r>
        <w:rPr>
          <w:rFonts w:ascii="Times New Roman;serif" w:hAnsi="Times New Roman;serif"/>
          <w:b/>
          <w:color w:val="000000"/>
          <w:sz w:val="16"/>
        </w:rPr>
        <w:t xml:space="preserve">of this prospectus supplement and “Risk Factors” beginning on page </w:t>
      </w:r>
      <w:hyperlink w:anchor="ia9327d1d86fd48e6a093eb70c8d3870c_67">
        <w:r>
          <w:rPr>
            <w:rStyle w:val="InternetLink"/>
            <w:rFonts w:ascii="Times New Roman;serif" w:hAnsi="Times New Roman;serif"/>
            <w:b/>
            <w:color w:val="0000FF"/>
            <w:sz w:val="16"/>
            <w:u w:val="single"/>
          </w:rPr>
          <w:t>10</w:t>
        </w:r>
      </w:hyperlink>
      <w:r>
        <w:rPr>
          <w:color w:val="000000"/>
        </w:rPr>
        <w:t xml:space="preserve"> </w:t>
      </w:r>
      <w:r>
        <w:rPr>
          <w:rFonts w:ascii="Times New Roman;serif" w:hAnsi="Times New Roman;serif"/>
          <w:b/>
          <w:color w:val="000000"/>
          <w:sz w:val="16"/>
        </w:rPr>
        <w:t xml:space="preserve">of the accompanying prospectus and in our most recent Annual Report on Form 10-K and our most recent Quarterly Report on Form 10-Q, and under similar headings in the other documents that are filed after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192" w:before="40" w:after="40"/>
        <w:jc w:val="both"/>
        <w:rPr>
          <w:rFonts w:ascii="Times New Roman;serif" w:hAnsi="Times New Roman;serif"/>
          <w:b/>
          <w:color w:val="000000"/>
          <w:sz w:val="16"/>
        </w:rPr>
      </w:pPr>
      <w:r>
        <w:rPr>
          <w:rFonts w:ascii="Times New Roman;serif" w:hAnsi="Times New Roman;serif"/>
          <w:b/>
          <w:color w:val="000000"/>
          <w:sz w:val="16"/>
        </w:rPr>
        <w:t xml:space="preserve">date hereof and incorporated by reference into this prospectus supplement and the accompanying prospectus to read about factors you should consider, including the risk of leverage, before investing in the Notes.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 xml:space="preserve">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 </w:t>
      </w:r>
    </w:p>
    <w:tbl>
      <w:tblPr>
        <w:tblW w:w="8258" w:type="dxa"/>
        <w:jc w:val="left"/>
        <w:tblInd w:w="0" w:type="dxa"/>
        <w:tblLayout w:type="fixed"/>
        <w:tblCellMar>
          <w:top w:w="28" w:type="dxa"/>
          <w:left w:w="28" w:type="dxa"/>
          <w:bottom w:w="28" w:type="dxa"/>
          <w:right w:w="28" w:type="dxa"/>
        </w:tblCellMar>
      </w:tblPr>
      <w:tblGrid>
        <w:gridCol w:w="2318"/>
        <w:gridCol w:w="2033"/>
        <w:gridCol w:w="2054"/>
        <w:gridCol w:w="109"/>
        <w:gridCol w:w="109"/>
        <w:gridCol w:w="109"/>
        <w:gridCol w:w="199"/>
        <w:gridCol w:w="199"/>
        <w:gridCol w:w="201"/>
        <w:gridCol w:w="148"/>
        <w:gridCol w:w="148"/>
        <w:gridCol w:w="150"/>
        <w:gridCol w:w="140"/>
        <w:gridCol w:w="140"/>
        <w:gridCol w:w="201"/>
      </w:tblGrid>
      <w:tr>
        <w:trPr/>
        <w:tc>
          <w:tcPr>
            <w:tcW w:w="2318"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tLeast" w:line="142" w:before="53" w:after="3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142" w:before="53" w:after="30"/>
              <w:jc w:val="center"/>
              <w:rPr>
                <w:color w:val="000000"/>
              </w:rPr>
            </w:pPr>
            <w:r>
              <w:rPr>
                <w:color w:val="000000"/>
              </w:rPr>
              <w:t> </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Note</w:t>
            </w:r>
          </w:p>
        </w:tc>
        <w:tc>
          <w:tcPr>
            <w:tcW w:w="446" w:type="dxa"/>
            <w:gridSpan w:val="3"/>
            <w:tcBorders/>
            <w:tcMar>
              <w:top w:w="0" w:type="dxa"/>
              <w:left w:w="0" w:type="dxa"/>
              <w:bottom w:w="0" w:type="dxa"/>
              <w:right w:w="0" w:type="dxa"/>
            </w:tcMar>
            <w:vAlign w:val="center"/>
          </w:tcPr>
          <w:p>
            <w:pPr>
              <w:pStyle w:val="TableContents"/>
              <w:bidi w:val="0"/>
              <w:spacing w:lineRule="atLeast" w:line="142" w:before="53" w:after="30"/>
              <w:jc w:val="center"/>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Public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5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4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Underwriting discount (sales load)</w:t>
            </w:r>
          </w:p>
        </w:tc>
        <w:tc>
          <w:tcPr>
            <w:tcW w:w="327" w:type="dxa"/>
            <w:gridSpan w:val="3"/>
            <w:tcBorders/>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gridSpan w:val="3"/>
            <w:tcBorders/>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33" w:after="30"/>
              <w:jc w:val="left"/>
              <w:rPr/>
            </w:pPr>
            <w:r>
              <w:rPr>
                <w:rFonts w:ascii="Times New Roman;serif" w:hAnsi="Times New Roman;serif"/>
                <w:b w:val="false"/>
                <w:color w:val="000000"/>
                <w:sz w:val="14"/>
              </w:rPr>
              <w:t>Proceeds to Capital Southwest Corporation (before estimated offering expenses of approximately $ million)</w:t>
            </w:r>
            <w:r>
              <w:rPr>
                <w:rFonts w:ascii="Times New Roman;serif" w:hAnsi="Times New Roman;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(1)The public offering price set forth above does not include accrued interest, if any. Interest on the Notes will accrue from September , 2026 and must be paid by the purchaser if the Notes are delivered after September , 2026. </w:t>
      </w:r>
    </w:p>
    <w:p>
      <w:pPr>
        <w:pStyle w:val="TextBody"/>
        <w:bidi w:val="0"/>
        <w:spacing w:before="0" w:after="0"/>
        <w:jc w:val="left"/>
        <w:rPr/>
      </w:pPr>
      <w:r>
        <w:rPr/>
      </w:r>
    </w:p>
    <w:p>
      <w:pPr>
        <w:pStyle w:val="TextBody"/>
        <w:bidi w:val="0"/>
        <w:spacing w:lineRule="auto" w:line="333" w:before="40" w:after="140"/>
        <w:jc w:val="both"/>
        <w:rPr>
          <w:rFonts w:ascii="Times New Roman;serif" w:hAnsi="Times New Roman;serif"/>
          <w:b/>
          <w:color w:val="000000"/>
          <w:sz w:val="16"/>
        </w:rPr>
      </w:pPr>
      <w:r>
        <w:rPr>
          <w:rFonts w:ascii="Times New Roman;serif" w:hAnsi="Times New Roman;serif"/>
          <w:b/>
          <w:color w:val="000000"/>
          <w:sz w:val="16"/>
        </w:rPr>
        <w:t xml:space="preserve">THE NOTES ARE NOT DEPOSITS OR OTHER OBLIGATIONS OF A BANK AND ARE NOT INSURED BY THE FEDERAL DEPOSIT INSURANCE CORPORATION OR ANY OTHER GOVERNMENT AGENCY.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40" w:after="283"/>
        <w:jc w:val="both"/>
        <w:rPr>
          <w:rFonts w:ascii="Times New Roman;serif" w:hAnsi="Times New Roman;serif"/>
          <w:b w:val="false"/>
          <w:color w:val="000000"/>
          <w:sz w:val="16"/>
        </w:rPr>
      </w:pPr>
      <w:r>
        <w:rPr>
          <w:rFonts w:ascii="Times New Roman;serif" w:hAnsi="Times New Roman;serif"/>
          <w:b w:val="false"/>
          <w:color w:val="000000"/>
          <w:sz w:val="16"/>
        </w:rPr>
        <w:t>Delivery of the Notes in book-entry form only through The Depository Trust Company, or DTC, for the accounts of its participants, including Euroclear Bank</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S.A./N.V., as operator of the Euroclear System, and Clearstream Banking S.A.,will be made on or about September , 2026. </w:t>
      </w:r>
    </w:p>
    <w:p>
      <w:pPr>
        <w:pStyle w:val="TextBody"/>
        <w:bidi w:val="0"/>
        <w:spacing w:before="40" w:after="283"/>
        <w:jc w:val="both"/>
        <w:rPr/>
      </w:pPr>
      <w:r>
        <w:rPr/>
      </w:r>
    </w:p>
    <w:tbl>
      <w:tblPr>
        <w:tblW w:w="7812" w:type="dxa"/>
        <w:jc w:val="center"/>
        <w:tblInd w:w="0" w:type="dxa"/>
        <w:tblLayout w:type="fixed"/>
        <w:tblCellMar>
          <w:top w:w="28" w:type="dxa"/>
          <w:left w:w="28" w:type="dxa"/>
          <w:bottom w:w="28" w:type="dxa"/>
          <w:right w:w="28" w:type="dxa"/>
        </w:tblCellMar>
      </w:tblPr>
      <w:tblGrid>
        <w:gridCol w:w="932"/>
        <w:gridCol w:w="823"/>
        <w:gridCol w:w="825"/>
        <w:gridCol w:w="959"/>
        <w:gridCol w:w="959"/>
        <w:gridCol w:w="961"/>
        <w:gridCol w:w="187"/>
        <w:gridCol w:w="187"/>
        <w:gridCol w:w="188"/>
        <w:gridCol w:w="517"/>
        <w:gridCol w:w="517"/>
        <w:gridCol w:w="757"/>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7812"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2"/>
              </w:rPr>
            </w:pPr>
            <w:r>
              <w:rPr>
                <w:rFonts w:ascii="Times New Roman;serif" w:hAnsi="Times New Roman;serif"/>
                <w:b/>
                <w:i/>
                <w:color w:val="000000"/>
                <w:sz w:val="22"/>
              </w:rPr>
              <w:t>Active Bookrunners</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Deutsche Bank Securities</w:t>
            </w:r>
          </w:p>
        </w:tc>
        <w:tc>
          <w:tcPr>
            <w:tcW w:w="28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Huntington Capital Markets</w:t>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ING</w:t>
            </w:r>
          </w:p>
        </w:tc>
        <w:tc>
          <w:tcPr>
            <w:tcW w:w="17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Morgan Stanley</w:t>
            </w:r>
          </w:p>
        </w:tc>
      </w:tr>
      <w:tr>
        <w:trPr/>
        <w:tc>
          <w:tcPr>
            <w:tcW w:w="545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RBC Capital Markets</w:t>
            </w:r>
          </w:p>
        </w:tc>
        <w:tc>
          <w:tcPr>
            <w:tcW w:w="235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Wells Fargo Securities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tLeast"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The date of this prospectus supplement is September , 2026</w:t>
      </w:r>
    </w:p>
    <w:p>
      <w:pPr>
        <w:pStyle w:val="TextBody"/>
        <w:bidi w:val="0"/>
        <w:spacing w:before="40" w:after="283"/>
        <w:jc w:val="both"/>
        <w:rPr/>
      </w:pPr>
      <w:r>
        <w:rPr/>
      </w:r>
    </w:p>
    <w:p>
      <w:pPr>
        <w:pStyle w:val="TextBody"/>
        <w:bidi w:val="0"/>
        <w:spacing w:before="40" w:after="283"/>
        <w:jc w:val="both"/>
        <w:rPr/>
      </w:pPr>
      <w:r>
        <w:rPr/>
      </w:r>
    </w:p>
    <w:p>
      <w:pPr>
        <w:pStyle w:val="TextBody"/>
        <w:bidi w:val="0"/>
        <w:spacing w:lineRule="auto" w:line="288" w:before="0" w:after="4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333" w:before="0" w:after="100"/>
        <w:jc w:val="center"/>
        <w:rPr>
          <w:rFonts w:ascii="Times New Roman;serif" w:hAnsi="Times New Roman;serif"/>
          <w:b/>
          <w:color w:val="000000"/>
          <w:sz w:val="20"/>
        </w:rPr>
      </w:pPr>
      <w:r>
        <w:rPr>
          <w:rFonts w:ascii="Times New Roman;serif" w:hAnsi="Times New Roman;serif"/>
          <w:b/>
          <w:color w:val="000000"/>
          <w:sz w:val="20"/>
        </w:rPr>
        <w:t xml:space="preserve">Prospectus Supplement </w:t>
      </w:r>
    </w:p>
    <w:tbl>
      <w:tblPr>
        <w:tblW w:w="6420" w:type="dxa"/>
        <w:jc w:val="center"/>
        <w:tblInd w:w="0" w:type="dxa"/>
        <w:tblLayout w:type="fixed"/>
        <w:tblCellMar>
          <w:top w:w="28" w:type="dxa"/>
          <w:left w:w="28" w:type="dxa"/>
          <w:bottom w:w="28" w:type="dxa"/>
          <w:right w:w="28" w:type="dxa"/>
        </w:tblCellMar>
      </w:tblPr>
      <w:tblGrid>
        <w:gridCol w:w="2120"/>
        <w:gridCol w:w="1863"/>
        <w:gridCol w:w="1866"/>
        <w:gridCol w:w="167"/>
        <w:gridCol w:w="167"/>
        <w:gridCol w:w="237"/>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0">
              <w:r>
                <w:rPr>
                  <w:rStyle w:val="InternetLink"/>
                  <w:rFonts w:ascii="Times New Roman;serif" w:hAnsi="Times New Roman;serif"/>
                  <w:b w:val="false"/>
                  <w:color w:val="0000FF"/>
                  <w:sz w:val="20"/>
                  <w:u w:val="single"/>
                </w:rPr>
                <w:t>ABOUT THIS PROSPECTUS SUPPLEMENT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0">
              <w:r>
                <w:rPr>
                  <w:rStyle w:val="InternetLink"/>
                  <w:rFonts w:ascii="Times New Roman;serif" w:hAnsi="Times New Roman;serif"/>
                  <w:b w:val="false"/>
                  <w:strike w:val="false"/>
                  <w:dstrike w:val="false"/>
                  <w:color w:val="000000"/>
                  <w:sz w:val="20"/>
                  <w:u w:val="none"/>
                  <w:effect w:val="none"/>
                </w:rPr>
                <w:t>S-iii</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3">
              <w:r>
                <w:rPr>
                  <w:rStyle w:val="InternetLink"/>
                  <w:rFonts w:ascii="Times New Roman;serif" w:hAnsi="Times New Roman;serif"/>
                  <w:b w:val="false"/>
                  <w:color w:val="0000FF"/>
                  <w:sz w:val="20"/>
                  <w:u w:val="single"/>
                </w:rPr>
                <w:t>PROSPECTUS SUPPLEMENT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3">
              <w:r>
                <w:rPr>
                  <w:rStyle w:val="InternetLink"/>
                  <w:rFonts w:ascii="Times New Roman;serif" w:hAnsi="Times New Roman;serif"/>
                  <w:b w:val="false"/>
                  <w:strike w:val="false"/>
                  <w:dstrike w:val="false"/>
                  <w:color w:val="000000"/>
                  <w:sz w:val="20"/>
                  <w:u w:val="none"/>
                  <w:effect w:val="none"/>
                </w:rPr>
                <w:t>S-1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6">
              <w:r>
                <w:rPr>
                  <w:rStyle w:val="InternetLink"/>
                  <w:rFonts w:ascii="Times New Roman;serif" w:hAnsi="Times New Roman;serif"/>
                  <w:b w:val="false"/>
                  <w:color w:val="0000FF"/>
                  <w:sz w:val="20"/>
                  <w:u w:val="single"/>
                </w:rPr>
                <w:t>TERMS OF THE NOTES OFFERING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6">
              <w:r>
                <w:rPr>
                  <w:rStyle w:val="InternetLink"/>
                  <w:rFonts w:ascii="Times New Roman;serif" w:hAnsi="Times New Roman;serif"/>
                  <w:b w:val="false"/>
                  <w:strike w:val="false"/>
                  <w:dstrike w:val="false"/>
                  <w:color w:val="000000"/>
                  <w:sz w:val="20"/>
                  <w:u w:val="none"/>
                  <w:effect w:val="none"/>
                </w:rPr>
                <w:t>S-4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9">
              <w:r>
                <w:rPr>
                  <w:rStyle w:val="InternetLink"/>
                  <w:rFonts w:ascii="Times New Roman;serif" w:hAnsi="Times New Roman;serif"/>
                  <w:b w:val="false"/>
                  <w:color w:val="0000FF"/>
                  <w:sz w:val="20"/>
                  <w:u w:val="single"/>
                </w:rPr>
                <w:t>SUPPLEMENTARY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9">
              <w:r>
                <w:rPr>
                  <w:rStyle w:val="InternetLink"/>
                  <w:rFonts w:ascii="Times New Roman;serif" w:hAnsi="Times New Roman;serif"/>
                  <w:b w:val="false"/>
                  <w:strike w:val="false"/>
                  <w:dstrike w:val="false"/>
                  <w:color w:val="000000"/>
                  <w:sz w:val="20"/>
                  <w:u w:val="none"/>
                  <w:effect w:val="none"/>
                </w:rPr>
                <w:t>S-9</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22">
              <w:r>
                <w:rPr>
                  <w:rStyle w:val="InternetLink"/>
                  <w:rFonts w:ascii="Times New Roman;serif" w:hAnsi="Times New Roman;serif"/>
                  <w:b w:val="false"/>
                  <w:color w:val="0000FF"/>
                  <w:sz w:val="20"/>
                  <w:u w:val="single"/>
                </w:rPr>
                <w:t>SPECIAL 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22">
              <w:r>
                <w:rPr>
                  <w:rStyle w:val="InternetLink"/>
                  <w:rFonts w:ascii="Times New Roman;serif" w:hAnsi="Times New Roman;serif"/>
                  <w:b w:val="false"/>
                  <w:strike w:val="false"/>
                  <w:dstrike w:val="false"/>
                  <w:color w:val="000000"/>
                  <w:sz w:val="20"/>
                  <w:u w:val="none"/>
                  <w:effect w:val="none"/>
                </w:rPr>
                <w:t>S-13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25">
              <w:r>
                <w:rPr>
                  <w:rStyle w:val="InternetLink"/>
                  <w:rFonts w:ascii="Times New Roman;serif" w:hAnsi="Times New Roman;serif"/>
                  <w:b w:val="false"/>
                  <w:color w:val="0000FF"/>
                  <w:sz w:val="20"/>
                  <w:u w:val="single"/>
                </w:rPr>
                <w:t>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25">
              <w:r>
                <w:rPr>
                  <w:rStyle w:val="InternetLink"/>
                  <w:rFonts w:ascii="Times New Roman;serif" w:hAnsi="Times New Roman;serif"/>
                  <w:b w:val="false"/>
                  <w:strike w:val="false"/>
                  <w:dstrike w:val="false"/>
                  <w:color w:val="000000"/>
                  <w:sz w:val="20"/>
                  <w:u w:val="none"/>
                  <w:effect w:val="none"/>
                </w:rPr>
                <w:t>S-15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28">
              <w:r>
                <w:rPr>
                  <w:rStyle w:val="InternetLink"/>
                  <w:rFonts w:ascii="Times New Roman;serif" w:hAnsi="Times New Roman;serif"/>
                  <w:b w:val="false"/>
                  <w:color w:val="0000FF"/>
                  <w:sz w:val="20"/>
                  <w:u w:val="single"/>
                </w:rPr>
                <w:t>CAPITALIZATION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28">
              <w:r>
                <w:rPr>
                  <w:rStyle w:val="InternetLink"/>
                  <w:rFonts w:ascii="Times New Roman;serif" w:hAnsi="Times New Roman;serif"/>
                  <w:b w:val="false"/>
                  <w:strike w:val="false"/>
                  <w:dstrike w:val="false"/>
                  <w:color w:val="000000"/>
                  <w:sz w:val="20"/>
                  <w:u w:val="none"/>
                  <w:effect w:val="none"/>
                </w:rPr>
                <w:t>S-16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31">
              <w:r>
                <w:rPr>
                  <w:rStyle w:val="InternetLink"/>
                  <w:rFonts w:ascii="Times New Roman;serif" w:hAnsi="Times New Roman;serif"/>
                  <w:b w:val="false"/>
                  <w:color w:val="0000FF"/>
                  <w:sz w:val="20"/>
                  <w:u w:val="single"/>
                </w:rPr>
                <w:t>DESCRIPTION OF THE NOTES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31">
              <w:r>
                <w:rPr>
                  <w:rStyle w:val="InternetLink"/>
                  <w:rFonts w:ascii="Times New Roman;serif" w:hAnsi="Times New Roman;serif"/>
                  <w:b w:val="false"/>
                  <w:strike w:val="false"/>
                  <w:dstrike w:val="false"/>
                  <w:color w:val="000000"/>
                  <w:sz w:val="20"/>
                  <w:u w:val="none"/>
                  <w:effect w:val="none"/>
                </w:rPr>
                <w:t>S-17</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34">
              <w:r>
                <w:rPr>
                  <w:rStyle w:val="InternetLink"/>
                  <w:rFonts w:ascii="Times New Roman;serif" w:hAnsi="Times New Roman;serif"/>
                  <w:b w:val="false"/>
                  <w:color w:val="0000FF"/>
                  <w:sz w:val="20"/>
                  <w:u w:val="single"/>
                </w:rPr>
                <w:t>CERTAIN U.S. FEDERAL INCOME TAX CONSEQUENCES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34">
              <w:r>
                <w:rPr>
                  <w:rStyle w:val="InternetLink"/>
                  <w:rFonts w:ascii="Times New Roman;serif" w:hAnsi="Times New Roman;serif"/>
                  <w:b w:val="false"/>
                  <w:strike w:val="false"/>
                  <w:dstrike w:val="false"/>
                  <w:color w:val="000000"/>
                  <w:sz w:val="20"/>
                  <w:u w:val="none"/>
                  <w:effect w:val="none"/>
                </w:rPr>
                <w:t>S-32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37">
              <w:r>
                <w:rPr>
                  <w:rStyle w:val="InternetLink"/>
                  <w:rFonts w:ascii="Times New Roman;serif" w:hAnsi="Times New Roman;serif"/>
                  <w:b w:val="false"/>
                  <w:color w:val="0000FF"/>
                  <w:sz w:val="20"/>
                  <w:u w:val="single"/>
                </w:rPr>
                <w:t>UNDERWRITING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37">
              <w:r>
                <w:rPr>
                  <w:rStyle w:val="InternetLink"/>
                  <w:rFonts w:ascii="Times New Roman;serif" w:hAnsi="Times New Roman;serif"/>
                  <w:b w:val="false"/>
                  <w:strike w:val="false"/>
                  <w:dstrike w:val="false"/>
                  <w:color w:val="000000"/>
                  <w:sz w:val="20"/>
                  <w:u w:val="none"/>
                  <w:effect w:val="none"/>
                </w:rPr>
                <w:t>S-37</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40">
              <w:r>
                <w:rPr>
                  <w:rStyle w:val="InternetLink"/>
                  <w:rFonts w:ascii="Times New Roman;serif" w:hAnsi="Times New Roman;serif"/>
                  <w:b w:val="false"/>
                  <w:color w:val="0000FF"/>
                  <w:sz w:val="20"/>
                  <w:u w:val="single"/>
                </w:rPr>
                <w:t>LEGAL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40">
              <w:r>
                <w:rPr>
                  <w:rStyle w:val="InternetLink"/>
                  <w:rFonts w:ascii="Times New Roman;serif" w:hAnsi="Times New Roman;serif"/>
                  <w:b w:val="false"/>
                  <w:strike w:val="false"/>
                  <w:dstrike w:val="false"/>
                  <w:color w:val="000000"/>
                  <w:sz w:val="20"/>
                  <w:u w:val="none"/>
                  <w:effect w:val="none"/>
                </w:rPr>
                <w:t>S-43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43">
              <w:r>
                <w:rPr>
                  <w:rStyle w:val="InternetLink"/>
                  <w:rFonts w:ascii="Times New Roman;serif" w:hAnsi="Times New Roman;serif"/>
                  <w:b w:val="false"/>
                  <w:color w:val="0000FF"/>
                  <w:sz w:val="20"/>
                  <w:u w:val="single"/>
                </w:rPr>
                <w:t>AVAILABLE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43">
              <w:r>
                <w:rPr>
                  <w:rStyle w:val="InternetLink"/>
                  <w:rFonts w:ascii="Times New Roman;serif" w:hAnsi="Times New Roman;serif"/>
                  <w:b w:val="false"/>
                  <w:strike w:val="false"/>
                  <w:dstrike w:val="false"/>
                  <w:color w:val="000000"/>
                  <w:sz w:val="20"/>
                  <w:u w:val="none"/>
                  <w:effect w:val="none"/>
                </w:rPr>
                <w:t>S-44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46">
              <w:r>
                <w:rPr>
                  <w:rStyle w:val="InternetLink"/>
                  <w:rFonts w:ascii="Times New Roman;serif" w:hAnsi="Times New Roman;serif"/>
                  <w:b w:val="false"/>
                  <w:color w:val="0000FF"/>
                  <w:sz w:val="20"/>
                  <w:u w:val="single"/>
                </w:rPr>
                <w:t>INCORPORATION BY REFERENCE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46">
              <w:r>
                <w:rPr>
                  <w:rStyle w:val="InternetLink"/>
                  <w:rFonts w:ascii="Times New Roman;serif" w:hAnsi="Times New Roman;serif"/>
                  <w:b w:val="false"/>
                  <w:strike w:val="false"/>
                  <w:dstrike w:val="false"/>
                  <w:color w:val="000000"/>
                  <w:sz w:val="20"/>
                  <w:u w:val="none"/>
                  <w:effect w:val="none"/>
                </w:rPr>
                <w:t>S-45</w:t>
              </w:r>
            </w:hyperlink>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w:t>
      </w:r>
    </w:p>
    <w:tbl>
      <w:tblPr>
        <w:tblW w:w="10096" w:type="dxa"/>
        <w:jc w:val="center"/>
        <w:tblInd w:w="0" w:type="dxa"/>
        <w:tblLayout w:type="fixed"/>
        <w:tblCellMar>
          <w:top w:w="28" w:type="dxa"/>
          <w:left w:w="28" w:type="dxa"/>
          <w:bottom w:w="28" w:type="dxa"/>
          <w:right w:w="28" w:type="dxa"/>
        </w:tblCellMar>
      </w:tblPr>
      <w:tblGrid>
        <w:gridCol w:w="3448"/>
        <w:gridCol w:w="3035"/>
        <w:gridCol w:w="3042"/>
        <w:gridCol w:w="167"/>
        <w:gridCol w:w="167"/>
        <w:gridCol w:w="237"/>
      </w:tblGrid>
      <w:tr>
        <w:trPr/>
        <w:tc>
          <w:tcPr>
            <w:tcW w:w="3448"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52">
              <w:r>
                <w:rPr>
                  <w:rStyle w:val="InternetLink"/>
                  <w:rFonts w:ascii="Times New Roman;serif" w:hAnsi="Times New Roman;serif"/>
                  <w:b w:val="false"/>
                  <w:color w:val="0000FF"/>
                  <w:sz w:val="20"/>
                  <w:u w:val="single"/>
                </w:rPr>
                <w:t>ABOUT THIS PROSPECTUS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52">
              <w:r>
                <w:rPr>
                  <w:rStyle w:val="InternetLink"/>
                  <w:rFonts w:ascii="Times New Roman;serif" w:hAnsi="Times New Roman;serif"/>
                  <w:b w:val="false"/>
                  <w:strike w:val="false"/>
                  <w:dstrike w:val="false"/>
                  <w:color w:val="000000"/>
                  <w:sz w:val="20"/>
                  <w:u w:val="none"/>
                  <w:effect w:val="none"/>
                </w:rPr>
                <w:t>1</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55">
              <w:r>
                <w:rPr>
                  <w:rStyle w:val="InternetLink"/>
                  <w:rFonts w:ascii="Times New Roman;serif" w:hAnsi="Times New Roman;serif"/>
                  <w:b w:val="false"/>
                  <w:color w:val="0000FF"/>
                  <w:sz w:val="20"/>
                  <w:u w:val="single"/>
                </w:rPr>
                <w:t>PROSPECTUS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55">
              <w:r>
                <w:rPr>
                  <w:rStyle w:val="InternetLink"/>
                  <w:rFonts w:ascii="Times New Roman;serif" w:hAnsi="Times New Roman;serif"/>
                  <w:b w:val="false"/>
                  <w:strike w:val="false"/>
                  <w:dstrike w:val="false"/>
                  <w:color w:val="000000"/>
                  <w:sz w:val="20"/>
                  <w:u w:val="none"/>
                  <w:effect w:val="none"/>
                </w:rPr>
                <w:t>2</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58">
              <w:r>
                <w:rPr>
                  <w:rStyle w:val="InternetLink"/>
                  <w:rFonts w:ascii="Times New Roman;serif" w:hAnsi="Times New Roman;serif"/>
                  <w:b w:val="false"/>
                  <w:color w:val="0000FF"/>
                  <w:sz w:val="20"/>
                  <w:u w:val="single"/>
                </w:rPr>
                <w:t>THE OFFERING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58">
              <w:r>
                <w:rPr>
                  <w:rStyle w:val="InternetLink"/>
                  <w:rFonts w:ascii="Times New Roman;serif" w:hAnsi="Times New Roman;serif"/>
                  <w:b w:val="false"/>
                  <w:strike w:val="false"/>
                  <w:dstrike w:val="false"/>
                  <w:color w:val="000000"/>
                  <w:sz w:val="20"/>
                  <w:u w:val="none"/>
                  <w:effect w:val="none"/>
                </w:rPr>
                <w:t>4</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61">
              <w:r>
                <w:rPr>
                  <w:rStyle w:val="InternetLink"/>
                  <w:rFonts w:ascii="Times New Roman;serif" w:hAnsi="Times New Roman;serif"/>
                  <w:b w:val="false"/>
                  <w:color w:val="0000FF"/>
                  <w:sz w:val="20"/>
                  <w:u w:val="single"/>
                </w:rPr>
                <w:t>FEES AND EXPENSES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61">
              <w:r>
                <w:rPr>
                  <w:rStyle w:val="InternetLink"/>
                  <w:rFonts w:ascii="Times New Roman;serif" w:hAnsi="Times New Roman;serif"/>
                  <w:b w:val="false"/>
                  <w:strike w:val="false"/>
                  <w:dstrike w:val="false"/>
                  <w:color w:val="000000"/>
                  <w:sz w:val="20"/>
                  <w:u w:val="none"/>
                  <w:effect w:val="none"/>
                </w:rPr>
                <w:t>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64">
              <w:r>
                <w:rPr>
                  <w:rStyle w:val="InternetLink"/>
                  <w:rFonts w:ascii="Times New Roman;serif" w:hAnsi="Times New Roman;serif"/>
                  <w:b w:val="false"/>
                  <w:color w:val="0000FF"/>
                  <w:sz w:val="20"/>
                  <w:u w:val="single"/>
                </w:rPr>
                <w:t>FINANCIAL HIGHLIGHTS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64">
              <w:r>
                <w:rPr>
                  <w:rStyle w:val="InternetLink"/>
                  <w:rFonts w:ascii="Times New Roman;serif" w:hAnsi="Times New Roman;serif"/>
                  <w:b w:val="false"/>
                  <w:strike w:val="false"/>
                  <w:dstrike w:val="false"/>
                  <w:color w:val="000000"/>
                  <w:sz w:val="20"/>
                  <w:u w:val="none"/>
                  <w:effect w:val="none"/>
                </w:rPr>
                <w:t>9</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67">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67">
              <w:r>
                <w:rPr>
                  <w:rStyle w:val="InternetLink"/>
                  <w:rFonts w:ascii="Times New Roman;serif" w:hAnsi="Times New Roman;serif"/>
                  <w:b w:val="false"/>
                  <w:strike w:val="false"/>
                  <w:dstrike w:val="false"/>
                  <w:color w:val="000000"/>
                  <w:sz w:val="20"/>
                  <w:u w:val="none"/>
                  <w:effect w:val="none"/>
                </w:rPr>
                <w:t>10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70">
              <w:r>
                <w:rPr>
                  <w:rStyle w:val="InternetLink"/>
                  <w:rFonts w:ascii="Times New Roman;serif" w:hAnsi="Times New Roman;serif"/>
                  <w:b w:val="false"/>
                  <w:strike w:val="false"/>
                  <w:dstrike w:val="false"/>
                  <w:color w:val="000000"/>
                  <w:sz w:val="20"/>
                  <w:u w:val="none"/>
                  <w:effect w:val="none"/>
                </w:rPr>
                <w:t>11</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73">
              <w:r>
                <w:rPr>
                  <w:rStyle w:val="InternetLink"/>
                  <w:rFonts w:ascii="Times New Roman;serif" w:hAnsi="Times New Roman;serif"/>
                  <w:b w:val="false"/>
                  <w:color w:val="0000FF"/>
                  <w:sz w:val="20"/>
                  <w:u w:val="single"/>
                </w:rPr>
                <w:t>CAUTIONARY STATEMENT CONCERNING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73">
              <w:r>
                <w:rPr>
                  <w:rStyle w:val="InternetLink"/>
                  <w:rFonts w:ascii="Times New Roman;serif" w:hAnsi="Times New Roman;serif"/>
                  <w:b w:val="false"/>
                  <w:strike w:val="false"/>
                  <w:dstrike w:val="false"/>
                  <w:color w:val="000000"/>
                  <w:sz w:val="20"/>
                  <w:u w:val="none"/>
                  <w:effect w:val="none"/>
                </w:rPr>
                <w:t>12</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76">
              <w:r>
                <w:rPr>
                  <w:rStyle w:val="InternetLink"/>
                  <w:rFonts w:ascii="Times New Roman;serif" w:hAnsi="Times New Roman;serif"/>
                  <w:b w:val="false"/>
                  <w:color w:val="0000FF"/>
                  <w:sz w:val="20"/>
                  <w:u w:val="single"/>
                </w:rPr>
                <w:t>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76">
              <w:r>
                <w:rPr>
                  <w:rStyle w:val="InternetLink"/>
                  <w:rFonts w:ascii="Times New Roman;serif" w:hAnsi="Times New Roman;serif"/>
                  <w:b w:val="false"/>
                  <w:strike w:val="false"/>
                  <w:dstrike w:val="false"/>
                  <w:color w:val="000000"/>
                  <w:sz w:val="20"/>
                  <w:u w:val="none"/>
                  <w:effect w:val="none"/>
                </w:rPr>
                <w:t>14</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79">
              <w:r>
                <w:rPr>
                  <w:rStyle w:val="InternetLink"/>
                  <w:rFonts w:ascii="Times New Roman;serif" w:hAnsi="Times New Roman;serif"/>
                  <w:b w:val="false"/>
                  <w:color w:val="0000FF"/>
                  <w:sz w:val="20"/>
                  <w:u w:val="single"/>
                </w:rPr>
                <w:t>PRICE RANGE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79">
              <w:r>
                <w:rPr>
                  <w:rStyle w:val="InternetLink"/>
                  <w:rFonts w:ascii="Times New Roman;serif" w:hAnsi="Times New Roman;serif"/>
                  <w:b w:val="false"/>
                  <w:strike w:val="false"/>
                  <w:dstrike w:val="false"/>
                  <w:color w:val="000000"/>
                  <w:sz w:val="20"/>
                  <w:u w:val="none"/>
                  <w:effect w:val="none"/>
                </w:rPr>
                <w:t>15</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82">
              <w:r>
                <w:rPr>
                  <w:rStyle w:val="InternetLink"/>
                  <w:rFonts w:ascii="Times New Roman;serif" w:hAnsi="Times New Roman;serif"/>
                  <w:b w:val="false"/>
                  <w:color w:val="0000FF"/>
                  <w:sz w:val="20"/>
                  <w:u w:val="single"/>
                </w:rPr>
                <w:t>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82">
              <w:r>
                <w:rPr>
                  <w:rStyle w:val="InternetLink"/>
                  <w:rFonts w:ascii="Times New Roman;serif" w:hAnsi="Times New Roman;serif"/>
                  <w:b w:val="false"/>
                  <w:strike w:val="false"/>
                  <w:dstrike w:val="false"/>
                  <w:color w:val="000000"/>
                  <w:sz w:val="20"/>
                  <w:u w:val="none"/>
                  <w:effect w:val="none"/>
                </w:rPr>
                <w:t>16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85">
              <w:r>
                <w:rPr>
                  <w:rStyle w:val="InternetLink"/>
                  <w:rFonts w:ascii="Times New Roman;serif" w:hAnsi="Times New Roman;serif"/>
                  <w:b w:val="false"/>
                  <w:color w:val="0000FF"/>
                  <w:sz w:val="20"/>
                  <w:u w:val="single"/>
                </w:rPr>
                <w:t>BUSINESS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85">
              <w:r>
                <w:rPr>
                  <w:rStyle w:val="InternetLink"/>
                  <w:rFonts w:ascii="Times New Roman;serif" w:hAnsi="Times New Roman;serif"/>
                  <w:b w:val="false"/>
                  <w:strike w:val="false"/>
                  <w:dstrike w:val="false"/>
                  <w:color w:val="000000"/>
                  <w:sz w:val="20"/>
                  <w:u w:val="none"/>
                  <w:effect w:val="none"/>
                </w:rPr>
                <w:t>17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88">
              <w:r>
                <w:rPr>
                  <w:rStyle w:val="InternetLink"/>
                  <w:rFonts w:ascii="Times New Roman;serif" w:hAnsi="Times New Roman;serif"/>
                  <w:b w:val="false"/>
                  <w:color w:val="0000FF"/>
                  <w:sz w:val="20"/>
                  <w:u w:val="single"/>
                </w:rPr>
                <w:t>PORTFOLIO COMPANIES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88">
              <w:r>
                <w:rPr>
                  <w:rStyle w:val="InternetLink"/>
                  <w:rFonts w:ascii="Times New Roman;serif" w:hAnsi="Times New Roman;serif"/>
                  <w:b w:val="false"/>
                  <w:strike w:val="false"/>
                  <w:dstrike w:val="false"/>
                  <w:color w:val="000000"/>
                  <w:sz w:val="20"/>
                  <w:u w:val="none"/>
                  <w:effect w:val="none"/>
                </w:rPr>
                <w:t>18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94">
              <w:r>
                <w:rPr>
                  <w:rStyle w:val="InternetLink"/>
                  <w:rFonts w:ascii="Times New Roman;serif" w:hAnsi="Times New Roman;serif"/>
                  <w:b w:val="false"/>
                  <w:color w:val="0000FF"/>
                  <w:sz w:val="20"/>
                  <w:u w:val="single"/>
                </w:rPr>
                <w:t>MANAGEMENT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94">
              <w:r>
                <w:rPr>
                  <w:rStyle w:val="InternetLink"/>
                  <w:rFonts w:ascii="Times New Roman;serif" w:hAnsi="Times New Roman;serif"/>
                  <w:b w:val="false"/>
                  <w:strike w:val="false"/>
                  <w:dstrike w:val="false"/>
                  <w:color w:val="000000"/>
                  <w:sz w:val="20"/>
                  <w:u w:val="none"/>
                  <w:effect w:val="none"/>
                </w:rPr>
                <w:t>47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97">
              <w:r>
                <w:rPr>
                  <w:rStyle w:val="InternetLink"/>
                  <w:rFonts w:ascii="Times New Roman;serif" w:hAnsi="Times New Roman;serif"/>
                  <w:b w:val="false"/>
                  <w:color w:val="0000FF"/>
                  <w:sz w:val="20"/>
                  <w:u w:val="single"/>
                </w:rPr>
                <w:t>CERTAIN RELATIONSHIPS AND RELATED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97">
              <w:r>
                <w:rPr>
                  <w:rStyle w:val="InternetLink"/>
                  <w:rFonts w:ascii="Times New Roman;serif" w:hAnsi="Times New Roman;serif"/>
                  <w:b w:val="false"/>
                  <w:strike w:val="false"/>
                  <w:dstrike w:val="false"/>
                  <w:color w:val="000000"/>
                  <w:sz w:val="20"/>
                  <w:u w:val="none"/>
                  <w:effect w:val="none"/>
                </w:rPr>
                <w:t>48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00">
              <w:r>
                <w:rPr>
                  <w:rStyle w:val="InternetLink"/>
                  <w:rFonts w:ascii="Times New Roman;serif" w:hAnsi="Times New Roman;serif"/>
                  <w:b w:val="false"/>
                  <w:color w:val="0000FF"/>
                  <w:sz w:val="20"/>
                  <w:u w:val="single"/>
                </w:rPr>
                <w:t>CONTROL PERSONS AND PRINCIPAL STOCKHOLDERS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00">
              <w:r>
                <w:rPr>
                  <w:rStyle w:val="InternetLink"/>
                  <w:rFonts w:ascii="Times New Roman;serif" w:hAnsi="Times New Roman;serif"/>
                  <w:b w:val="false"/>
                  <w:strike w:val="false"/>
                  <w:dstrike w:val="false"/>
                  <w:color w:val="000000"/>
                  <w:sz w:val="20"/>
                  <w:u w:val="none"/>
                  <w:effect w:val="none"/>
                </w:rPr>
                <w:t>49</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03">
              <w:r>
                <w:rPr>
                  <w:rStyle w:val="InternetLink"/>
                  <w:rFonts w:ascii="Times New Roman;serif" w:hAnsi="Times New Roman;serif"/>
                  <w:b w:val="false"/>
                  <w:color w:val="0000FF"/>
                  <w:sz w:val="20"/>
                  <w:u w:val="single"/>
                </w:rPr>
                <w:t>DETERMINATION OF NET ASSET VALUE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03">
              <w:r>
                <w:rPr>
                  <w:rStyle w:val="InternetLink"/>
                  <w:rFonts w:ascii="Times New Roman;serif" w:hAnsi="Times New Roman;serif"/>
                  <w:b w:val="false"/>
                  <w:strike w:val="false"/>
                  <w:dstrike w:val="false"/>
                  <w:color w:val="000000"/>
                  <w:sz w:val="20"/>
                  <w:u w:val="none"/>
                  <w:effect w:val="none"/>
                </w:rPr>
                <w:t>50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06">
              <w:r>
                <w:rPr>
                  <w:rStyle w:val="InternetLink"/>
                  <w:rFonts w:ascii="Times New Roman;serif" w:hAnsi="Times New Roman;serif"/>
                  <w:b w:val="false"/>
                  <w:color w:val="0000FF"/>
                  <w:sz w:val="20"/>
                  <w:u w:val="single"/>
                </w:rPr>
                <w:t>SALES OF COMMON STOCK BELOW NET ASSET VALUE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06">
              <w:r>
                <w:rPr>
                  <w:rStyle w:val="InternetLink"/>
                  <w:rFonts w:ascii="Times New Roman;serif" w:hAnsi="Times New Roman;serif"/>
                  <w:b w:val="false"/>
                  <w:strike w:val="false"/>
                  <w:dstrike w:val="false"/>
                  <w:color w:val="000000"/>
                  <w:sz w:val="20"/>
                  <w:u w:val="none"/>
                  <w:effect w:val="none"/>
                </w:rPr>
                <w:t>51</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09">
              <w:r>
                <w:rPr>
                  <w:rStyle w:val="InternetLink"/>
                  <w:rFonts w:ascii="Times New Roman;serif" w:hAnsi="Times New Roman;serif"/>
                  <w:b w:val="false"/>
                  <w:color w:val="0000FF"/>
                  <w:sz w:val="20"/>
                  <w:u w:val="single"/>
                </w:rPr>
                <w:t>DIVIDEND REINVESTMENT PLAN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09">
              <w:r>
                <w:rPr>
                  <w:rStyle w:val="InternetLink"/>
                  <w:rFonts w:ascii="Times New Roman;serif" w:hAnsi="Times New Roman;serif"/>
                  <w:b w:val="false"/>
                  <w:strike w:val="false"/>
                  <w:dstrike w:val="false"/>
                  <w:color w:val="000000"/>
                  <w:sz w:val="20"/>
                  <w:u w:val="none"/>
                  <w:effect w:val="none"/>
                </w:rPr>
                <w:t>56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12">
              <w:r>
                <w:rPr>
                  <w:rStyle w:val="InternetLink"/>
                  <w:rFonts w:ascii="Times New Roman;serif" w:hAnsi="Times New Roman;serif"/>
                  <w:b w:val="false"/>
                  <w:color w:val="0000FF"/>
                  <w:sz w:val="20"/>
                  <w:u w:val="single"/>
                </w:rPr>
                <w:t>DESCRIPTION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12">
              <w:r>
                <w:rPr>
                  <w:rStyle w:val="InternetLink"/>
                  <w:rFonts w:ascii="Times New Roman;serif" w:hAnsi="Times New Roman;serif"/>
                  <w:b w:val="false"/>
                  <w:strike w:val="false"/>
                  <w:dstrike w:val="false"/>
                  <w:color w:val="000000"/>
                  <w:sz w:val="20"/>
                  <w:u w:val="none"/>
                  <w:effect w:val="none"/>
                </w:rPr>
                <w:t>57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15">
              <w:r>
                <w:rPr>
                  <w:rStyle w:val="InternetLink"/>
                  <w:rFonts w:ascii="Times New Roman;serif" w:hAnsi="Times New Roman;serif"/>
                  <w:b w:val="false"/>
                  <w:color w:val="0000FF"/>
                  <w:sz w:val="20"/>
                  <w:u w:val="single"/>
                </w:rPr>
                <w:t>DESCRIPTION OF OUR DEBT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15">
              <w:r>
                <w:rPr>
                  <w:rStyle w:val="InternetLink"/>
                  <w:rFonts w:ascii="Times New Roman;serif" w:hAnsi="Times New Roman;serif"/>
                  <w:b w:val="false"/>
                  <w:strike w:val="false"/>
                  <w:dstrike w:val="false"/>
                  <w:color w:val="000000"/>
                  <w:sz w:val="20"/>
                  <w:u w:val="none"/>
                  <w:effect w:val="none"/>
                </w:rPr>
                <w:t>58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18">
              <w:r>
                <w:rPr>
                  <w:rStyle w:val="InternetLink"/>
                  <w:rFonts w:ascii="Times New Roman;serif" w:hAnsi="Times New Roman;serif"/>
                  <w:b w:val="false"/>
                  <w:color w:val="0000FF"/>
                  <w:sz w:val="20"/>
                  <w:u w:val="single"/>
                </w:rPr>
                <w:t>CERTAIN U.S. FEDERAL INCOME TAX CONSIDERATIONS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18">
              <w:r>
                <w:rPr>
                  <w:rStyle w:val="InternetLink"/>
                  <w:rFonts w:ascii="Times New Roman;serif" w:hAnsi="Times New Roman;serif"/>
                  <w:b w:val="false"/>
                  <w:strike w:val="false"/>
                  <w:dstrike w:val="false"/>
                  <w:color w:val="000000"/>
                  <w:sz w:val="20"/>
                  <w:u w:val="none"/>
                  <w:effect w:val="none"/>
                </w:rPr>
                <w:t>68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21">
              <w:r>
                <w:rPr>
                  <w:rStyle w:val="InternetLink"/>
                  <w:rFonts w:ascii="Times New Roman;serif" w:hAnsi="Times New Roman;serif"/>
                  <w:b w:val="false"/>
                  <w:color w:val="0000FF"/>
                  <w:sz w:val="20"/>
                  <w:u w:val="single"/>
                </w:rPr>
                <w:t>REGULATION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21">
              <w:r>
                <w:rPr>
                  <w:rStyle w:val="InternetLink"/>
                  <w:rFonts w:ascii="Times New Roman;serif" w:hAnsi="Times New Roman;serif"/>
                  <w:b w:val="false"/>
                  <w:strike w:val="false"/>
                  <w:dstrike w:val="false"/>
                  <w:color w:val="000000"/>
                  <w:sz w:val="20"/>
                  <w:u w:val="none"/>
                  <w:effect w:val="none"/>
                </w:rPr>
                <w:t>76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24">
              <w:r>
                <w:rPr>
                  <w:rStyle w:val="InternetLink"/>
                  <w:rFonts w:ascii="Times New Roman;serif" w:hAnsi="Times New Roman;serif"/>
                  <w:b w:val="false"/>
                  <w:color w:val="0000FF"/>
                  <w:sz w:val="20"/>
                  <w:u w:val="single"/>
                </w:rPr>
                <w:t>PLAN OF DISTRIBUTION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24">
              <w:r>
                <w:rPr>
                  <w:rStyle w:val="InternetLink"/>
                  <w:rFonts w:ascii="Times New Roman;serif" w:hAnsi="Times New Roman;serif"/>
                  <w:b w:val="false"/>
                  <w:strike w:val="false"/>
                  <w:dstrike w:val="false"/>
                  <w:color w:val="000000"/>
                  <w:sz w:val="20"/>
                  <w:u w:val="none"/>
                  <w:effect w:val="none"/>
                </w:rPr>
                <w:t>77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27">
              <w:r>
                <w:rPr>
                  <w:rStyle w:val="InternetLink"/>
                  <w:rFonts w:ascii="Times New Roman;serif" w:hAnsi="Times New Roman;serif"/>
                  <w:b w:val="false"/>
                  <w:color w:val="0000FF"/>
                  <w:sz w:val="20"/>
                  <w:u w:val="single"/>
                </w:rPr>
                <w:t>CUSTODIAN, TRANSFER AND DISTRIBUTION PAYING AGENT AND REGISTRAR</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27">
              <w:r>
                <w:rPr>
                  <w:rStyle w:val="InternetLink"/>
                  <w:rFonts w:ascii="Times New Roman;serif" w:hAnsi="Times New Roman;serif"/>
                  <w:b w:val="false"/>
                  <w:strike w:val="false"/>
                  <w:dstrike w:val="false"/>
                  <w:color w:val="000000"/>
                  <w:sz w:val="20"/>
                  <w:u w:val="none"/>
                  <w:effect w:val="none"/>
                </w:rPr>
                <w:t>79</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30">
              <w:r>
                <w:rPr>
                  <w:rStyle w:val="InternetLink"/>
                  <w:rFonts w:ascii="Times New Roman;serif" w:hAnsi="Times New Roman;serif"/>
                  <w:b w:val="false"/>
                  <w:color w:val="0000FF"/>
                  <w:sz w:val="20"/>
                  <w:u w:val="single"/>
                </w:rPr>
                <w:t>BROKERAGE ALLOCATION AND OTHER PRACTICES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30">
              <w:r>
                <w:rPr>
                  <w:rStyle w:val="InternetLink"/>
                  <w:rFonts w:ascii="Times New Roman;serif" w:hAnsi="Times New Roman;serif"/>
                  <w:b w:val="false"/>
                  <w:strike w:val="false"/>
                  <w:dstrike w:val="false"/>
                  <w:color w:val="000000"/>
                  <w:sz w:val="20"/>
                  <w:u w:val="none"/>
                  <w:effect w:val="none"/>
                </w:rPr>
                <w:t>80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33">
              <w:r>
                <w:rPr>
                  <w:rStyle w:val="InternetLink"/>
                  <w:rFonts w:ascii="Times New Roman;serif" w:hAnsi="Times New Roman;serif"/>
                  <w:b w:val="false"/>
                  <w:color w:val="0000FF"/>
                  <w:sz w:val="20"/>
                  <w:u w:val="single"/>
                </w:rPr>
                <w:t>LEGAL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33">
              <w:r>
                <w:rPr>
                  <w:rStyle w:val="InternetLink"/>
                  <w:rFonts w:ascii="Times New Roman;serif" w:hAnsi="Times New Roman;serif"/>
                  <w:b w:val="false"/>
                  <w:strike w:val="false"/>
                  <w:dstrike w:val="false"/>
                  <w:color w:val="000000"/>
                  <w:sz w:val="20"/>
                  <w:u w:val="none"/>
                  <w:effect w:val="none"/>
                </w:rPr>
                <w:t>80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36">
              <w:r>
                <w:rPr>
                  <w:rStyle w:val="InternetLink"/>
                  <w:rFonts w:ascii="Times New Roman;serif" w:hAnsi="Times New Roman;serif"/>
                  <w:b w:val="false"/>
                  <w:color w:val="0000FF"/>
                  <w:sz w:val="20"/>
                  <w:u w:val="single"/>
                </w:rPr>
                <w:t>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36">
              <w:r>
                <w:rPr>
                  <w:rStyle w:val="InternetLink"/>
                  <w:rFonts w:ascii="Times New Roman;serif" w:hAnsi="Times New Roman;serif"/>
                  <w:b w:val="false"/>
                  <w:strike w:val="false"/>
                  <w:dstrike w:val="false"/>
                  <w:color w:val="000000"/>
                  <w:sz w:val="20"/>
                  <w:u w:val="none"/>
                  <w:effect w:val="none"/>
                </w:rPr>
                <w:t>80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536" w:type="dxa"/>
        <w:jc w:val="center"/>
        <w:tblInd w:w="0" w:type="dxa"/>
        <w:tblLayout w:type="fixed"/>
        <w:tblCellMar>
          <w:top w:w="28" w:type="dxa"/>
          <w:left w:w="28" w:type="dxa"/>
          <w:bottom w:w="28" w:type="dxa"/>
          <w:right w:w="28" w:type="dxa"/>
        </w:tblCellMar>
      </w:tblPr>
      <w:tblGrid>
        <w:gridCol w:w="1146"/>
        <w:gridCol w:w="1007"/>
        <w:gridCol w:w="1011"/>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39">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39">
              <w:r>
                <w:rPr>
                  <w:rStyle w:val="InternetLink"/>
                  <w:rFonts w:ascii="Times New Roman;serif" w:hAnsi="Times New Roman;serif"/>
                  <w:b w:val="false"/>
                  <w:strike w:val="false"/>
                  <w:dstrike w:val="false"/>
                  <w:color w:val="000000"/>
                  <w:sz w:val="20"/>
                  <w:u w:val="none"/>
                  <w:effect w:val="none"/>
                </w:rPr>
                <w:t>81</w:t>
              </w:r>
            </w:hyperlink>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27d1d86fd48e6a093eb70c8d3870c_142">
              <w:r>
                <w:rPr>
                  <w:rStyle w:val="InternetLink"/>
                  <w:rFonts w:ascii="Times New Roman;serif" w:hAnsi="Times New Roman;serif"/>
                  <w:b w:val="false"/>
                  <w:color w:val="0000FF"/>
                  <w:sz w:val="20"/>
                  <w:u w:val="single"/>
                </w:rPr>
                <w:t>AVAILABLE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27d1d86fd48e6a093eb70c8d3870c_142">
              <w:r>
                <w:rPr>
                  <w:rStyle w:val="InternetLink"/>
                  <w:rFonts w:ascii="Times New Roman;serif" w:hAnsi="Times New Roman;serif"/>
                  <w:b w:val="false"/>
                  <w:strike w:val="false"/>
                  <w:dstrike w:val="false"/>
                  <w:color w:val="000000"/>
                  <w:sz w:val="20"/>
                  <w:u w:val="none"/>
                  <w:effect w:val="none"/>
                </w:rPr>
                <w:t>82</w:t>
              </w:r>
            </w:hyperlink>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ABOUT THIS PROSPECTUS SUPPLEMENT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of Notes.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You should rely only on the information included or incorporated by reference in this prospectus supplement, the accompanying prospectus, or any free writing prospectuses prepared by, or on behalf of, us that relates to this offering of the Notes. Neither we nor the underwriters have authorized any other person to provide you with different information or to make representations as to matters not stated in this prospectus supplement, the accompanying prospectus or any free writing prospectus prepared by, or on behalf of, us that relates to this offering of the Notes. We take no responsibility for, and can provide no assurance as to the reliability of, any other information that others give you. If anyone provides you with different or inconsistent information, you should not rely on it. This prospectus supplement, the accompanying prospectus and any free writing prospectus prepared by, or on behalf of us, that relates to this offering of the Notes do not constitute an offer to sell, or a solicitation of an offer to buy, any of the Notes by any person in any jurisdiction where it is unlawful for that person to make such an offer or solicitation or to any person in any jurisdiction to whom it is unlawful to make such an offer or solicitation. You should not assume that the information included in this prospectus supplement, the accompanying prospectus or any free writing prospectus is complete and accurate as of any date other than their respective dates, or that any information incorporated by reference herein or therein is complete and accurate as of any date other than the date of the document incorporated by reference containing such information, regardless of the time of delivery of this prospectus supplement or sale of the Notes.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PROSPECTUS SUPPLEMENT SUMMARY</w:t>
      </w:r>
    </w:p>
    <w:p>
      <w:pPr>
        <w:pStyle w:val="TextBody"/>
        <w:bidi w:val="0"/>
        <w:spacing w:lineRule="auto" w:line="288" w:before="240" w:after="283"/>
        <w:jc w:val="both"/>
        <w:rPr/>
      </w:pPr>
      <w:r>
        <w:rPr>
          <w:rFonts w:ascii="Times New Roman;serif" w:hAnsi="Times New Roman;serif"/>
          <w:b w:val="false"/>
          <w:i/>
          <w:color w:val="000000"/>
          <w:sz w:val="20"/>
          <w:bdr w:val="single" w:sz="8" w:space="20" w:color="000000"/>
        </w:rPr>
        <w:t xml:space="preserve">This summary highlights some of the information included elsewhere in this prospectus supplement or incorporated by reference in this prospectus supplement or the accompanying prospectus. It is not complete and may not contain all of the information that you should consider before making your investment decision to invest in the Notes offered hereby. To understand the terms of the Notes offered hereby before making your investment decision, you should carefully read the entire prospectus supplement, the accompanying prospectus, any free writing prospectus relating to this offering and the documents incorporated by reference in this prospectus supplement and the accompanying prospectus, as provided in sections titled “Available Information” and “Incorporation by Reference” beginning on pages </w:t>
      </w:r>
      <w:hyperlink w:anchor="ia9327d1d86fd48e6a093eb70c8d3870c_43">
        <w:r>
          <w:rPr>
            <w:rStyle w:val="InternetLink"/>
            <w:rFonts w:ascii="Times New Roman;serif" w:hAnsi="Times New Roman;serif"/>
            <w:b w:val="false"/>
            <w:i/>
            <w:color w:val="0000FF"/>
            <w:sz w:val="20"/>
            <w:u w:val="single"/>
            <w:bdr w:val="single" w:sz="8" w:space="20" w:color="000000"/>
          </w:rPr>
          <w:t>S-44</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and </w:t>
      </w:r>
      <w:hyperlink w:anchor="ia9327d1d86fd48e6a093eb70c8d3870c_46">
        <w:r>
          <w:rPr>
            <w:rStyle w:val="InternetLink"/>
            <w:rFonts w:ascii="Times New Roman;serif" w:hAnsi="Times New Roman;serif"/>
            <w:b w:val="false"/>
            <w:i/>
            <w:color w:val="0000FF"/>
            <w:sz w:val="20"/>
            <w:u w:val="single"/>
            <w:bdr w:val="single" w:sz="8" w:space="20" w:color="000000"/>
          </w:rPr>
          <w:t>S-45</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in this prospectus supplement, respectively, and pages </w:t>
      </w:r>
      <w:hyperlink w:anchor="ia9327d1d86fd48e6a093eb70c8d3870c_142">
        <w:r>
          <w:rPr>
            <w:rStyle w:val="InternetLink"/>
            <w:rFonts w:ascii="Times New Roman;serif" w:hAnsi="Times New Roman;serif"/>
            <w:b w:val="false"/>
            <w:i/>
            <w:color w:val="0000FF"/>
            <w:sz w:val="20"/>
            <w:u w:val="single"/>
            <w:bdr w:val="single" w:sz="8" w:space="20" w:color="000000"/>
          </w:rPr>
          <w:t>82</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and </w:t>
      </w:r>
      <w:hyperlink w:anchor="ia9327d1d86fd48e6a093eb70c8d3870c_139">
        <w:r>
          <w:rPr>
            <w:rStyle w:val="InternetLink"/>
            <w:rFonts w:ascii="Times New Roman;serif" w:hAnsi="Times New Roman;serif"/>
            <w:b w:val="false"/>
            <w:i/>
            <w:color w:val="0000FF"/>
            <w:sz w:val="20"/>
            <w:u w:val="single"/>
            <w:bdr w:val="single" w:sz="8" w:space="20" w:color="000000"/>
          </w:rPr>
          <w:t>81</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of the accompanying prospectus. Together, this prospectus supplement and the accompanying prospectus describe the specific terms of the Notes we are offering. In this prospectus supplement and the accompanying prospectus, unless the context otherwise requires, the “Company,” “Capital Southwest,” “CSWC,” “we,” “us” and “our” refer to Capital Southwest Corporation and our subsidiaries. </w:t>
      </w:r>
    </w:p>
    <w:p>
      <w:pPr>
        <w:pStyle w:val="TextBody"/>
        <w:bidi w:val="0"/>
        <w:spacing w:lineRule="auto" w:line="288" w:before="360" w:after="283"/>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 xml:space="preserve">Organization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Capital Southwest is an internally managed closed-end, non-diversified investment company that has elected to be regulated as a BDC under the 1940 Act. Since September 30, 2015, we have pursued a credit-focused investing strategy. We specialize in providing customized financing to lower middle market (“LMM”) companies in a broad range of investment segments located primarily in the United States. Our common stock trades on The Nasdaq Global Select Market under the ticker symbol “CSWC.”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have elected, and intend to qualify annually, to be treated for U.S. federal income tax purposes as a regulated investment company (“RIC”) under subchapter M of the U.S. Internal Revenue Code of 1986, as amended (the “Code”). As such, we generally will not be subject to U.S. federal income tax on any ordinary income or capital gains that we timely distribute to our shareholders as dividends. To continue to maintain our RIC tax treatment, we must meet specified source-of-income and asset diversification requirements and generally distribute annually at least 90% of “investment company taxable income” (i.e., our net ordinary income and realized net short-term capital gains in excess of realized net long-term capital losses, if any). We will be subject to U.S. federal income tax on any income that we do not timely distribute to our shareholders. Our U.S. federal income tax liability may be reduced to the extent that we make certain distributions during the following calendar year and satisfy other procedural requirements.</w:t>
      </w:r>
    </w:p>
    <w:p>
      <w:pPr>
        <w:pStyle w:val="TextBody"/>
        <w:bidi w:val="0"/>
        <w:spacing w:lineRule="auto" w:line="288" w:before="240" w:after="283"/>
        <w:jc w:val="both"/>
        <w:rPr>
          <w:rFonts w:ascii="Times New Roman;serif" w:hAnsi="Times New Roman;serif"/>
          <w:b w:val="false"/>
          <w:color w:val="000000"/>
          <w:sz w:val="20"/>
          <w:bdr w:val="single" w:sz="8" w:space="20" w:color="000000"/>
          <w:shd w:fill="FFFFFF" w:val="clear"/>
        </w:rPr>
      </w:pPr>
      <w:r>
        <w:rPr>
          <w:rFonts w:ascii="Times New Roman;serif" w:hAnsi="Times New Roman;serif"/>
          <w:b w:val="false"/>
          <w:color w:val="000000"/>
          <w:sz w:val="20"/>
          <w:bdr w:val="single" w:sz="8" w:space="20" w:color="000000"/>
          <w:shd w:fill="FFFFFF" w:val="clear"/>
        </w:rPr>
        <w:t>Capital Southwest Equity Investments, Inc. (the “Taxable Subsidiary”), Capital Southwest SPV LLC (“SPV”), Capital Southwest SBIC I, LP (“SBIC I”) and Capital Southwest SBIC II, LP (“SBIC II” and together with SBIC I, the “SBIC Subsidiaries”) are wholly owned subsidiaries of the Company and are consolidated in its financial statements. The Taxable Subsidiary was formed to permit the Company to hold certain interests in entities that are classified as partnerships for U.S. federal income tax purposes while complying with the source-of-income requirements applicable to RICs. The Taxable Subsidiary is classified as a corporation for U.S. federal income tax purposes and is subject to U.S. federal income tax imposed at corporate rates based on its taxable income. SPV is a special purpose vehicle that was formed to hold investments for the SPV Credit Facility to support our investment and operating activities.</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SBIC I and SBIC II each received a license from the SBA to operate as a small business investment company under Section 301(c) of the Small Business Investment Act of 1958, as amended, on April 20, 2021 and April 17, 2025, respectively. The SBIC Subsidiaries have an investment strategy substantially similar to the Company and make similar types of investments in accordance with SBA regulations. The SBIC Subsidiaries and their general partner are consolidated for financial reporting purposes under generally accepted accounting principles in the United States (“U.S. GAAP”), and the portfolio investments held by the SBIC Subsidiaries are included in the consolidated financial statements.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On August 11, 2021, we received an exemptive order from the SEC to permit us to exclude the senior securities of the SBIC Subsidiaries or any future SBIC subsidiary of the Company from the definition of senior securities in the asset coverage requirement applicable to the Company under the 1940 Act.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On January 22, 2026, the Company and Trinity Capital Inc. (“Trinity”) formed CapTrin Partners LLC (“CapTrin”), a joint venture established for the purpose of primarily investing in first out senior secured debt opportunities in the LMM. All investment and operational decisions for CapTrin are made by CapTrin's board of managers, which consists of equal representation from both joint venture partners. CapTrin is owned equally by the Company and Trinity, with each holding a 50% equity interest and making a $50.0 million capital commitment. As of June 30, 2026, approximately $42.0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capital commitments were funded, of which $21.0 million was funded by the Company. CapTrin also has entered into a special purpose vehicle financing credit facility to provide additional liquidity to support its investment and operational activities.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 xml:space="preserve">Overview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specialize in providing customized debt and equity financing to LMM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first lien debt securities, secured by security interests in portfolio company assets. We also may invest in equity interests in our portfolio companies alongside our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focus on investing in companies with histories of generating revenues and positive cash flow, established market positions and proven management teams with strong operating discipline. Our core business is to target senior debt investments and equity investments in LMM companies. Our target companies generally have annual earnings before interest, taxes, depreciation and amortization (“EBITDA”) between $3.0 million and $25.0 million, and our investments generally range in size from $5.0 million to $50.0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Our LMM debt investments typically have a term of up to five years from the original investment date. We also often seek to invest in the equity securities of our LMM portfolio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offer managerial assistance to our portfolio companies and provide them access to our investment experience, direct industry expertise and contacts. Our obligation to offer to make available significant managerial assistance to our portfolio companies is consistent with our belief that providing managerial assistance to a portfolio company is important to its business development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Our principal executive offices are located at 8333 Douglas Avenue, Suite 1100, Dallas, Texas 75225. We maintain a website at www.capitalsouthwest.com. Information contained on our website is not incorporated by reference into this prospectus supplement or the accompanying prospectus, and you should not consider that information to be part of this prospectus supplement or the accompanying prospectus.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Risks Relating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Our business is subject to numerous risks, as described in the section titled “Supplementary Risk Factors” in this prospectus supplement, “Risk Factors” in the accompanying prospectus and in any free writing prospectuses we have authorized for use in connection with this offering, and under similar headings in the documents that are incorporated by reference into this prospectus supplement and the accompanying prospectus, including the section titled “Risk Factors” included in our most recent Annual Report on Form 10-K, as well as in any of our subsequent SEC filings.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Recent Developments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On September 2, 2026, the Company entered into the Fourth Amended and Restated Senior Secured Revolving Credit Agreement (the “Credit Agreement”) by and among the Company, as borrower, the several banks and other financial institutions or entities from time to time party to the Credit Agreement as lenders, ING Capital LLC, as administrative agent,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arranger and bookrunner, and Texas Capital Bank, as documentation agent. The Credit Agreement: (a) increased commitments under the Corporate Credit Facility from $510 million to $595 million; (b) increased the uncommitted accordion feature that could increase the maximum commitments from up to $750 million to up to $1 billion; (c) extended the end of the Corporate Credit Facility’s revolving period from August 2, 2027 to September 2, 2030, and extended the final maturity from August 2, 2028 to September 2, 2031; (d) reduced the unused commitment fees from a range of (i) 0.50%-1.00% to (ii) 0.50%-0.75% per annum, based on utilization, on the unused lender commitments; and (e) amended certain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TERMS OF THE NOTES OFFERING</w:t>
      </w:r>
    </w:p>
    <w:p>
      <w:pPr>
        <w:pStyle w:val="TextBody"/>
        <w:bidi w:val="0"/>
        <w:spacing w:lineRule="auto" w:line="288" w:before="0" w:after="0"/>
        <w:jc w:val="both"/>
        <w:rPr/>
      </w:pPr>
      <w:r>
        <w:rPr>
          <w:rFonts w:ascii="Times New Roman;serif" w:hAnsi="Times New Roman;serif"/>
          <w:b w:val="false"/>
          <w:color w:val="000000"/>
          <w:sz w:val="20"/>
          <w:bdr w:val="single" w:sz="8" w:space="20" w:color="000000"/>
        </w:rPr>
        <w:t xml:space="preserve">This summary sets forth certain terms of the Notes that we are offering pursuant to this prospectus supplement and the accompanying prospectus. This section and the “Description of the Notes” section in this prospectus supplement outline the specific legal and financial terms of the Notes. You should read this section of the prospectus supplement together with the section titled “Description of the Notes” beginning on page </w:t>
      </w:r>
      <w:hyperlink w:anchor="ia9327d1d86fd48e6a093eb70c8d3870c_31">
        <w:r>
          <w:rPr>
            <w:rStyle w:val="InternetLink"/>
            <w:rFonts w:ascii="Times New Roman;serif" w:hAnsi="Times New Roman;serif"/>
            <w:b w:val="false"/>
            <w:color w:val="0000FF"/>
            <w:sz w:val="20"/>
            <w:u w:val="single"/>
            <w:bdr w:val="single" w:sz="8" w:space="20" w:color="000000"/>
          </w:rPr>
          <w:t>S-17</w:t>
        </w:r>
      </w:hyperlink>
      <w:r>
        <w:rPr>
          <w:color w:val="000000"/>
          <w:bdr w:val="single" w:sz="8" w:space="20" w:color="000000"/>
        </w:rPr>
        <w:t xml:space="preserve"> </w:t>
      </w:r>
      <w:r>
        <w:rPr>
          <w:rFonts w:ascii="Times New Roman;serif" w:hAnsi="Times New Roman;serif"/>
          <w:b w:val="false"/>
          <w:color w:val="000000"/>
          <w:sz w:val="20"/>
          <w:bdr w:val="single" w:sz="8" w:space="20" w:color="000000"/>
        </w:rPr>
        <w:t xml:space="preserve">of this prospectus supplement and the more general description of the Notes in the section titled “Description of Our Debt Securities” beginning on page </w:t>
      </w:r>
      <w:hyperlink w:anchor="ia9327d1d86fd48e6a093eb70c8d3870c_115">
        <w:r>
          <w:rPr>
            <w:rStyle w:val="InternetLink"/>
            <w:rFonts w:ascii="Times New Roman;serif" w:hAnsi="Times New Roman;serif"/>
            <w:b w:val="false"/>
            <w:color w:val="0000FF"/>
            <w:sz w:val="20"/>
            <w:u w:val="single"/>
            <w:bdr w:val="single" w:sz="8" w:space="20" w:color="000000"/>
          </w:rPr>
          <w:t>58</w:t>
        </w:r>
      </w:hyperlink>
      <w:r>
        <w:rPr>
          <w:color w:val="000000"/>
          <w:bdr w:val="single" w:sz="8" w:space="20" w:color="000000"/>
        </w:rPr>
        <w:t xml:space="preserve"> </w:t>
      </w:r>
      <w:r>
        <w:rPr>
          <w:rFonts w:ascii="Times New Roman;serif" w:hAnsi="Times New Roman;serif"/>
          <w:b w:val="false"/>
          <w:color w:val="000000"/>
          <w:sz w:val="20"/>
          <w:bdr w:val="single" w:sz="8" w:space="20" w:color="000000"/>
        </w:rPr>
        <w:t xml:space="preserve">of the accompanying prospectus before investing in the Notes. Capitalized terms used in this prospectus supplement and not otherwise defined shall have the meanings ascribed to them in the accompanying prospectus or in the indenture governing the Notes. </w:t>
      </w:r>
    </w:p>
    <w:tbl>
      <w:tblPr>
        <w:tblW w:w="10205" w:type="dxa"/>
        <w:jc w:val="left"/>
        <w:tblInd w:w="0" w:type="dxa"/>
        <w:tblLayout w:type="fixed"/>
        <w:tblCellMar>
          <w:top w:w="28" w:type="dxa"/>
          <w:left w:w="28" w:type="dxa"/>
          <w:bottom w:w="28" w:type="dxa"/>
          <w:right w:w="28" w:type="dxa"/>
        </w:tblCellMar>
      </w:tblPr>
      <w:tblGrid>
        <w:gridCol w:w="602"/>
        <w:gridCol w:w="431"/>
        <w:gridCol w:w="437"/>
        <w:gridCol w:w="2982"/>
        <w:gridCol w:w="2378"/>
        <w:gridCol w:w="3375"/>
      </w:tblGrid>
      <w:tr>
        <w:trPr/>
        <w:tc>
          <w:tcPr>
            <w:tcW w:w="6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Issuer</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the securities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 Notes due 2031</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Aggregate principal amount being offered</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Initial public offering price</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 xml:space="preserve">% of the aggregate principal amount </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payable at maturity</w:t>
            </w:r>
          </w:p>
        </w:tc>
        <w:tc>
          <w:tcPr>
            <w:tcW w:w="873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100% of the aggregate principal amount; the principal amount of each Note will be payable on its stated maturity date at the office of the trustee for the Notes or at such other office as we may designate.</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 established trading market</w:t>
            </w:r>
          </w:p>
        </w:tc>
        <w:tc>
          <w:tcPr>
            <w:tcW w:w="873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are a new issue of securities with no established trading market. The Notes will not be listed on any securities exchange or quoted on any automated dealer quotation system. Although certain of the underwriters have informed us that they intend to make a market in the Notes, as permitted by applicable laws and regulations, they are not obligated to do so, and may discontinue any such market-making activities at any time without notice. Accordingly, we cannot assure you that a liquid market for the Notes will develop or be maintained.</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Yield to maturity</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 per year</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Trade date</w:t>
            </w:r>
          </w:p>
        </w:tc>
        <w:tc>
          <w:tcPr>
            <w:tcW w:w="8735" w:type="dxa"/>
            <w:gridSpan w:val="3"/>
            <w:tcBorders/>
            <w:tcMar>
              <w:top w:w="0" w:type="dxa"/>
              <w:left w:w="0" w:type="dxa"/>
              <w:bottom w:w="0" w:type="dxa"/>
              <w:right w:w="0" w:type="dxa"/>
            </w:tcMar>
            <w:vAlign w:val="center"/>
          </w:tcPr>
          <w:p>
            <w:pPr>
              <w:pStyle w:val="TableContents"/>
              <w:bidi w:val="0"/>
              <w:spacing w:lineRule="atLeast" w:line="20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 2026</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Maturity date</w:t>
            </w:r>
          </w:p>
        </w:tc>
        <w:tc>
          <w:tcPr>
            <w:tcW w:w="8735" w:type="dxa"/>
            <w:gridSpan w:val="3"/>
            <w:tcBorders/>
            <w:tcMar>
              <w:top w:w="0" w:type="dxa"/>
              <w:left w:w="0" w:type="dxa"/>
              <w:bottom w:w="0" w:type="dxa"/>
              <w:right w:w="0" w:type="dxa"/>
            </w:tcMar>
            <w:vAlign w:val="center"/>
          </w:tcPr>
          <w:p>
            <w:pPr>
              <w:pStyle w:val="TableContents"/>
              <w:bidi w:val="0"/>
              <w:spacing w:lineRule="atLeast" w:line="200" w:before="0" w:after="283"/>
              <w:jc w:val="left"/>
              <w:rPr>
                <w:color w:val="000000"/>
              </w:rPr>
            </w:pPr>
            <w:r>
              <w:rPr>
                <w:color w:val="000000"/>
              </w:rPr>
              <w:t>                    </w:t>
            </w:r>
            <w:r>
              <w:rPr>
                <w:rFonts w:ascii="Times New Roman;serif" w:hAnsi="Times New Roman;serif"/>
                <w:b w:val="false"/>
                <w:color w:val="000000"/>
                <w:sz w:val="20"/>
              </w:rPr>
              <w:t xml:space="preserve">, 2031 </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interest starts accruing</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 2026</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Day count basis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360-day year of twelve 30-day months</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payment dates</w:t>
            </w:r>
          </w:p>
        </w:tc>
        <w:tc>
          <w:tcPr>
            <w:tcW w:w="8735" w:type="dxa"/>
            <w:gridSpan w:val="3"/>
            <w:tcBorders/>
            <w:tcMar>
              <w:top w:w="0" w:type="dxa"/>
              <w:left w:w="0" w:type="dxa"/>
              <w:bottom w:w="0" w:type="dxa"/>
              <w:right w:w="0" w:type="dxa"/>
            </w:tcMar>
            <w:vAlign w:val="center"/>
          </w:tcPr>
          <w:p>
            <w:pPr>
              <w:pStyle w:val="TableContents"/>
              <w:bidi w:val="0"/>
              <w:spacing w:lineRule="auto" w:line="288" w:before="53" w:after="30"/>
              <w:jc w:val="both"/>
              <w:rPr>
                <w:color w:val="000000"/>
              </w:rPr>
            </w:pPr>
            <w:r>
              <w:rPr>
                <w:color w:val="000000"/>
              </w:rPr>
              <w:t>            </w:t>
            </w:r>
            <w:r>
              <w:rPr>
                <w:rFonts w:ascii="Times New Roman;serif" w:hAnsi="Times New Roman;serif"/>
                <w:b w:val="false"/>
                <w:color w:val="000000"/>
                <w:sz w:val="20"/>
              </w:rPr>
              <w:t>and of each year, beginning , 20 . If an interest payment date falls on a non-business day, the applicable interest payment will be made on the next business day and no additional interest will accrue as a result of such delayed payment.</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Specified currency</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Dollars</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Ranking of notes</w:t>
            </w:r>
          </w:p>
        </w:tc>
        <w:tc>
          <w:tcPr>
            <w:tcW w:w="873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our direct unsecured obligations and will rank:</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pari passu with our other outstanding and future unsecured unsubordinated indebtedness, including, without limitation, as of September 9, 2026, $230.0 million in aggregate principal amount outstanding of the 2029 Convertible Notes, and $350.0 million in aggregate principal amount outstanding of the 2030 Notes;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4"/>
        <w:gridCol w:w="574"/>
        <w:gridCol w:w="576"/>
        <w:gridCol w:w="2776"/>
        <w:gridCol w:w="2319"/>
        <w:gridCol w:w="3306"/>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w:t>
            </w:r>
            <w:r>
              <w:rPr>
                <w:rFonts w:ascii="Times New Roman;serif" w:hAnsi="Times New Roman;serif"/>
                <w:b w:val="false"/>
                <w:color w:val="000000"/>
                <w:sz w:val="20"/>
              </w:rPr>
              <w:t>senior to any of our future indebtedness that expressly provides it is subordinated to the Notes;</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w:t>
            </w:r>
            <w:r>
              <w:rPr>
                <w:rFonts w:ascii="Times New Roman;serif" w:hAnsi="Times New Roman;serif"/>
                <w:b w:val="false"/>
                <w:color w:val="000000"/>
                <w:sz w:val="20"/>
              </w:rPr>
              <w:t>effectively subordinated to all of our existing and future secured indebtedness (including indebtedness that is initially unsecured in respect of which we subsequently grant security), to the extent of the value of the assets securing such indebtedness, including, without limitation, borrowings under the Corporate Credit Facility, of which $351.0 million was outstanding as of September 9, 2026; and</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w:t>
            </w:r>
            <w:r>
              <w:rPr>
                <w:rFonts w:ascii="Times New Roman;serif" w:hAnsi="Times New Roman;serif"/>
                <w:b w:val="false"/>
                <w:color w:val="000000"/>
                <w:sz w:val="20"/>
              </w:rPr>
              <w:t>structurally subordinated to all existing and future indebtedness and other obligations of any of our subsidiaries, including, without limitation, borrowings under the SPV Credit Facility, of which $151.0 million was outstanding as of September 9, 2026, and the SBA Debentures, of which $281.0 million was outstanding as of September 9, 2026.</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lineRule="atLeast" w:line="142" w:before="53" w:after="30"/>
              <w:jc w:val="left"/>
              <w:rPr>
                <w:color w:val="000000"/>
              </w:rPr>
            </w:pPr>
            <w:r>
              <w:rPr>
                <w:color w:val="000000"/>
              </w:rPr>
              <w:t> </w:t>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Denominations</w:t>
            </w:r>
          </w:p>
        </w:tc>
        <w:tc>
          <w:tcPr>
            <w:tcW w:w="840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will issue the Notes in minimum denominations of $2,000 and integral multiples of $1,000 in excess thereof.</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Optional redemption</w:t>
            </w:r>
          </w:p>
        </w:tc>
        <w:tc>
          <w:tcPr>
            <w:tcW w:w="8401"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Times New Roman;serif" w:hAnsi="Times New Roman;serif"/>
                <w:b w:val="false"/>
                <w:color w:val="000000"/>
                <w:sz w:val="20"/>
              </w:rPr>
            </w:pPr>
            <w:r>
              <w:rPr>
                <w:rFonts w:ascii="Times New Roman;serif" w:hAnsi="Times New Roman;serif"/>
                <w:b w:val="false"/>
                <w:color w:val="000000"/>
                <w:sz w:val="20"/>
              </w:rPr>
              <w:t>Prior to , 20 (one month prior to the maturity date of the Notes) (the “Par Call Date”), we may redeem the Notes at our option, in whole or in part, at any time and from time to time, at a redemption price (expressed as a percentage of the principal amount and rounded to three decimal places) equal to the greater of: (1)(a)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herein) plus basis points less (b) interest accrued to the date of redemption, and (2) 100% of the principal amount of the Notes to be redeemed, plus, in either case, accrued and unpaid interest thereon to, but not including, the redemption date.</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 or after the Par Call Date, we may redeem the Notes, in whole or in part, at any time and from time to time, at a redemption price equal to 100% of the principal amount of the Notes being redeemed, plus accrued and unpaid interest thereon to, but not including, the redemption date.</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Sinking fund</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Notes will not be subject to any sinking fund.</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color w:val="000000"/>
                <w:sz w:val="20"/>
              </w:rPr>
            </w:pPr>
            <w:r>
              <w:rPr>
                <w:rFonts w:ascii="Times New Roman;serif" w:hAnsi="Times New Roman;serif"/>
                <w:b/>
                <w:color w:val="000000"/>
                <w:sz w:val="20"/>
              </w:rPr>
              <w:t>Offer to repurchase upon a change of control repurchase event</w:t>
            </w:r>
          </w:p>
        </w:tc>
        <w:tc>
          <w:tcPr>
            <w:tcW w:w="840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If a Change of Control Repurchase Event (as defined in the section titled “Description of the Notes” in this prospectus supplement) occurs prior to maturity, holders of the Notes will have the right, at their option, to require us to repurchase for cash some or all of the Notes at a repurchase price equal to 100% of the principal amount of the Notes being repurchased, plus accrued and unpaid interest to, but not including, the repurchase date.</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7"/>
        <w:gridCol w:w="472"/>
        <w:gridCol w:w="474"/>
        <w:gridCol w:w="2550"/>
        <w:gridCol w:w="2550"/>
        <w:gridCol w:w="3622"/>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Defeasance</w:t>
            </w:r>
          </w:p>
        </w:tc>
        <w:tc>
          <w:tcPr>
            <w:tcW w:w="8722"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Times New Roman;serif" w:hAnsi="Times New Roman;serif"/>
                <w:b w:val="false"/>
                <w:color w:val="000000"/>
                <w:sz w:val="20"/>
              </w:rPr>
            </w:pPr>
            <w:r>
              <w:rPr>
                <w:rFonts w:ascii="Times New Roman;serif" w:hAnsi="Times New Roman;serif"/>
                <w:b w:val="false"/>
                <w:color w:val="000000"/>
                <w:sz w:val="20"/>
              </w:rPr>
              <w:t>The Notes are subject to legal and covenant defeasance by us. See “Description of the Notes - Defeasance” in this prospectus supplement.</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Form of notes</w:t>
            </w:r>
          </w:p>
        </w:tc>
        <w:tc>
          <w:tcPr>
            <w:tcW w:w="872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 Investors may elect to hold</w:t>
              <w:br/>
              <w:t>interests in the notes through Clearstream (as defined herein) or Euroclear (as defined herein), as operator of the Euroclear System, if they are participants in these systems, or indirectly through organizations that are participants in these systems.</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Trustee, paying agent, and security registrar</w:t>
            </w:r>
          </w:p>
        </w:tc>
        <w:tc>
          <w:tcPr>
            <w:tcW w:w="8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Bank Trust Company, National Association (as successor in interest to U.S. Bank National Association).</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covenants</w:t>
            </w:r>
          </w:p>
        </w:tc>
        <w:tc>
          <w:tcPr>
            <w:tcW w:w="8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addition to any covenants described elsewhere in this prospectus supplement or the accompanying prospectus, the following covenants shall apply to the Notes</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 xml:space="preserve">• </w:t>
            </w:r>
            <w:r>
              <w:rPr>
                <w:rFonts w:ascii="Times New Roman;serif" w:hAnsi="Times New Roman;serif"/>
                <w:b w:val="false"/>
                <w:color w:val="000000"/>
                <w:sz w:val="2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color w:val="000000"/>
              </w:rPr>
            </w:pPr>
            <w:r>
              <w:rPr>
                <w:color w:val="000000"/>
              </w:rPr>
              <w:t xml:space="preserve">• </w:t>
            </w:r>
            <w:r>
              <w:rPr>
                <w:rFonts w:ascii="Times New Roman;serif" w:hAnsi="Times New Roman;serif"/>
                <w:b w:val="false"/>
                <w:color w:val="000000"/>
                <w:sz w:val="20"/>
              </w:rPr>
              <w:t xml:space="preserve">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 xml:space="preserve">• </w:t>
            </w:r>
            <w:r>
              <w:rPr>
                <w:rFonts w:ascii="Times New Roman;serif" w:hAnsi="Times New Roman;serif"/>
                <w:b w:val="false"/>
                <w:color w:val="000000"/>
                <w:sz w:val="20"/>
              </w:rPr>
              <w:t>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tc>
      </w:tr>
      <w:tr>
        <w:trPr/>
        <w:tc>
          <w:tcPr>
            <w:tcW w:w="342"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374"/>
        <w:gridCol w:w="344"/>
        <w:gridCol w:w="2671"/>
        <w:gridCol w:w="2539"/>
        <w:gridCol w:w="3603"/>
      </w:tblGrid>
      <w:tr>
        <w:trPr/>
        <w:tc>
          <w:tcPr>
            <w:tcW w:w="6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Events of default</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If an event of default (as described in the section titled “Description of the Notes” in this prospectus supplement) on the Notes occurs, the principal amount of the Notes, plus accrued and unpaid interest, may be declared immediately due and payable, subject to the conditions set forth in the indenture governing the Notes.</w:t>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Further issuances</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have the ability to issue additional debt securities under the indenture with terms different from the Notes and, without the consent of the holders of the Notes, to reopen the indenture governing the Notes and issue additional Notes. If we issue additional debt securities, these additional debt securities could have a lien or other security interest greater than that accorded to the holders of the Notes, which are unsecured.</w:t>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 of proceeds</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that the net proceeds we will receive from the sale of the Notes will be approximately $  million, based on a public offering price of % of par, after deducting the underwriting discount of $  million and the estimated offering expenses of approximately $  million payable by us.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this offering to repay a portion of the outstanding indebtedness under the Corporate Credit Facility. See “Use of Proceeds” and “Underwriting – Conflicts of Interest” in this prospectus supplement.</w:t>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Governing law</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and the indenture governing the Notes will be governed by and construed in accordance with the laws of the State of New York.</w:t>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clearance and settlement procedures</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Interests in the Notes will trade in DTC’s Same Day Funds Settlement System, and any permitted secondary market trading activity in such Notes will, therefore, be required by DTC to be settled in immediately available funds. Secondary market trading between Clearstream participants and Euroclear participants will occur in the ordinary way in accordance with the applicable rules and operating procedures of Clearstream and Euroclear and will be settled using the procedures applicable to conventional Eurobonds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SUPPLEMENTARY RISK FACTORS</w:t>
      </w:r>
    </w:p>
    <w:p>
      <w:pPr>
        <w:pStyle w:val="TextBody"/>
        <w:bidi w:val="0"/>
        <w:spacing w:lineRule="auto" w:line="288" w:before="240" w:after="283"/>
        <w:jc w:val="both"/>
        <w:rPr/>
      </w:pPr>
      <w:r>
        <w:rPr>
          <w:rFonts w:ascii="Times New Roman;serif" w:hAnsi="Times New Roman;serif"/>
          <w:b w:val="false"/>
          <w:i/>
          <w:color w:val="000000"/>
          <w:sz w:val="20"/>
        </w:rPr>
        <w:t xml:space="preserve">Investing in the Notes involves a high degree of risk. Before you invest in the Notes, you should be aware of various significant risks, including those described below. Before you decide whether to make an investment in the Notes, you should carefully consider these risks, together with all of the risks and uncertainties described in the section titled “Risk Factors” in the accompanying prospectus, our most recent </w:t>
      </w:r>
      <w:r>
        <w:fldChar w:fldCharType="begin"/>
      </w:r>
      <w:r>
        <w:rPr>
          <w:rStyle w:val="InternetLink"/>
          <w:sz w:val="20"/>
          <w:i/>
          <w:u w:val="single"/>
          <w:b w:val="false"/>
          <w:rFonts w:ascii="Times New Roman;serif" w:hAnsi="Times New Roman;serif"/>
          <w:color w:val="0000FF"/>
        </w:rPr>
        <w:instrText xml:space="preserve"> HYPERLINK "https://www.sec.gov/ix?doc=/Archives/edgar/data/0000017313/000001731326000035/cswc-20260331.htm" \l "fact-identifier-6507"</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Annual Report on Form 10-K</w:t>
      </w:r>
      <w:r>
        <w:rPr>
          <w:rStyle w:val="InternetLink"/>
          <w:sz w:val="20"/>
          <w:i/>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i/>
          <w:color w:val="000000"/>
          <w:sz w:val="20"/>
        </w:rPr>
        <w:t xml:space="preserve">and our most recent </w:t>
      </w:r>
      <w:hyperlink r:id="rId3">
        <w:r>
          <w:rPr>
            <w:rStyle w:val="InternetLink"/>
            <w:rFonts w:ascii="Times New Roman;serif" w:hAnsi="Times New Roman;serif"/>
            <w:b w:val="false"/>
            <w:i/>
            <w:color w:val="0000FF"/>
            <w:sz w:val="20"/>
            <w:u w:val="single"/>
          </w:rPr>
          <w:t>Quarterly Report on Form 10-Q</w:t>
        </w:r>
      </w:hyperlink>
      <w:r>
        <w:rPr>
          <w:rFonts w:ascii="Times New Roman;serif" w:hAnsi="Times New Roman;serif"/>
          <w:b w:val="false"/>
          <w:i/>
          <w:color w:val="000000"/>
          <w:sz w:val="20"/>
        </w:rPr>
        <w:t>, as well as in subsequent filings with the SEC, which are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set forth below are not the only risks we face. If any of the following risks occur, our business, financial condition and results of our operations could be materially adversely affected. In such case, you could lose all or part of your investment. Please also read carefully the section titled “Special Note Regarding Forward-Looking Statements” in this prospectus supplement.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Notes will be unsecured and therefore will be effectively subordinated to any existing and future secured indebtedness, including indebtedness under the Corporate Credit Facility.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Notes will not be secured by any of our assets or any of the assets of any of our subsidiaries. As a result, the Notes will be effectively subordinated to any existing and future secured indebtedness we or our subsidiaries have outstanding as of the date of this prospectus supplement (including the Corporate Credit Facility) or that we or our subsidiaries may incur in the future (or any indebtedness that is initially unsecured as to which we subsequently grant a security interest) to the extent of the value of the assets securing such indebtedness. In any liquidation, dissolution, bankruptcy or other similar proceeding, the holders of any of our secured indebtedness or secured indebtedness of our subsidiaries may assert rights against the assets pledged to secure that indebtedness in order to receive full payment of their indebtedness before the assets may be used to pay other creditors, including the holders of the Notes. As of September 9, 2026, we had $351.0 million in outstanding indebtedness under the Corporate Credit Facility, which is secured by (1) all of the present and future property and assets of the Company and the guarantors and (2) 100.0% of the equity interests in the Company’s wholly owned subsidiaries (except for the assets held by the SBIC Subsidiaries and SPV).</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Notes will be structurally subordinated to the indebtedness and other liabilities of our subsidiaries, including the SBA Debentures and the SPV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Notes will be obligations exclusively of Capital Southwest, and not of any of our subsidiaries. None of our subsidiaries will be a guarantor of the Notes, and the Notes will not be required to be guaranteed by any subsidiary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existing or future subsidiaries (including the SBA Debentures and the SPV Credit Facility). As of September 9, 2026, we had $281.0 million in SBA Debentures outstanding, and $151.0 million outstanding indebtedness under the SPV Credit Facility, which is secured by all of SPV’s assets. The SBIC Subsidiaries, SPV and any future subsidiaries of the Company may incur substantial indebtedness in the future, all of which would be structurally senior to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indenture under which the Notes will be issued contains limited protection for holders of the Notes.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under which the Notes will be issued offers limited protection to holders of the Notes. The terms of the indenture and the Notes will not restrict our or any of our subsidiaries’ ability to engage in, or otherwise be a party to, a variety of corporate transactions, circumstances or events that could have a material adverse impact on your investment in the Notes. In particular, the terms of the indenture and the Notes will not place any restrictions on our or our subsidiaries’ ability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 of the assets securing such indebtedness, (3) indebtedness or other obligations of ours that are guaranteed by one or more of our subsidiaries and which therefore is structurally senior to the Notes and (4) securities, indebtedness or other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issued or incurred by our subsidiaries that would be senior to our equity interests in our subsidiaries and therefore rank structurally senior to the Notes with respect to the assets of our subsidiaries, in each case, other than an incurrence of indebtedness or other obligations that would cause a violation of Section 18(a)(1)(A) as modified by Section 61(a)(2) of the 1940 Act or any successor provisions, whether or not we continue to be subject to such provisions of the 1940 Act, but giving effect, in each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pay dividends on, or purchase or redeem or make any payments in respect of, capital stock or other securities ranking junior in right of payment to the Notes, including subordinated indebtedness, except that we have agreed that, for the period of time during which the Notes are outstanding, we will not violate Section 18(a)(1)(B) as modified by (i) Section 61(a)(2) of the 1940 Act or any successor provisions and after giving effect to any exemptive relief granted to us by the SEC and (ii) the following two exceptions: (A)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sell assets (other than certain limited restrictions on our ability to consolidate, merge or sell all or substantially all of our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transactions with affiliates;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create liens (including liens on the shares of our subsidiaries) or enter into sale and leaseback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investments;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create restrictions on the payment of dividends or other amounts to us from our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the terms of the indenture and the Notes will not protect holders of the Notes in the event that we experience changes (including significant adverse changes) in our financial condition, results of operations or credit ratings, as they will not require that we or our subsidiaries adhere to any financial tests or ratios or specified levels of net worth, revenues, income, cash flow, or liquidity other than as described under “Description of the Notes — Events of Default”.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recapitalize, incur additional debt (including additional debt that matures prior to the maturity of the Notes), and take a number of other actions that are not limited by the terms of the Notes may have important consequences for you as a holder of the Notes, including making it more difficult for us to satisfy our obligations with respect to the Notes or negatively affecting the market value of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debt we issue or incur in the future could contain more protections for its holders than the indenture and the Notes, including additional covenants and events of default. The issuance or incurrence of any such debt with incremental protections could affect the market for, trading levels, and prices of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optional redemption provision may materially adversely affect your return on the Notes.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repurchase the Notes upon a Change of Control Repurchase Event.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Upon a Change of Control Repurchase Event, holders of the Notes may require us to repurchase for cash some or all of the Notes at a repurchase price equal to 100% of the aggregate principal amount of the Notes being repurchased, plus accrued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unpaid interest to, but not including, the repurchase date. We may not be able to repurchase the Notes upon a Change of Control Repurchase Event because we may not have sufficient funds. Before making any such repurchase of Notes, we would also have to comply with certain requirements under the Corporate Credit Facility, to the extent such requirements remain in effect at such time, or otherwise obtain consent from the lenders under the Corporate Credit Facility. The terms of the Corporate Credit Facility and the SPV Credit Facility also provide that certain change of control events will constitute an event of default thereunder entitling the respective lenders to accelerate any indebtedness outstanding under such credit facilities at that time and to terminate such credit facilities. In addition, the occurrence of a Change of Control Repurchase Event enabling the holders of the Notes to require the mandatory purchase of the Notes would likely constitute an event of default under the Corporate Credit Facility, entitling the lenders under the Corporate Credit Facility to accelerate any indebtedness outstanding under the Corporate Credit Facility at that time and to terminate the Corporate Credit Facility. Our or our subsidiaries' future financing arrangements may contain similar restrictions and provisions. Our failure to purchase such tendered Notes upon the occurrence of such Change of Control Repurchase Event would cause an event of default under the indenture governing the Notes and a cross-default under the agreements governing certain of our other indebtedness, including under the agreements governing the Corporate Credit Facility, the indenture governing the 2029 Convertible Notes, the indenture governing the 2030 Notes, and likely under the agreements governing the SPV Credit Facility, which may result in the acceleration of such indebtedness requiring us to repay such indebtedness immediately. If the holders of the Notes or the 2030 Notes exercise their respective right to require us to repurchase any Notes or any 2030 Notes, respectively, upon a Change of Control Repurchase Event (as defined in the relevant indenture), the financial effect of any such repurchase could cause a default under our current and future debt instruments, even if the Change of Control Repurchase Event itself would not cause a default. If a Change of Control Repurchase Event were to occur, we may not have sufficient funds to repay any such accelerated indebtedness. See “Description of the Notes - Offer to Repurchase Upon a Change of Control Repurchase Event” in this prospectus supplement for more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There is no active trading market for the Notes. If an active trading market does not develop for the Notes, you may not be able to sell them.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are a new issue of debt securities for which there currently is no trading market. We do not intend to apply for listing the Notes on any securities exchange or for quotation of the Notes on any automated dealer quotation system. If no active trading market develops, you may not be able to sell the Notes at their fair market value or at all. If the Notes are traded after their initial issuance, they may trade at a discount to their initial offering price depending on prevailing interest rates, the market for similar securities, our credit ratings, our financial condition, performance and prospects, general economic conditions, or other relevant factors. The underwriters are not obligated to make a market in the Notes and any such market-making may be discontinued at any time in the sole discretion of the underwriters without any notice.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adversely affected. Accordingly, you may be required to bear the financial risk of an investment in the Notes for an indefinite period of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amount of debt outstanding will increase as a result of this offering, and if we default on our obligations to pay our other indebtedness, we may not be able to make payments on the Notes.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default under the agreements governing our indebtedness, including a default under the Corporate Credit Facility, the SPV Credit Facility, the indenture governing the 2029 Convertible Notes, the indenture governing the 2030 Notes, or other indebtedness to which we may be a party that is not waived by the required lenders or holders, and the remedies sought by the lenders or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(including the Corporate Credit Facility, the SPV Credit Facility, the 2029 Convertible Notes, and the 2030 Notes), we could be in default under the terms of the agreements governing such indebtedness, including the Notes. In the event of such default, the holders of such indebtedness could elect to declare all the funds borrowed thereunder to be due and payable, together with accrued and unpaid interest, the lenders under the Corporate Credit Facility, the SPV Credit Facility, or other debt we may incur in the future could elect to terminate their commitment, cease making further loans and institute foreclosure proceedings against our assets, and we could be forced into bankruptcy or liquidation.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Corporate Credit Facility, the SPV Credit Facility, or otherwise, in an amount sufficient to enable us to meet our payment obligations under the Notes, the 2029 Convertible Notes, the 2030 Notes, our other debt, and to fund other liquidity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our operating performance declines and we are not able to generate sufficient cash flow to service our debt obligations, we may, in the future, need to refinance or restructure our debt, including any Notes sold, sell assets, reduce or delay capital investments, seek to raise additional capital or seek to obtain waivers from the lenders under the Corporate Credit Facility, the SPV Credit Facility, the holders of the 2029 Convertible Notes, the holders of the 2030 Notes, or other debt that we may incur in the future to avoid being in default. If we are unable to implement one or more of these alternatives, we may not be able to meet our payment obligations under the Notes and our other debt. If we breach our covenants under the Corporate Credit Facility, the SPV Credit Facility, the 2029 Convertible Notes, the 2030 Notes, or any of our other debt and seek a waiver, we may not be able to obtain a waiver from the required lenders or holders thereof. If this occurs, we would be in default under the Corporate Credit Facility, the SPV Credit Facility, the 2029 Convertible Notes, the 2030 Notes, or other debt, the lenders or holders could exercise rights as described above, and we could be forced into bankruptcy or liquidation. If we are unable to repay debt, lenders having secured obligations could proceed against the collateral securing the debt. Because each of the Corporate Credit Facility, the SPV Credit Facility, and the indentures governing the 2029 Convertible Notes and the 2030 Notes have and the indenture governing the Notes will have, and any future credit facilities will likely have, customary cross-default provisions, if the indebtedness under the Notes, the 2029 Convertible Notes, the 2030 Notes, the Corporate Credit Facility, the SPV Credit Facility, or under any future credit facility is accelerated, we may be unable to repay or finance the amounts due.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 downgrade, suspension or withdrawal of the credit rating assigned by a rating agency to us or the Notes or change in the debt markets could cause the liquidity or market value of the Notes to decline significantly.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the Company, so warrant. The conditions of the financial markets and prevailing interest rates have fluctuated in the past and are likely to fluctuate in the future, which could have an adverse effect on the market prices of the Notes.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 xml:space="preserve">Information included or incorporated by reference in this prospectus supplement, the accompanying prospectus and in any free writing prospectus relating to this offering of the Notes may contain forward-looking statements, which can be identified by the use of forward-looking terminology such as “may,” “predict,” “will,” “continue,” “likely,” “would,” “could,” “should,” “expect,” “anticipate,” “potential,” “estimate,” “indicate,” “seek,” “believe,” “target,” “intend,” "plan" or “project” or the negative of these words or other variations on these words or comparable terminology. The matters described in the section titled “Supplementary Risk Factors” in this prospectus supplement, the section titled “Risk Factors” in the accompanying prospectus, our most recent Annual Report on Form 10-K and our most recent Quarterly Report on Form 10-Q that are incorporated by reference in this prospectus supplement and the accompanying prospectus, as well as subsequent filings with the SEC, or in any free writing prospectus relating to this offering and certain other factors noted throughout or incorporated by reference in this prospectus supplement, the accompanying prospectus and in any free writing prospectus relating to this offering constitute cautionary statements identifying important factors with respect to any such forward-looking statements, including certain risks and uncertainties that could cause actual results to differ materially from those in such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implied by the forward-looking statements. The forward-looking statements included or incorporated by reference in this prospectus supplement, the accompanying prospectus, and in any free writing prospectus relating to this offering of the Notes may include statements as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future operating results;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market conditions and our ability to access debt and equity capital and our ability to manage our capital resources effectively;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timing of cash flows, if any, from the operations of our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business prospects and the prospects of our existing and prospective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financial condition and ability of our existing and prospective portfolio companies to achieve their objectives;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adequacy of our cash resources and working capital;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recover unrealized losses;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expected financings and investments;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contractual arrangements and other relationships with third parties;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interest rate volatility and elevated levels of inflation on our business and our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a protracted decline in the liquidity of credit markets on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operate as a BDC and to qualify and maintain our qualification as a RIC, including the impact of changes in laws or regulations, including tax reform, governing our operations or the operations of our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operate our wholly owned subsidiaries, SBIC I and SBIC II, as small business investment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dependence of our future success on the general economy and its impact on the industries in which we invest;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supply chain disruptions and labor shortages on our portfolio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uncertainty associated with the imposition of tariffs and trade barriers and changes in trade policies and its impact on our portfolio companies and our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geopolitical conditions on our portfolio companies and on the industries in which we invest, including the conflict between Ukraine and Russia and turmoil in Europe and the Middle East, and their impact on financial market volatility, global economic markets, and various sectors, industries and markets for commodities globally, such as oil and natural gas;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changes in political, economic or industry conditions, and changes in the interest rate environment or other conditions affecting the financial and capital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successfully invest any capital raised in an offering;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return or impact of current and future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performance and the valuation of our investments in portfolio companies, particularly those having no liquid trading market;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regulatory structure and tax treatment;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timing, form and amount of any dividend distributions.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our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our most recent Quarterly Report on Form 10-Q and other documents that we may file with the SEC, as well as the sections entitled “Supplementary Risk Factors” in this prospectus supplement and “Cautionary Statement Concerning Forward-Looking Statements” in the accompanying prospectus, before making any investment in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we will receive from the sale of the $ aggregate principal amount of the Notes in this offering will be approximately $ , based on a public offering price of % of par, after deducting the underwriting discount of $ and the estimated offering expenses of approximately $ payable by us.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use the net proceeds from this offering to repay a portion of the outstanding indebtedness under the Corporate Credit Facility. However, through re-borrowings under the Corporate Credit Facility, we intend to make investments in accordance with our investment objective and strategies, and for other general corporate purposes, including payment of operating expenses.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9, 2026, we had $351.0 million aggregate principal amount of indebtedness outstanding under the Corporate Credit Facility. The Corporate Credit Facility matures on September 2, 2031, and borrowings under the Corporate Credit Facility currently bear interest on a per annum basis equal to Adjusted Term SOFR plus 2.00%.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the underwriters in this offering, or affiliates of such underwriters, act as lenders under the Corporate Credit Facility, and, as a result, may receive more than 5% of the net proceeds of this offering, not including underwriting compensation. See “Underwriting – Conflicts of Interest.”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CAPITALIZATION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cash and cash equivalents and capitalization: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(a)on an actual basis as of June 30, 2026; and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(b)on an as adjusted basis for the sale of $ million aggregate principal amount of the Notes offered hereby, based on a public offering price of % of par, less the underwriting discount of $ million and the estimated offering expenses of approximately $ million payable by us, and the application of the proceeds thereof.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table should be read together with “Use of Proceeds” included in this prospectus supplement, “Management’s Discussion and Analysis of Financial Condition and Results of Operations” in the accompanying prospectus and in our most recent Quarterly Report on Form 10-Q, and our most recent consolidated financial statements and notes thereto included or incorporated by reference in this prospectus supplement and the accompanying prospectus. </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2510"/>
        <w:gridCol w:w="2178"/>
        <w:gridCol w:w="2193"/>
        <w:gridCol w:w="198"/>
        <w:gridCol w:w="884"/>
        <w:gridCol w:w="110"/>
        <w:gridCol w:w="110"/>
        <w:gridCol w:w="110"/>
        <w:gridCol w:w="110"/>
        <w:gridCol w:w="526"/>
        <w:gridCol w:w="526"/>
        <w:gridCol w:w="750"/>
      </w:tblGrid>
      <w:tr>
        <w:trPr/>
        <w:tc>
          <w:tcPr>
            <w:tcW w:w="2510"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this Offering</w:t>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numbers)</w:t>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Credit Facilities</w:t>
            </w:r>
            <w:r>
              <w:rPr>
                <w:rFonts w:ascii="Times New Roman;serif" w:hAnsi="Times New Roman;serif"/>
                <w:b w:val="false"/>
                <w:color w:val="000000"/>
                <w:sz w:val="12"/>
              </w:rPr>
              <w:t>(1)</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SBA Debentures (net of unamortized debt issuance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Convertible Notes (net of unamortized 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Notes (net of unamortized debt issuance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offered hereby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borrowings</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1,221,172 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$0.25 per share, 75,000,000 common shares authorized, and 63,733,867 common shares issued and outstanding</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1,136,438 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distributable (loss) earnings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assets</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net assets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2,315,519 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The above table reflects the carrying value of indebtedness outstanding as of June 30, 2026. As of September 9, 2026, the total amount of indebtedness outstanding under the Corporate Credit Facility was $351.0 million. We intend to use the net proceeds from this offering to repay a portion of the outstanding indebtedness under the Corporate Credit Facility. After giving effect to this offering and such repayments, we expect to have approximately $ million of outstanding indebtedness under the Corporate Credit Facility. This table has not been adjusted to reflect the changes in our outstanding borrowings subsequent to June 30, 2026. </w:t>
      </w:r>
    </w:p>
    <w:p>
      <w:pPr>
        <w:pStyle w:val="TextBody"/>
        <w:bidi w:val="0"/>
        <w:spacing w:before="100" w:after="283"/>
        <w:jc w:val="both"/>
        <w:rPr/>
      </w:pPr>
      <w:r>
        <w:rPr/>
      </w:r>
    </w:p>
    <w:p>
      <w:pPr>
        <w:pStyle w:val="TextBody"/>
        <w:bidi w:val="0"/>
        <w:spacing w:before="100" w:after="283"/>
        <w:jc w:val="left"/>
        <w:rPr/>
      </w:pPr>
      <w:r>
        <w:rPr/>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issued under a base indenture, dated October 23, 2017, and an eighth supplemental indenture thereto, to be entered into between us and U.S. Bank Trust Company, National Association (as successor in interest to U.S. Bank National Association), as trustee. We refer to the base indenture and the eighth supplemental indenture collectively as the “indenture” and to U.S. Bank Trust Company, National Association as the “trustee.”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be governed by the indenture, as required by federal law for all bonds and notes of companies that are publicly offered.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below. Second, the trustee performs certain administrative duties for us with respect to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includes a summary description of the material terms of the Notes and the indenture. Because this section is a summary, however, it does not describe every aspect of the Notes and the indenture. We urge you to read the indenture because it, and not this description, defines your rights as a holder of the Notes. The base indenture has been included as an exhibit to the registration statement of which this prospectus supplement is a part and the eighth supplemental indenture will be filed as an exhibit to a current report on Form 8-K, in each case, as filed or as will be filed with the SEC. See “Available Information” in this prospectus supplement for information on how to obtain a copy of the indenture.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240" w:after="283"/>
        <w:jc w:val="both"/>
        <w:rPr/>
      </w:pPr>
      <w:r>
        <w:rPr>
          <w:rFonts w:ascii="Times New Roman;serif" w:hAnsi="Times New Roman;serif"/>
          <w:b w:val="false"/>
          <w:color w:val="000000"/>
          <w:sz w:val="20"/>
        </w:rPr>
        <w:t>The Notes will mature on</w:t>
      </w:r>
      <w:r>
        <w:rPr>
          <w:color w:val="000000"/>
        </w:rPr>
        <w:t xml:space="preserve"> </w:t>
      </w:r>
      <w:r>
        <w:rPr>
          <w:rFonts w:ascii="Times New Roman;serif" w:hAnsi="Times New Roman;serif"/>
          <w:b w:val="false"/>
          <w:color w:val="000000"/>
          <w:sz w:val="20"/>
        </w:rPr>
        <w:t>, 2031. The principal payable at maturity will be 100% of the aggregate principal amount. The interest rate of the Notes is</w:t>
      </w:r>
      <w:r>
        <w:rPr>
          <w:color w:val="000000"/>
        </w:rPr>
        <w:t xml:space="preserve"> </w:t>
      </w:r>
      <w:r>
        <w:rPr>
          <w:rFonts w:ascii="Times New Roman;serif" w:hAnsi="Times New Roman;serif"/>
          <w:b w:val="false"/>
          <w:color w:val="000000"/>
          <w:sz w:val="20"/>
        </w:rPr>
        <w:t>% per year and will be paid semi-annually in arrears 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of each year, beginning</w:t>
      </w:r>
      <w:r>
        <w:rPr>
          <w:color w:val="000000"/>
        </w:rPr>
        <w:t xml:space="preserve"> </w:t>
      </w:r>
      <w:r>
        <w:rPr>
          <w:rFonts w:ascii="Times New Roman;serif" w:hAnsi="Times New Roman;serif"/>
          <w:b w:val="false"/>
          <w:color w:val="000000"/>
          <w:sz w:val="20"/>
        </w:rPr>
        <w:t>, 20</w:t>
      </w:r>
      <w:r>
        <w:rPr>
          <w:color w:val="000000"/>
        </w:rPr>
        <w:t xml:space="preserve"> </w:t>
      </w:r>
      <w:r>
        <w:rPr>
          <w:rFonts w:ascii="Times New Roman;serif" w:hAnsi="Times New Roman;serif"/>
          <w:b w:val="false"/>
          <w:color w:val="000000"/>
          <w:sz w:val="20"/>
        </w:rPr>
        <w:t>, and the regular record dates for interest payments will be every</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beginning</w:t>
      </w:r>
      <w:r>
        <w:rPr>
          <w:color w:val="000000"/>
        </w:rPr>
        <w:t xml:space="preserve"> </w:t>
      </w:r>
      <w:r>
        <w:rPr>
          <w:rFonts w:ascii="Times New Roman;serif" w:hAnsi="Times New Roman;serif"/>
          <w:b w:val="false"/>
          <w:color w:val="000000"/>
          <w:sz w:val="20"/>
        </w:rPr>
        <w:t>, 20</w:t>
      </w:r>
      <w:r>
        <w:rPr>
          <w:color w:val="000000"/>
        </w:rPr>
        <w:t xml:space="preserve"> </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initial interest period will be the period from and including September , 2026, to, but excluding, the initial interest payment date, and the subsequent interest periods will be the periods from and including an interest payment date to, but excluding, the next interest payment date or the stated maturity date, as the case may be. Interest on the Notes will be computed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basis of a 360-day year composed of twelve 30-day months.</w:t>
      </w:r>
    </w:p>
    <w:p>
      <w:pPr>
        <w:pStyle w:val="TextBody"/>
        <w:bidi w:val="0"/>
        <w:spacing w:lineRule="auto" w:line="288" w:before="240" w:after="283"/>
        <w:jc w:val="both"/>
        <w:rPr/>
      </w:pPr>
      <w:r>
        <w:rPr>
          <w:rFonts w:ascii="Times New Roman;serif" w:hAnsi="Times New Roman;serif"/>
          <w:b w:val="false"/>
          <w:color w:val="000000"/>
          <w:sz w:val="20"/>
        </w:rPr>
        <w:t>If an interest payment date falls on a non-business day, the applicable interest payment will be made on the next business day and no additional interest will accrue as a result of such delayed payment.</w:t>
      </w:r>
      <w:r>
        <w:rPr>
          <w:color w:val="FF0000"/>
        </w:rPr>
        <w:t xml:space="preserve"> </w:t>
      </w:r>
      <w:r>
        <w:rPr>
          <w:rFonts w:ascii="Times New Roman;serif" w:hAnsi="Times New Roman;serif"/>
          <w:b w:val="false"/>
          <w:color w:val="000000"/>
          <w:sz w:val="20"/>
        </w:rPr>
        <w:t>The term “business day” means, with respect to any Note, each Monday, Tuesday, Wednesday, Thursday, and Friday that is not a day on which banking institutions in The City of New York or the corporate trust office of the trustee are authorized or obligated by law or executive order to close.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issue the Notes in minimum denominations of $2,000 and integral multiples of $1,000 in excess thereof. The Notes will not be subject to any sinking fund.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indenture does not limit the amount of debt (including secured debt) that may be issued by us or our subsidiaries under the indenture or otherwise, but does contain a covenant regarding our asset coverage that would have to be satisfied at the time of our incurrence of additional indebtedness. See “— Other Covenants” and “— Events of Default.” Other than the foregoing and as described under “— Other Covenants” and “— Events of Default” below, the indenture does not contain any financial covenants or restrict us from paying dividends or issuing or repurchasing our other securities. Other than restrictions described under “— Offer to Repurchase Upon a Change of Control Repurchase Event” and “— Merger, Consolidation or Asset Sale” below, the indenture does not contain any covenants or other provisions designed to afford holders of the Notes protection in the event of a highly leveraged transaction involving us or if our credit rating declines as the result of a takeover, recapitalization, highly leveraged transaction or similar restructuring involving us that could adversely affect your investment in the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without the consent of the holders of the Notes, issue additional notes under the indenture with the same terms (except for the issue date, offering price, and, if applicable, the initial interest payment date) and with the same CUSIP numbers as the Notes offered hereby in an unlimited aggregate principal amount, subject to the terms of the Corporate Credit Facility and the SPV Credit Facility, and any other financing agreements to which we may be party; provided that such additional notes must be treated as part of the same issue as the Notes offered hereby for U.S. federal income tax purposes. In addition, we have the ability to issue indenture securities with terms different from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intend to list the Notes on any securities exchange or automated dealer quotation system.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Optional Redemption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Par Call Date, we may redeem the Notes at our option, in whole or in part, at any time and from time to time, at a redemption price (expressed as a percentage of the principal amount and rounded to three decimal places) equal to the greater of: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 100% of the principal amount of the Notes to be redeemed, plus, in either case, accrued and unpaid interest thereon to, but not including,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or after the Par Call Date, we may redeem the Notes, in whole or in part, at any time and from time to time, at a redemption price equal to 100% of the principal amount of the Notes being redeemed plus accrued and unpaid interest thereon to, but not including,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purposes of calculating the redemption price in connection with the redemption of the Notes, on any redemption date, the following terms have the meanings set forth below:</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Par Call Date” means , 20</w:t>
      </w:r>
      <w:r>
        <w:rPr>
          <w:color w:val="000000"/>
        </w:rPr>
        <w:t xml:space="preserve"> </w:t>
      </w:r>
      <w:r>
        <w:rPr>
          <w:rFonts w:ascii="Times New Roman;serif" w:hAnsi="Times New Roman;serif"/>
          <w:b w:val="false"/>
          <w:color w:val="000000"/>
          <w:sz w:val="20"/>
        </w:rPr>
        <w:t>(one month prior to the maturity date of the Notes).</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Treasury Rate” means, with respect to any redemption date of the Notes, the yield determined by us in accordance with the following two paragraphs.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on the third business day preceding the redemption date H.15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shall be based upon the average of the bid and asked prices (expressed as a percentage of the principal amount) at 11:00 a.m., New York City time, of such United States Treasury security, and rounded to three decimal places.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actions and determinations in determining the redemption price of any of the Notes shall be conclusive and binding for all purposes, absent manifest error.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Notice of any redemption will be mailed or electronically delivered (or otherwise transmitted in accordance with the depositary’s procedures) at least 10 days but not more than 60 days before the redemption date to each holder of notes to be redeemed (with a copy to the trustee).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case of a partial redemption, selection of the Notes for redemption will be made in compliance with the requirements of DTC, or if the Notes are not then held through DTC, or DTC prescribed no method of selection, then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Unless the Company defaults in payment of the redemption price, on and after the redemption date interest will cease to accrue on the notes or portions thereof called for redemption.</w:t>
      </w:r>
    </w:p>
    <w:p>
      <w:pPr>
        <w:pStyle w:val="TextBody"/>
        <w:bidi w:val="0"/>
        <w:spacing w:lineRule="auto" w:line="288" w:before="180" w:after="100"/>
        <w:ind w:left="0" w:right="0" w:hanging="720"/>
        <w:jc w:val="both"/>
        <w:rPr>
          <w:rFonts w:ascii="Times New Roman;serif" w:hAnsi="Times New Roman;serif"/>
          <w:b/>
          <w:color w:val="000000"/>
          <w:sz w:val="20"/>
        </w:rPr>
      </w:pPr>
      <w:r>
        <w:rPr>
          <w:rFonts w:ascii="Times New Roman;serif" w:hAnsi="Times New Roman;serif"/>
          <w:b/>
          <w:color w:val="000000"/>
          <w:sz w:val="20"/>
        </w:rPr>
        <w:t>Offer to Repurchase Upon a Change of Control Repurchase Event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not including, the date of repurchase. Within 30 days following any Change of Control Repurchase Event or, at our option, prior to any Change of Control, but after the public announcement of the Change of Control, we will mail a notice to each holder (with a copy to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Change of Control Repurchase Event payment date, subject to extension if necessary to comply with the provisions of the 1940 Act, we will, to the extent lawful: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accept for payment all Notes or portions of Notes properly tendered pursuant to our offer;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deposit with the paying agent an amount equal to the aggregate purchase price in respect of all Notes or portions of Notes properly tendered;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deliver or cause to be delivered to the trustee the Notes properly accepted, together with an officers' certificate stating the aggregate principal amount of Notes being purchased by 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paying agent will promptly remit to each holder of Notes properly tendered the purchase price for the Notes, and, upon written instruction from Capital Southwest, the trustee will promptly authenticate and mail (or cause to be transferred by book-entry) to each holder a new Note equal in principal amount to any unpurchased portion of any Notes surrendered;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each new Note will be in a minimum principal amount of $2,000 or an integral multiple of $1,000 in excess thereof.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Before making any such repurchase of Notes, we also would have to comply with certain requirements under the Corporate Credit Facility, to the extent such requirements remain in effect at such time, or otherwise obtain consent from the lenders under the Corporate Credit Facility. The terms of the Corporate Credit Facility and the SPV Credit Facility also provide that certain change of control events will constitute an event of default thereunder entitling the respective lenders to accelerate any indebtedness outstanding under such credit facilities at that time and to terminate such credit facilities. In addition, the occurrence of a Change of Control Repurchase Event enabling the holders of the Notes to require the mandatory purchase of the Notes would likely constitute an event of default under the Corporate Credit Facility, entitling the lenders under the Corporate Credit Facility to accelerate any indebtedness outstanding under the Corporate Credit Facility at that time and to terminate the Corporate Credit Facility. Our or our subsidiaries’ future financing arrangements may contain similar restrictions and provisions. Our failure to purchase such tendered Notes upon the occurrence of such Change of Control Repurchase Event would cause an event of default under the indenture governing the Notes and a cross-default under the agreements governing certain of our other indebtedness, including under the agreements governing the Corporate Credit Facility, the indenture governing the 2029 Convertible Notes, the indenture governing the 2030 Notes, and likely under the agreements governing the SPV Credit Facility, which may result in the acceleration of such indebtedness requiring us to repay such indebtedness immediately. If the holders of the Notes or the 2030 Notes exercise their respective right to require us to repurchase any Notes or any 2030 Notes, respectively, upon a Change of Control Repurchase Event (as defined in the relevant indenture), the financial effect of any such repurchase could cause a default under our current and future debt instruments, even if the Change of Control Repurchase Event itself would not cause a default. If a Change of Control Repurchase Event were to occur, we may not have sufficient funds to repay any such accelerated indebtedness.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definition of “Change of Control” includes a phrase relating to the direct or indirect sale, lease, transfer, conveyance or other disposition of “all or substantially all” of our properties or assets and those of our Controlled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our assets and the assets of our Controlled Subsidiaries taken as a whole to another person or group may be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the Notes:</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0"/>
        </w:rPr>
        <w:t>Below Investment Grade Rating Event”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do not announce or publicly confirm or inform the trustee in writing at the Company's request (acting at the written direction of the holders of a majority of principal amount of the outstanding Notes)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Change of Control” means the occurrence of any of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direct or indirect sale, lease, transfer, conveyance or other disposition (other than by way of merger or consolidation) in one or a series of related transactions, of all or substantially all of the assets of Capital Southwest and its Controlled Subsidiaries taken as a whole to any “person” or “group” (as those terms are used in Section 13(d)(3) of the Exchange Act), other than to any Permitted Holders;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for the avoidance of doubt, a pledge of assets pursuant to any secured debt instrument of Capital Southwest or its Controlled Subsidiaries shall not be deemed to be any such sale, lease, transfer, conveyance or disposition;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Capital Southwest, measured by voting power rather than number of shares; 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the approval by Capital Southwest's stockholders of any plan or proposal relating to the liquidation or dissolution of Capital Southwest.</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Change of Control Repurchase Event” means the occurrence of a Change of Control and a Below Investment Grade Rating Event.</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Controlled Subsidiary” means any subsidiary of Capital Southwest, 50% or more of the outstanding equity interests of which are owned by Capital Southwest and its direct or indirect subsidiaries and of which Capital Southwest possesses, directly or indirectly, the power to direct or cause the direction of the management or policies, whether through the ownership of voting equity interests, by agreement or otherwise.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 xml:space="preserve">Fitch” means Fitch Ratings, Inc., also known as Fitch Ratings, or any successor thereof. </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Investment Grade” means a rating of BBB- or better by Fitch (or its equivalent under any successor rating categories of Fitch) and Baa3 by Moody’s (or its equivalent under any successor rating categories of Moody’s) (or, in any case, if such Rating Agency ceases to rate the Notes for reasons outside of our control, the equivalent investment grade credit rating from any Rating Agency selected by us as a replacement Rating Agency).</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Moody’s” means Moody’s Investors Service, Inc., or any successor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Permitted Holders” means (i) us and (ii) one or more of our Controlled Subsidiaries.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Rating Agency” means: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of Fitch and Moody’s;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(2)if any of Fitch or Moody’s ceases to rate the Notes or fails to make a rating of the Notes publicly available for reasons outside of our control, a “nationally recognized statistical rating organization” as defined in Section (3)(a)(62) of the Exchange Act selected by us as a replacement agency for Fitch or Moody’s, or both, as the case may be.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Global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Note will be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 Book-Entry Procedures” below.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Termination of a Global Security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Payment and Paying Agents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Payments on Global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Book-Entry Procedures” below.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Payments on Certificated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designated office of the trustee in New York, New York and/or at other offices that may be specified in the indenture or a notice to holders against surrender of the Note.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Payment When Offices Are Closed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they will receive payments on the Notes.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will have rights if an Event of Default occurs in respect of the Notes and the Event of Default is not cured, as described later in this subsection.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 “Event of Default” in respect of the Notes means any of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the principal of, or any premium on, any Note when due and payable at maturity;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interest on any Note when due and payable, and such default is not cured within 30 days of its due date;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remain in breach of any other covenant in respect of the Notes for 60 days after we receive a written notice of default stating we are in breach (the notice must be sent by either the trustee or holders of at least 25% of the principal amount of the outstanding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file for bankruptcy or certain other events of bankruptcy, insolvency or reorganization occur and remain undischarged or unstayed for a period of 60 days;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the last business day of each of twenty-four consecutive calendar months, the Notes have an asset coverage of less than 100%, giving effect to any exemptive relief granted to us by the SEC;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default by us or any of our significant subsidiaries, as defined in Article 1, Rule 1-02 of Regulation S-X promulgated under the Exchange Act (but excluding any subsidiary which is (a) a non-recourse or limited recourse subsidiary, (b) a bankruptcy remote special purpose vehicle, or (c) is not consolidated with Capital Southwest for purposes of U.S. GAAP), with respect to any mortgage, agreement or other instrument under which there may be outstanding, or by which there may be secured or evidenced, any indebtedness for money borrowed in excess of $50 million in the aggregate of us and/ 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Event of Default for the Notes may, but does not necessarily, constitute an Event of Default for any other series of debt securities issued under the same or any other indenture. Within 90 days after the occurrence of any default or Event of Default under the indenture with respect to the Notes and if a responsible officer of the trustee has received written notice or has actual knowledge of such event, the trustee shall transmit notice to the holders of such default known to the trustee, unless such default shall have been cured or waived; provided, however, that, except in the case of a default in the payment of the principal of (or premium, if any, on) or interest, if any, on any Note, the trustee shall be protected in withholding such notice if and so long as the trustee in good faith determines that withholding of such notice is in the interest of the holders of the Notes; and provided further that in the case of any default or breach specified in the third bullet point above with respect to the Notes, no such notice shall be given until at least 60 days after the occurrence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Remedies if an Event of Default Occurs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Event of Default has occurred and is continuing, the trustee or the holders of not less than 25% in principal amount of the Notes may declare the entire principal amount of all the Notes to be due and immediately payable, but this does not entitle any holder of Notes to any redemption payout or redemption premium. If an Event of Default referred to in the third to last bullet point above with respect to us has occurred, the entire principal amount of all of the Notes will automatically become due and immediately payable, without any action on the part of the trustee.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or any payment that has become due solely by reason of such acceleration) and certain other amounts, and (2) any other Events of Default have been cured or waived.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in cases of default, where the trustee has some special duties, the trustee is not required to take any action under the indenture at the request of any holders unless the holders offer the trustee protection from expenses and liability satisfactory to it (called an “indemnity”). If indemnity satisfactory to the trustee is provided, the holders of a majority in principal amount of the Notes may direct the time, method and place of conducting any lawsuit or other formal legal action seeking any remedy available to the trustee. However, the trustee may refuse to follow any direction that conflicts with law or the indenture, that may involve the trustee in personal liability, or if it is not provided with security and/or indemnity reasonably satisfactory to the trustee and may take any other action it deems proper that is not inconsistent with any such direction received from holders. In addition, the trustee will not be required to expend its own funds under any circumstances. No delay or omission in exercising any right or remedy will be treated as a waiver of that right, remedy or Event of Default.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Before you are allowed to bypass the trustee and bring your own lawsuit or other formal legal action or take other steps to enforce your rights or protect your interests relating to the Notes, the following must occur: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you must give the trustee written notice that an Event of Default has occurred and remains uncured;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at least 25% in principal amount of all the Notes must make a written request that the trustee take action because of the default and must offer (and, if requested, provide) security and/or indemnity reasonably satisfactory to the trustee against the cost and other liabilities of taking that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trustee must not have taken action for 60 days after receipt of the above notice and offer of indemnity;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 majority in principal amount of the Notes must not have given the trustee a direction inconsistent with the above notice during that 60-day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However, you are entitled at any time to bring a lawsuit for the payment of money due on your Notes on or after the due date.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year, we will furnish to the trustee a written statement of certain of our officers certifying that to their knowledge we are in compliance with the indenture and the Notes, or else specifying any default.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Waiver of Default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the Notes may waive any past defaults other than a default: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payment of principal (or premium, if any) or interest;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respect of a covenant that cannot be modified or amended without the consent of each holder of the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Merger, Consolidation or Asset Sale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where: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merge out of existence or convey or transfer all or substantially all of our assets, the resulting entity must agree to be legally responsible for our obligations under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certain certificates and documents to the trustee.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of the foregoing and subject to the 1940 Act, any subsidiary of ours may consolidate with, merge into or transfer all or part of its property and assets to other subsidiaries of ours or to us. Additionally, this covenant shall not apply to: (1) our merger or the merger of one of our subsidiaries with an affiliate solely for the purpose of reincorporating in another jurisdiction; (2) any conversion by us or a subsidiary from an entity formed under the laws of one state to any entity formed under the laws of another state; or (3) any combination of (1) and (2) above.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Modification or Waiver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three types of changes we can make to the indenture and the Notes issued thereunder.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Changes Requiring Your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First, there are changes that we cannot make to your Notes without your specific approval. The following is a list of those types of changes: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 the stated maturity of the principal of (or premium, if any, on) or any installment of principal of or interest on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any amounts due on the Notes or reduce the rate of interest on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the amount of principal payable upon acceleration of the maturity of a Note following a default;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 the place or currency of payment on a Note;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 your right to sue for payment;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the percentage of holders of Notes whose consent is needed to modify or amend the indenture;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w:t>
      </w:r>
      <w:r>
        <w:rPr>
          <w:color w:val="000000"/>
        </w:rPr>
        <w:t>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Changes Not Requiring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type of change does not require any vote by the holders of the Notes. This type is limited to clarifications and certain other changes that would not adversely affect holders of the Notes in any material respect.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Changes Requiring Majority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other change to the indenture and the Notes would require the following approval: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only the Notes, it must be approved by the holders of a majority in principal amount of the Notes;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each case, the required approval must be given by written consent.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Changes Requiring Your Approval.”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Further Details Concerning Voting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taking a vote, we will use the following rules to decide how much principal to attribute to the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 Defeasance — Full Defeasance” below.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will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approval may be granted or denied if we seek to change the indenture or the Notes or request a waiver.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Satisfaction and Discharge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will be discharged and will cease to be of further effect with respect to the Notes when: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Either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the Notes that have been authenticated have been delivered to the trustee for cancellation;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the Notes that have not been delivered to the trustee for cancellation: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have become due and payable,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will become due and payable at their stated maturity within one year,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to be called for redemption,</w:t>
      </w:r>
    </w:p>
    <w:p>
      <w:pPr>
        <w:pStyle w:val="TextBody"/>
        <w:bidi w:val="0"/>
        <w:spacing w:lineRule="auto" w:line="288" w:before="0" w:after="0"/>
        <w:jc w:val="both"/>
        <w:rPr>
          <w:color w:val="000000"/>
        </w:rPr>
      </w:pPr>
      <w:r>
        <w:rPr>
          <w:color w:val="000000"/>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we, in the case of the first, second and third sub-bullets above, have irrevocably deposited or caused to be deposited with the trustee as trust funds in trust solely for the benefit of the holders of the Notes, in amounts in the currency payable for the Notes as will be sufficient,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have paid or caused to be paid all other sums payable by us under the indenture with respect to the Notes;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delivered to the trustee an officers’ certificate and legal opinion, each stating that all conditions precedent provided for in the indenture relating to the satisfaction and discharge of the indenture and the Notes have been complied with.</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Defeasance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Covenant Defeasance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because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confirming that, under current U.S. federal income tax law, we may make the above deposit without causing you to be taxed on the Notes any differently than if we did not make the deposit;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result in a default under, the indenture or any of our other material agreements or instruments;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default or Event of Default with respect to the Notes shall have occurred and be continuing and no defaults or events of default related to bankruptcy, insolvency or reorganization shall occur during the next 90 days.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Full Defeasance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 change in U.S. federal income tax law, as described below, we can legally release ourselves from all payment and other obligations on the Notes (called “full defeasance”) if we put in place the following other arrangements for you to be repaid: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confirming that there has been a change in current U.S. federal tax law or an Internal Revenue Service (“IRS”) ruling that allows us to make the above deposit without causing you to be taxed on the Notes any differently than if we did not make the deposit;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constitute a default under, the indenture or any of our other material agreements or instruments;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default or Event of Default with respect to the Notes shall have occurred and be continuing and no defaults or events of default related to bankruptcy, insolvency or reorganization shall occur during the next 90 days.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Other Covenants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any other covenants described in this prospectus supplement and the accompanying prospectus, as well as standard covenants relating to payment of principal and interest, maintaining an office where payments may be made or securities can be surrendered for payment, payment of taxes by the Company and related matters, the following covenants apply to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r>
        <w:rPr>
          <w:color w:val="000000"/>
        </w:rPr>
        <w: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Form, Exchange and Transfer of Certificated Registered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registered Notes cease to be issued in book-entry form, they will be issued: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only in fully registered certificated form;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without interest coupons;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unless we indicate otherwise, in denominations of $2,000 and amounts that are multiples of $1,000.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their certificated securities for Notes of smaller denominations or combined into fewer Notes of larger denominations, as long as the total principal amount is not changed and as long as the denomination is equal to or greater than $2,000.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or transfer their certificated securities at the designated office of the trustee. We have appointed the trustee to act as our agent for registering Notes in the names of holders transferring Notes. We may appoint another entity to perform these functions or perform them ourselves.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appoint additional transfer agents or cancel the appointment of any particular transfer agent. We may also approve a change in the office through which any transfer agent acts.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certificated securities of a particular series are redeemable and we redeem less than all the Notes, we and the trustee may block the transfer or exchange of those Notes selected for redemption during the period beginning 15 days before the day we mail the notice of redemption and ending on the day of that mailing, in order to freeze the list of holders to prepare the mailing. We may also refuse to register transfers or exchanges of any certificated Notes selected for redemption, except that we will continue to permit transfers and exchanges of the unredeemed portion of any Note that will be partially redeemed.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registered Notes are issued in book-entry form, only the depositary will be entitled to transfer and exchange the Notes as described in this subsection, since it will be the sole holder of the Notes.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Resignation of Trustee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Indenture Provisions - Ranking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be our direct unsecured obligations and will rank: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pari passu with our existing and future unsubordinated unsecured indebtedness, including, without limitation, the 2029 Convertible Notes and the 2030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senior to any of our future indebtedness that expressly provides it is subordinated to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effectively subordinated to all of our existing and future secured indebtedness (including indebtedness that is initially unsecured to which we subsequently grant security), to the extent of the value of the assets securing such indebtedness, including, without limitation, borrowings under the Corporate Credit Facility;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structurally subordinated to all existing and future indebtedness and other obligations of any of our subsidiaries, including, without limitation, borrowings under the SPV Credit Facility and the SBA Debentures.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Procedures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in the United States, or Clearstream Banking, société anonyme (“Clearstream”), or Euroclear Bank S.A./N.V., as operator of the Euroclear System in Europe (“Euroclear”), if they are participants of those systems, or indirectly through organizations that are participants in those systems. Clearstream and Euroclear will hold interests on behalf of their participants through customers' securities accounts in Clearstream’s and Euroclear’s names on the books of their respective depositories, which in turn will hold such interests in customers’ securities accounts in the depositories’ names on the books of DTC.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 </w:t>
      </w:r>
    </w:p>
    <w:p>
      <w:pPr>
        <w:pStyle w:val="TextBody"/>
        <w:bidi w:val="0"/>
        <w:spacing w:lineRule="auto" w:line="288" w:before="240" w:after="283"/>
        <w:jc w:val="both"/>
        <w:rPr/>
      </w:pPr>
      <w:r>
        <w:rPr>
          <w:rFonts w:ascii="Times New Roman;serif" w:hAnsi="Times New Roman;serif"/>
          <w:b w:val="false"/>
          <w:color w:val="000000"/>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Ratings Services’ rating of AA+. The DTC Rules applicable to its participants are on file with the SEC. More information about DTC can be found at</w:t>
      </w:r>
      <w:r>
        <w:rPr>
          <w:color w:val="000000"/>
        </w:rPr>
        <w:t> </w:t>
      </w:r>
      <w:r>
        <w:rPr>
          <w:rFonts w:ascii="Times New Roman;serif" w:hAnsi="Times New Roman;serif"/>
          <w:b w:val="false"/>
          <w:i/>
          <w:color w:val="000000"/>
          <w:sz w:val="20"/>
        </w:rPr>
        <w:t>www.dtcc.com</w:t>
      </w:r>
      <w:r>
        <w:rPr>
          <w:color w:val="000000"/>
        </w:rPr>
        <w:t> </w:t>
      </w:r>
      <w:r>
        <w:rPr>
          <w:rFonts w:ascii="Times New Roman;serif" w:hAnsi="Times New Roman;serif"/>
          <w:b w:val="false"/>
          <w:color w:val="000000"/>
          <w:sz w:val="20"/>
        </w:rPr>
        <w:t>and</w:t>
      </w:r>
      <w:r>
        <w:rPr>
          <w:color w:val="000000"/>
        </w:rPr>
        <w:t> </w:t>
      </w:r>
      <w:r>
        <w:rPr>
          <w:rFonts w:ascii="Times New Roman;serif" w:hAnsi="Times New Roman;serif"/>
          <w:b w:val="false"/>
          <w:i/>
          <w:color w:val="000000"/>
          <w:sz w:val="20"/>
        </w:rPr>
        <w:t>www.dtc.org.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the Notes under the DTC system must be made by or through Direct Participants, which will receive a credit for the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representing their ownership interests in the Notes, except in the event that use of the book-entry system for the Notes is discontinued.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notices shall be sent to DTC. If less than all of the Notes within an issue are being redeemed, DTC’s practice is to determine by lot the amount of the interest of each Direct Participant in such issue to be redeemed.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Similar to DTC, 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with respect to notes held beneficially through Euroclear or Clearstream will be credited to the cash accounts of participants in Euroclear or Clearstream, as the case may be, in accordance with their respective procedures, to the extent received by the common depositary for Euroclear or Clearstream.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section concerning DTC, Euroclear and Clearstream has been obtained from sources that we believe to be reliable, but neither we nor the trustee or any of the underwriters take any responsibility for the accuracy thereof.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Global Clearance and Settlement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Interests in the Notes will trade in DTC’s Same Day Funds Settlement System, and any permitted secondary market trading activity in such Notes will, therefore, be required by DTC to be settled in immediately available funds. Secondary market trading between Clearstream participants and Euroclear participants will occur in the ordinary way in accordance with the applicable rules and operating procedures of Clearstream and Euroclear and will be settled using the procedures applicable to conventional Eurobonds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Cross-market transfers between persons holding directly or indirectly through DTC on the one hand, and directly or indirectly through Clearstream or Euroclear participants, on the other, will be effected within DTC in accordance with DTC’s rules on behalf of the relevant European international clearing system by its U.S. depository; however, such cross-market transactions will require delivery of instructions to the relevant European international clearing system by the participant in such system in accordance with its rules and procedures and within its established deadlines. The relevant European international clearing system will, if the transaction meets its settlement requirements, deliver instructions to its U.S. depository to take action to effect final settlement on its behalf by delivering or receiving notes in DTC, and making or receiving payment in accordance with normal procedures for same-day funds settlement applicable to DTC. Clearstream participants and Euroclear participants may not deliver instructions directly to their respective U.S. depositories. Because of time-zone differences, credits of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Euroclear participants or Clearstream participants on that business day. Cash received in Clearstream or Euroclear as a result of sales of notes by or through a Clearstream participant or a Euroclear participant to a DTC participant will be received with value on the business day of settlement in DTC but will be available in the relevant Clearstream or Euroclear cash account only as of the business day following DTC settlement in DTC. Although DTC, Clearstream and Euroclear have agreed to the foregoing procedures in order to facilitate transfers of securities among participants of DTC, Clearstream and Euroclear, they are under no obligation to perform or continue to perform such procedures and they may discontinue the procedures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U.S. FEDERAL INCOME TAX CONSEQUENCES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summary describes certain U.S. federal income tax consequences applicable to an investment in the Notes. This summary does not purport to be a complete description of the income tax considerations applicable to such an investment. The summary is based upon the Code, U.S. Treasury regulations, and administrative and judicial interpretations, each as of the date of this prospectus supplement and all of which are subject to change, potentially with retroactive effect, or to different interpretations. We cannot assure you that the IRS will not challenge one or more of the tax consequences described in this summary, and we have not obtained, nor do we intend to obtain, any ruling from the IRS or opinion of counsel with respect to the tax consequences of an investment in the Notes. Investors should consult their own tax advisors with respect to tax considerations that pertain to their investment in the Notes. </w:t>
      </w:r>
    </w:p>
    <w:p>
      <w:pPr>
        <w:pStyle w:val="TextBody"/>
        <w:bidi w:val="0"/>
        <w:spacing w:lineRule="auto" w:line="288" w:before="240" w:after="283"/>
        <w:jc w:val="both"/>
        <w:rPr/>
      </w:pPr>
      <w:r>
        <w:rPr>
          <w:rFonts w:ascii="Times New Roman;serif" w:hAnsi="Times New Roman;serif"/>
          <w:b w:val="false"/>
          <w:color w:val="000000"/>
          <w:sz w:val="20"/>
        </w:rPr>
        <w:t>This summary discusses only Notes held as capital assets within the meaning of the Code (generally, property held for investment purposes) and does not purport to address persons in special tax situations, such as banks and other financial institutions, insurance companies, controlled foreign corporations, passive foreign investment companies, real estate investment trusts and regulated investment companies (and shareholders of such corporations), dealers in securities or currencies, traders in securities, certain former citizens or long-term residents of the United States, persons holding the Notes as a position in a “straddle,” “hedge,” “constructive sale transaction,” “conversion transaction,” “wash sale” or other integrated transaction for U.S. federal income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personal holding companies, corporations that accumulate earnings to avoid U.S. federal income tax, persons deemed to sell the Notes under the constructive sale provisions of the Code, or U.S. holders (as defined below) whose functional currency (as defined in the Code) is not the U.S. dollar. It also does not address beneficial owners of the Notes other than original purchasers of the Notes who acquire the Notes in this offering for cash at a price equal to their issue price (</w:t>
      </w:r>
      <w:r>
        <w:rPr>
          <w:rFonts w:ascii="Times New Roman;serif" w:hAnsi="Times New Roman;serif"/>
          <w:b w:val="false"/>
          <w:i/>
          <w:color w:val="000000"/>
          <w:sz w:val="20"/>
        </w:rPr>
        <w:t>i</w:t>
      </w:r>
      <w:r>
        <w:rPr>
          <w:rFonts w:ascii="Times New Roman;serif" w:hAnsi="Times New Roman;serif"/>
          <w:b w:val="false"/>
          <w:color w:val="000000"/>
          <w:sz w:val="20"/>
        </w:rPr>
        <w:t>.</w:t>
      </w:r>
      <w:r>
        <w:rPr>
          <w:rFonts w:ascii="Times New Roman;serif" w:hAnsi="Times New Roman;serif"/>
          <w:b w:val="false"/>
          <w:i/>
          <w:color w:val="000000"/>
          <w:sz w:val="20"/>
        </w:rPr>
        <w:t>e</w:t>
      </w:r>
      <w:r>
        <w:rPr>
          <w:rFonts w:ascii="Times New Roman;serif" w:hAnsi="Times New Roman;serif"/>
          <w:b w:val="false"/>
          <w:color w:val="000000"/>
          <w:sz w:val="20"/>
        </w:rPr>
        <w:t xml:space="preserve">., the first price at which a substantial amount of the Notes is sold for money to investors (other than to bond houses, brokers, or similar persons or organizations acting in the capacity of underwriters, placements agents or wholesalers)). This discussion also does not address the U.S. federal income tax consequences to beneficial owners of the Notes subject to the special tax accounting rules under Section 451(b) of the Code. In addition, this summary only addresses U.S. federal income tax consequences, and does not address other U.S. federal tax consequences, including, for example, estate or gift tax consequences. This summary also does not address any U.S. state or local or Non-U.S. tax consequences. Investors considering purchasing the Notes should consult their own tax advisors concerning the application of the U.S. federal income tax laws to their individual circumstances, as well as any consequences to such investors relating to purchasing, owning and disposing of the Notes under the laws of any state, local, foreign or other taxing jurisdiction.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Taxation of U.S. Holders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discussion, the term “U.S. holder” means a beneficial owner of a Note that is, for U.S. federal income tax purposes: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corporation (or other entity treated as a corporation) created or organized in or under the laws of the United States, any state thereof, or the District of Columbia;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trust (i) the administration of which is subject to the primary supervision of a U.S. court and that has one or more “United States persons” (within the meaning of the Code) that have the authority to control all substantial decisions of the trust or (ii) that has made a valid election under applicable U.S. Treasury regulations to be treated as a “United States person” (within the meaning of the Code);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 estate the income of which is subject to U.S. federal income taxation regardless of its source.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Payments of Interest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assumes that the Notes will be issued with no original issue discount or a de minimis amount of original issue discount for U.S. federal income tax purposes. Payments or accruals of interest on a Note generally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taxable to a U.S. holder as ordinary interest income at the time they are received (actually or constructively) or accrued, in accordance with the U.S. holder’s regular method of tax accounting.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Sale, Exchange, Redemption, Retirement or Other Taxable Disposition of a Note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Upon the sale, exchange, redemption, retirement or other taxable disposition of a Note, a U.S. holder generally will recognize capital gain or loss equal to the difference, if any, between the amount realized on the sale, exchange, redemption, retirement or other taxable disposition (excluding amounts representing accrued and unpaid interest, which are treated as ordinary interest income to the extent not previously included in income) and the U.S. holder’s adjusted tax basis in the Note. A U.S. holder’s adjusted tax basis in a Note generally will equal the U.S. holder’s initial investment in the Note. Any gain or loss generally will be long-term capital gain or loss if the Note was held for more than one year at the time of such disposition. Otherwise, such gain or loss will be short-term capital gain or loss. Long-term capital gains recognized by individuals and certain other non-corporate U.S. holders generally are eligible for reduced rates of taxation. The deductibility of capital losses may be subject to limitations under the Code.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Additional Tax on Net Investment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 additional surtax of 3.8% is imposed on certain “net investment income” (or “undistributed net investment income,” in the case of certain U.S. holders that are estates and trusts) received by certain U.S. holders with adjusted gross income above certain threshold amounts. “Net investment income” generally includes interest payments on, and gain recognized from the sale, exchange, redemption, retirement or other taxable disposition of, the Notes, less certain deductions. U.S. holders should consult their own tax advisors regarding the effect, if any, of this surtax on their ownership and disposition of the Notes.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Backup Withholding and Information Reporting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U.S. holder may be subject to information reporting and backup withholding when such U.S. holder receives interest payments on the Notes held or upon the proceeds received upon the sale or other disposition of such Notes (including a redemption or retirement of the Notes). Certain U.S. holders generally are not subject to information reporting or backup withholding. A U.S. holder will be subject to backup withholding if such U.S. holder is not otherwise exempt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U.S. holder fails to furnish the U.S. holder’s taxpayer identification number (“TIN”), which, for an individual, ordinarily is his or her social security number;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IRS notifies the payor that such U.S. holder furnished an incorrect TIN;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notified by the IRS that the U.S. holder has failed properly to report payments of interest or dividends;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U.S. holder fails to certify, under penalties of perjury, on an IRS Form W-9 (Request for Taxpayer Identification Number and Certification) or a suitable substitute form (or other applicable certificate), that the U.S. holder has furnished a correct TIN and that the IRS has not notified the U.S. holder that the U.S. holder is subject to backup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holders should consult their tax advisors regarding their qualification for an exemption from backup withholding and the procedures for obtaining such an exemption, if applicable. Backup withholding is not an additional tax, and taxpayers may use amounts withheld as a credit against their U.S. federal income tax liability or may claim a refund if they timely provide certain information to the IRS.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Taxation of Non-U.S. Holders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certain U.S. federal income tax consequences that will apply to you if you are a “Non-U.S. holder” of a Note. A “Non-U.S. holder” is a beneficial owner of a Note who is neither a U.S. holder nor a partnership for U.S. federal income tax purposes. Special rules may apply to Non-U.S. holders that are subject to special treatment under the Code, including controlled foreign corporations, passive foreign investment companies, certain former citizens and long-term residents of the United States, and foreign persons eligible for benefits under an applicable income tax treaty with the U.S. Such Non-U.S. holders should consult their tax advisors to determine the U.S. federal, state, local and other tax consequences that may be relevant to them including any reporting requirements.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on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stated interest paid or accrued to a Non-U.S. holder that is not effectively connected with the Non-U.S. holder’s conduct of a trade or business in the United States (a “U.S. trade or business”) is subject to U.S. withholding tax imposed at a rate of 30% (or, if applicable, a reduced rate pursuant to an applicable income tax treaty). Nevertheless and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discussion below concerning backup withholding and FATCA (as defined below), interest paid or accrued on a Note to a Non-U.S. holder that is not effectively connected with the Non-U.S. holder’s conduct of a U.S. trade or business generally will not be subject to U.S. federal withholding tax provided that: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Non-U.S. holder does not directly, indirectly or constructively own 10% or more of the total combined voting power of all classes of our voting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Non-U.S. holder is not a controlled foreign corporation that is related to us through direct, indirect or constructive stock ownership;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Non-U.S. holder is not a bank that received such Note on an extension of credit made pursuant to a loan agreement entered into in the ordinary course of its trade or business;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one of the following applies: (1) such Non-U.S. holder certifies in a statement (generally, a properly executed IRS Form W-8BEN or IRS Form W-8BEN-E, as applicable, or a suitable substitute) provided to us or the paying agent, under penalties of perjury, prior to payment, that it is the beneficial owner of the Notes and not a “United States person” within the meaning of the Code and provides its name and address, (2) a securities clearing organization, bank or other financial institution that holds customers’ securities in the ordinary course of its trade or business and holds the Note on behalf of such Non-U.S. holder certifies to us or the paying agent, prior to the payment of interest, under penalties of perjury that it, or the financial institution between it and the Non-U.S. holder, has received from the Non-U.S. holder a statement, under penalties of perjury, that such Non-U.S. holder is the beneficial owner of the Notes and is not a United States person and provides us or the paying agent with a copy of such statement or (3) such Non-U.S. holder holds its Note directly through a “qualified intermediary” and certain conditions are satisfied. Special certification rules apply to Non-U.S. holders that are pass-through entities rather than corporations or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if the above conditions are not met, a Non-U.S. holder generally will be entitled to a reduction in or an exemption from withholding tax on interest if the Non-U.S. holder provides us or our paying agent, prior to payment, with a properly executed IRS Form W-8BEN or IRS Form W-8BEN-E, as applicable, or a suitable substitute form (or other applicable certificate) claiming an exemption from or reduction of the withholding tax under the benefit of an income tax treaty between the United States and the Non-U.S. holder’s country of residence. A Non-U.S. holder is required to inform the recipient of any change in the information on such statement within 30 days of such change. Special certification rules apply to Non-U.S. holders that are pass-through entities rather than corporations or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generally will also be exempt from withholding tax on interest if such amount is effectively connected with such Non-U.S. holder’s conduct of a United States trade or business and the Non-U.S. holder provides us with appropriate certification (as discussed below under the caption “— Income or Gain Effectively Connected with a U.S. Trade or Business”).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Disposition of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discussions of backup withholding and FATCA withholding below, a Non-U.S. holder generally will not be subject to U.S. federal income tax on any gain realized on the sale, redemption, exchange, retirement, or other taxable disposition of a Note unless: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gain is effectively connected with the conduct by such Non-U.S. holder of a U.S. trade or business (and, if required by an applicable income tax treaty, such Non-U.S. holder maintains a permanent establishment in the United States to which such gain is attributable);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such Non-U.S. holder is a non-resident alien individual who has been present in the United States for 183 days or more in the taxable year of disposition and certain other requirements are met and the Non-U.S. holder is not eligible for relief under an applicable income tax treaty;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portion of the gain is attributable to accrued but unpaid interest, in which case such amounts would be subject to tax as described above in “— Interest on the Notes.”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 Non-U.S. holder’s gain is described in the first bullet point above, such Non-U.S. holder generally will be subject to U.S. federal income tax in the manner described under “— Income or Gain Effectively Connected with a U.S. Trade or Business” below. A Non-U.S. holder described in the second bullet point above will be subject to tax at a rate of 30% (or, if applicable, a reduced rate pursuant to an applicable income tax treaty) U.S. federal income tax on the gain derived from the sale or other disposition, which may be offset by certain U.S. source capital losses.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other exceptions may be applicable, and Non-U.S. holders should consult their own tax advisors with regard to whether taxes will be imposed on capital gain in their individual circumstances.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or Gain Effectively Connected with a U.S. Trade or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interest on the Notes or gain from the sale, redemption, exchange, retirement, or other taxable disposition of the Notes is effectively connected with a Non-U.S. holder’s conduct of a U.S. trade or business (and, if required by an applicable income tax treaty, such Non-U.S. holder maintains a permanent establishment in the United States to which such interest or gain is attributable), then the interest income or gain will be subject to U.S. federal income tax at regular income tax rates generally in the same manner as if such Non-U.S. holder were a U.S. holder (but without regard to the additional tax on net investment income described above). Such effectively connected interest income will not be subject to U.S. federal withholding tax if a Non-U.S. holder satisfies certain certification requirements by providing to the applicable withholding agent a properly executed IRS Form W-8ECI (or successor form). In addition, if a Non-U.S. holder is a corporation, that portion of such Non-U.S. holder’s earnings and profits that are effectively connected with such Non-U.S. holder’s conduct of a U.S. trade or business may also be subject to a “branch profits tax” at a 30% rate (or, if applicable, a reduced rate pursuant to an applicable income tax treaty). For this purpose, interest received on a Note and gain recognized on the disposition of a Note will be included in earnings and profits if the interest or gain is effectively connected with the conduct by such Non-U.S. holder of a U.S. trade or business.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Backup Withholding and Information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 of interest that we pay to any documented Non-U.S. holder on the Notes will be reported to the Non-U.S. holder and to the IRS annually on an IRS Form 1042-S, regardless of whether any tax was actually withheld. Copies of these information returns may also be made available under the provisions of a specific income tax treaty or agreement to the tax authorities of the country in which the Non-U.S. holder resides. However, a Non-U.S. holder generally will not be subject to backup withholding and certain other information reporting with respect to payments that we make to the Non-U.S. holder, provided that we do not have actual knowledge or reason to know that such Non-U.S. holder is a “United States person,” within the meaning of the Code, and the Non-U.S. holder has given us the statement described above under “— Interest on the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 Non-U.S. holder sells or exchanges a Note through a United States broker or the United States office of a foreign broker, the proceeds from such sale or exchange will be subject to information reporting and backup withholding unless the Non-U.S. holder provides a withholding certificate or other appropriate documentary evidence establishing that such holder is not a U.S. holder to the broker and such broker does not have actual knowledge or reason to know that such holder is a U.S. holder, or the Non-U.S. holder is an exempt recipient eligible for an exemption from information reporting and backup withholding. If a Non-U.S. holder sells or exchanges a Note through the foreign office of a broker who is a United States person or has certain enumerated connections with the United States, the proceeds from such sale or exchange will be subject to information reporting unless the Non-U.S. holder provides to such broker a withholding certificate or other documentary evidence establishing that such holder is not a U.S. holder and such broker does not have actual knowledge or reason to know that such evidence is false, or the Non-U.S. holder is an exempt recipient eligible for an exemption from information reporting. In circumstances where information reporting by the foreign office of such a broker is required, backup withholding will be required only if the broker has actual knowledge that the holder is a U.S. 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generally will be entitled to credit any amounts withheld under the backup withholding rules against the Non-U.S. holder’s U.S. federal income tax liability or may claim a refund provided that the required information is furnished to the IRS in a timely manner.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Non-U.S. holders are urged to consult their tax advisors regarding the application of information reporting and backup withholding in their particular situations, the availability of an exemption therefrom, and the procedures for obtaining such an exemption, if available.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FATCA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(including interest on a Note) and dividends.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that is a specified U.S. person and certain financial information associated with the holder’s account. In addition, subject to certain exceptions, this legislation also imposes a 30% withholding on certain payments to certain foreign entities that are not FFIs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intermediary through which it holds the Notes, a beneficial owner could be subject to this 30% withholding tax with respect to interest paid on the Notes. Under certain circumstances, a beneficial owner might be eligible for a refund or credit of such taxes. We will not pay any additional amounts to holders of the Notes in respect of any amounts withheld.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and beneficial owners should consult their own tax advisors regarding FATCA and whether it may be relevant to their acquisition, ownership and disposition of the Notes.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You should consult your own tax advisor with respect to the particular tax consequences to you of an investment in the Notes, including the possible effect of any pending legislation or proposed regulations.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Deutsche Bank Securities Inc., Huntington Securities, Inc., ING Financial Markets LLC, Morgan Stanley &amp; Co. LLC, RBC Capital Markets, LLC and Wells Fargo Securities, LLC are acting as representatives of the underwriters for this offering (the “Representatives”). Subject to the terms and conditions set forth in an underwriting agreement dated September , 2026 between us and the underwriters, we have agreed to sell to the underwriters, and the underwriters have severally agreed to purchase from us, the aggregate principal amount of Notes indicated in the table below: </w:t>
      </w:r>
    </w:p>
    <w:tbl>
      <w:tblPr>
        <w:tblW w:w="4946" w:type="dxa"/>
        <w:jc w:val="left"/>
        <w:tblInd w:w="0" w:type="dxa"/>
        <w:tblLayout w:type="fixed"/>
        <w:tblCellMar>
          <w:top w:w="28" w:type="dxa"/>
          <w:left w:w="28" w:type="dxa"/>
          <w:bottom w:w="28" w:type="dxa"/>
          <w:right w:w="28" w:type="dxa"/>
        </w:tblCellMar>
      </w:tblPr>
      <w:tblGrid>
        <w:gridCol w:w="917"/>
        <w:gridCol w:w="807"/>
        <w:gridCol w:w="811"/>
        <w:gridCol w:w="109"/>
        <w:gridCol w:w="109"/>
        <w:gridCol w:w="109"/>
        <w:gridCol w:w="609"/>
        <w:gridCol w:w="609"/>
        <w:gridCol w:w="866"/>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Underwriters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of Notes</w:t>
            </w:r>
          </w:p>
        </w:tc>
      </w:tr>
      <w:tr>
        <w:trPr/>
        <w:tc>
          <w:tcPr>
            <w:tcW w:w="2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Deutsche Bank Securities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Huntington Securities,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ING Financial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RBC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Securities,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underwriting agreement provides that the obligations of the several underwriters to pay for and accept delivery of the Notes are subject to certain conditions precedent such as the receipt by the underwriters of officers’ certificates and legal opinions. The underwriting agreement provides that the underwriters will purchase all of the Notes if any of the Notes are purchased. If an underwriter defaults, the underwriting agreement provides that, under the circumstances, the purchase commitments of the non-defaulting underwriters may be increased or the underwriting agreement may be terminated. We have agreed to indemnify the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underwriters are offering the Notes, subject to their acceptance of the Notes from us and subject to prior sale. The underwriters reserve the right to withdraw, cancel or modify offers to the public and to reject orders in whole or in part.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Commissions and Discounts</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An underwriting discount of  % per Note will be paid by us.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total underwriting discount that we are to pay to the underwriters in connection with this offering.</w:t>
      </w:r>
    </w:p>
    <w:tbl>
      <w:tblPr>
        <w:tblW w:w="4810" w:type="dxa"/>
        <w:jc w:val="left"/>
        <w:tblInd w:w="0" w:type="dxa"/>
        <w:tblLayout w:type="fixed"/>
        <w:tblCellMar>
          <w:top w:w="28" w:type="dxa"/>
          <w:left w:w="28" w:type="dxa"/>
          <w:bottom w:w="28" w:type="dxa"/>
          <w:right w:w="28" w:type="dxa"/>
        </w:tblCellMar>
      </w:tblPr>
      <w:tblGrid>
        <w:gridCol w:w="976"/>
        <w:gridCol w:w="860"/>
        <w:gridCol w:w="864"/>
        <w:gridCol w:w="109"/>
        <w:gridCol w:w="109"/>
        <w:gridCol w:w="109"/>
        <w:gridCol w:w="140"/>
        <w:gridCol w:w="140"/>
        <w:gridCol w:w="140"/>
        <w:gridCol w:w="140"/>
        <w:gridCol w:w="140"/>
        <w:gridCol w:w="140"/>
        <w:gridCol w:w="109"/>
        <w:gridCol w:w="109"/>
        <w:gridCol w:w="109"/>
        <w:gridCol w:w="180"/>
        <w:gridCol w:w="180"/>
        <w:gridCol w:w="256"/>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200" w:before="53" w:after="30"/>
              <w:jc w:val="center"/>
              <w:rPr>
                <w:color w:val="000000"/>
              </w:rPr>
            </w:pPr>
            <w:r>
              <w:rPr>
                <w:color w:val="000000"/>
              </w:rPr>
              <w:t> </w:t>
            </w:r>
          </w:p>
        </w:tc>
        <w:tc>
          <w:tcPr>
            <w:tcW w:w="8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Note</w:t>
            </w:r>
          </w:p>
        </w:tc>
        <w:tc>
          <w:tcPr>
            <w:tcW w:w="327" w:type="dxa"/>
            <w:gridSpan w:val="3"/>
            <w:tcBorders/>
            <w:tcMar>
              <w:top w:w="0" w:type="dxa"/>
              <w:left w:w="0" w:type="dxa"/>
              <w:bottom w:w="0" w:type="dxa"/>
              <w:right w:w="0" w:type="dxa"/>
            </w:tcMar>
            <w:vAlign w:val="center"/>
          </w:tcPr>
          <w:p>
            <w:pPr>
              <w:pStyle w:val="TableContents"/>
              <w:bidi w:val="0"/>
              <w:spacing w:lineRule="atLeast" w:line="200" w:before="53" w:after="30"/>
              <w:jc w:val="center"/>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200" w:before="33" w:after="30"/>
              <w:jc w:val="left"/>
              <w:rPr>
                <w:color w:val="000000"/>
              </w:rPr>
            </w:pPr>
            <w:r>
              <w:rPr>
                <w:color w:val="000000"/>
              </w:rPr>
              <w:t> </w:t>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200" w:before="33" w:after="30"/>
              <w:jc w:val="left"/>
              <w:rPr>
                <w:color w:val="000000"/>
              </w:rPr>
            </w:pPr>
            <w:r>
              <w:rPr>
                <w:color w:val="000000"/>
              </w:rPr>
              <w:t> </w:t>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2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200" w:before="33" w:after="30"/>
              <w:jc w:val="left"/>
              <w:rPr>
                <w:color w:val="000000"/>
              </w:rPr>
            </w:pPr>
            <w:r>
              <w:rPr>
                <w:color w:val="000000"/>
              </w:rPr>
              <w:t> </w:t>
            </w:r>
          </w:p>
        </w:tc>
        <w:tc>
          <w:tcPr>
            <w:tcW w:w="6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discount</w:t>
            </w:r>
          </w:p>
        </w:tc>
        <w:tc>
          <w:tcPr>
            <w:tcW w:w="327"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420"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420" w:type="dxa"/>
            <w:gridSpan w:val="3"/>
            <w:tcBorders/>
            <w:tcMar>
              <w:top w:w="0" w:type="dxa"/>
              <w:left w:w="0" w:type="dxa"/>
              <w:bottom w:w="0" w:type="dxa"/>
              <w:right w:w="0" w:type="dxa"/>
            </w:tcMar>
            <w:vAlign w:val="center"/>
          </w:tcPr>
          <w:p>
            <w:pPr>
              <w:pStyle w:val="TableContents"/>
              <w:bidi w:val="0"/>
              <w:spacing w:lineRule="atLeast" w:line="2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420" w:type="dxa"/>
            <w:gridSpan w:val="3"/>
            <w:tcBorders/>
            <w:shd w:fill="CCEEFF" w:val="clear"/>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420" w:type="dxa"/>
            <w:gridSpan w:val="3"/>
            <w:tcBorders/>
            <w:shd w:fill="CCEEFF" w:val="clear"/>
            <w:tcMar>
              <w:top w:w="0" w:type="dxa"/>
              <w:left w:w="0" w:type="dxa"/>
              <w:bottom w:w="0" w:type="dxa"/>
              <w:right w:w="0" w:type="dxa"/>
            </w:tcMar>
            <w:vAlign w:val="center"/>
          </w:tcPr>
          <w:p>
            <w:pPr>
              <w:pStyle w:val="TableContents"/>
              <w:bidi w:val="0"/>
              <w:spacing w:lineRule="atLeast" w:line="2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underwriters propose to offer some of the Notes to the public at the public offering price set forth on the cover page of this prospectus supplement and some of the Notes to certain other broker-dealers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expenses payable by us in connection with this offering, not including the underwriting discount, will be approximately $ million.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are a new issue of securities with no established trading market. We do not intend to list the Notes on any securities exchange or take any action to quote the Notes on any automated dealer quotation system.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advised by the underwriters that they presently intend to make a market in the Notes after completion of the offering as permitted by applicable laws and regulations. The underwriters are not obligated, however, to make a market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 Sales of Similar Securities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exceptions, we have agreed for a period of 30 days after the date of this prospectus supplement to not sell, offer to sell, contract or agree to sell, hypothecate, pledge, grant any option to purchase or otherwise dispose of or agree to dispose of, directly or indirectly, any debt securities issued or guaranteed by us that are substantially similar to the Notes or any securities convertible into or exchangeable or exercisable for debt securities issued or guaranteed by us that are substantially similar to the Notes, or file or cause to be declared effective any registration statement under the Securities Act with respect to any of the foregoing, or otherwise publicly announce an intention to effect any transaction relating to any of the foregoing, without first obtaining the written consent of the Representatives, which may not be unreasonably withheld. This consent may be given at any time without public notice.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Stabilization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the underwriters may purchase and sell Notes in the open market. These transactions may include short sales, purchases to cover positions created by short sales and stabilizing transactions. Short sales involve the sale by the underwriters of a greater number of Notes than required to be purchased in this offering.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activities may cause the price of the Notes to be higher than the price that otherwise would exist in the open market in the absence of such transactions. These transactions may be discontinued at any time without any notice relating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we nor any of the underwriters make any representation or prediction as to the direction or magnitude of any effect that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transactions described above may have on the price of the Notes. In addition, neither we nor any of the underwriters make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representation that the underwriters will engage in these transactions or that these transactions, once commenced, will not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 discontinued without notice.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Electronic Distribution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prospectus in electronic format may be made available by e-mail or on the web sites or through online services maintained by one or more of the underwriters and/or selling group members participating in this offering, or by their respective affiliates. In those cases, prospective investors may view offering terms online and, depending upon the particular underwriter or selling group member, prospective investors may be allowed to place orders online. The underwriters may agree with us to allocate a limited principal amount of the Notes for sale to online brokerage account holders. Any such allocation for online distributions will be made by the underwriters on the same basis as other allocations. Other than the prospectus in electronic format, information on the underwriters’ web sites and any information contained in any other web site maintained by any of the underwriters or selling group members is not part of this prospectus supplement or the registration statement of which this prospectus supplement is a part, has not been approved and/or endorsed by us or the underwriters and should not be relied on by investors.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Alternative Settlement Cycle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delivery of the Notes will be made against payment therefor on or about September , 2026, which will be the third business day following the date of pricing of the Notes (such settlement cycle being herein referred to as “T+3”). Under Rule 15c6-1 under the Exchange Act, trades in the secondary market generally are required to settle in one business day, unless the parties to any such trade expressly agree otherwise. Accordingly, purchasers who wish to trade the Notes on any date prior to the first business day before delivery thereof will be required, by virtue of the fact that the Notes initially will settle T+3, to specify an alternate settlement cycle at the time of any such trade to prevent a failed settlement. Purchasers of the Notes who wish to trade the Notes prior to their date of delivery hereunder should consult their own advisors.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135"/>
        <w:jc w:val="both"/>
        <w:rPr>
          <w:rFonts w:ascii="Times New Roman;serif" w:hAnsi="Times New Roman;serif"/>
          <w:b/>
          <w:color w:val="000000"/>
          <w:sz w:val="20"/>
        </w:rPr>
      </w:pPr>
      <w:r>
        <w:rPr>
          <w:rFonts w:ascii="Times New Roman;serif" w:hAnsi="Times New Roman;serif"/>
          <w:b/>
          <w:color w:val="000000"/>
          <w:sz w:val="20"/>
        </w:rPr>
        <w:t>Conflicts of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underwriters and/or their respective affiliates from time to time provide and may in the future provide investment banking, commercial banking and financial advisory services to us, for which they have received and may receive customary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underwriters and/or their respective affiliates may from time to time refer investment banking clients to us as potential portfolio investments. If we invest in those clients, we may indirectly utilize net proceeds from this offering to fund such investments, and the referring underwriter or its affiliate may receive placement fees from its client in connection with such financing, which placement fees may be paid out of the amount funded by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underwriters or their respective affiliates may also trade in our securities, securities of our portfolio companies or other financial instruments related thereto for their own respective accounts or for the account of others and may extend loans or financing directly or through derivative transactions to us, any of our portfolio companies or our affiliates.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After the date of this prospectus supplement, the underwriters and their respective affiliates may from time to time obtain information regarding specific portfolio companies or us that may not be available to the general public. Any such information is obtained by the underwriters and their respective affiliates in the ordinary course of their respective business and not in connection with the offering of the Notes. In addition, after the offering period for the sale of the Notes, the underwriters or their respective affiliates may develop analyses or opinions related to us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us to our noteholders or any other persons.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the underwriters in this offering, or affiliates of such underwriters, act as lenders under the Corporate Credit Facility. As described above, we intend to use the net proceeds from this offering to repay a portion of the outstanding indebtedness under the Corporate Credit Facility. Certain of the net proceeds from the sale of the Notes, not including underwriting compensation, may be paid to such underwriters, or such affiliates of the underwriters, in connection with the repayment of debt owed under the Corporate Credit Facility or other fees relating thereto. As a result, such underwriters, or such affiliates of the underwriters, may receive more than 5% of the net proceeds of this offering, not including underwriting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business address of Deutsche Bank Securities Inc. is 1 Columbus Circle, New York, New York 10019. The principal business address of Huntington Securities, Inc. is 41 S. High Street, 5th Floor, Columbus, Ohio 43287. The principal business address of ING Financial Markets LLC is 1133 Avenue of the Americas, New York, New York 10036. The principal business address of Morgan Stanley &amp; Co. LLC is 1585 Broadway, New York, New York 10036. The principal business address of RBC Capital Markets, LLC is Brookfield Place, 200 Vesey Street, 8th Floor, New York, New York 10281. The principal business address of Wells Fargo Securities, LLC is 550 South Tryon Street, Charlotte, North Carolina 28202.</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Other Jurisdictions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Other than in the United States, no action has been taken by us or the underwriters that would permit a public offering of the Notes offered by this prospectus supplement and the accompanying prospectus in any jurisdiction where action for that purpose is required. </w:t>
      </w:r>
      <w:r>
        <w:rPr>
          <w:rFonts w:ascii="Times New Roman;serif" w:hAnsi="Times New Roman;serif"/>
          <w:b w:val="false"/>
          <w:color w:val="000000"/>
          <w:sz w:val="20"/>
        </w:rPr>
        <w:t xml:space="preserve">The Notes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 relating to the offering and the distribution of this prospectus supplement and the accompanying prospectus. This prospectus supplement and the accompanying prospectus do not constitute an offer to sell or a solicitation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offer to buy the Notes offered by this prospectus supplement and the accompanying prospectus in any jurisdiction in which such an offer or a solicitation is unlawful.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Canada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Canadian investors are advised that this prospectus has been prepared in reliance on section 3A.3 of National Instrument 33-105 Underwriting Conflicts, or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Resale Restrictions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Representations of Purchasers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Taxation and Eligibility for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Rights of Action for Damages or Rescission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legislation in certain of the Canadian jurisdictions provides certain purchasers of securities pursuant to a prospectus (such as this prospectus),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prospectus, or other offering document that constitutes a prospectus,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Language of Documents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Upon receipt of this prospectus,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serif" w:hAnsi="Times New Roman;serif"/>
          <w:b w:val="false"/>
          <w:i/>
          <w:color w:val="000000"/>
          <w:sz w:val="20"/>
        </w:rPr>
        <w:t xml:space="preserve">Par la réception de ce document, chaque investisseur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canadien confirme par les présentes qu’il a expressément exigé que tous les</w:t>
      </w:r>
      <w:r>
        <w:rPr>
          <w:color w:val="000000"/>
        </w:rPr>
        <w:t xml:space="preserve"> </w:t>
      </w:r>
      <w:r>
        <w:rPr>
          <w:rFonts w:ascii="Times New Roman;serif" w:hAnsi="Times New Roman;serif"/>
          <w:b w:val="false"/>
          <w:i/>
          <w:color w:val="000000"/>
          <w:sz w:val="20"/>
        </w:rPr>
        <w:t>documents faisant foi ou se rapportant de quelque manière que ce soit à la vente des valeurs mobilières décrites aux</w:t>
      </w:r>
      <w:r>
        <w:rPr>
          <w:color w:val="000000"/>
        </w:rPr>
        <w:t xml:space="preserve"> </w:t>
      </w:r>
      <w:r>
        <w:rPr>
          <w:rFonts w:ascii="Times New Roman;serif" w:hAnsi="Times New Roman;serif"/>
          <w:b w:val="false"/>
          <w:i/>
          <w:color w:val="000000"/>
          <w:sz w:val="20"/>
        </w:rPr>
        <w:t>présentes (incluant, pour plus de certitude, toute confirmation d’achat ou tout avis) soient rédigés en anglaise</w:t>
      </w:r>
      <w:r>
        <w:rPr>
          <w:color w:val="000000"/>
        </w:rPr>
        <w:t xml:space="preserve"> </w:t>
      </w:r>
      <w:r>
        <w:rPr>
          <w:rFonts w:ascii="Times New Roman;serif" w:hAnsi="Times New Roman;serif"/>
          <w:b w:val="false"/>
          <w:i/>
          <w:color w:val="000000"/>
          <w:sz w:val="20"/>
        </w:rPr>
        <w:t>seulement.</w:t>
      </w:r>
    </w:p>
    <w:p>
      <w:pPr>
        <w:pStyle w:val="TextBody"/>
        <w:bidi w:val="0"/>
        <w:spacing w:before="0" w:after="0"/>
        <w:jc w:val="left"/>
        <w:rPr/>
      </w:pPr>
      <w:r>
        <w:rPr/>
      </w:r>
    </w:p>
    <w:p>
      <w:pPr>
        <w:pStyle w:val="TextBody"/>
        <w:bidi w:val="0"/>
        <w:spacing w:lineRule="auto" w:line="223"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the European Economic Area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Notes may not be offered, sold or otherwise made available to any retail investor in the European Economic Area, or EEA. For these purposes:(a)a retail investor means a person who is one (or more) of the following:(i)a retail client as defined in point (11) of Article 4(1) of Article 4(1) of Directive 2014/65/EU (as amended or superseded, or MiFID II); or(ii)a customer within the meaning of Directive (EU) 2016/97 (as amended or superseded, the “Insurance Distribution Directive”), where that customer would not qualify as a professional client as defined in point (10) of Article 4(1) of MiFID II; or(iii)not a qualified investor as defined in Regulation (EU) 2017/1129 (as amended or superseded, the “Prospectus Regulation”), and(b)the expression “offer” includes the communication in any form and by any means of sufficient information on the terms of the offer and the Notes to be offered so as to enable an investor to decide to purchase or subscribe the Notes. 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the Notes. This prospectus supplement is not a prospectus for the purposes of the Prospectus Regulation.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the United Kingdom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are not intended to be offered, sold or otherwise made available to and should not be offered, sold or otherwise made available to any retail investor in the United Kingdom. For these purposes, a retail investor means a person who is one (or more) of: (a) a retail client as defined in point (8) of Article 2 of Commission Delegated Regulation (EU) 2017/565 as it forms part of domestic law by virtue of the European Union (Withdrawal) Act 2018 (“EUWA”); (b) 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(“UK MiFIR”); or (c) not a qualified investor as defined in Article 2 of Regulation (EU) 2017/1129 as it forms part of domestic law by virtue of the EUWA (the “UK Prospectus Regulation”). For the purposes of this provision, the expression an “offer” means the communication in any form and by any means of sufficient information on the terms of the offer and the Notes to be offered so as to enable an investor to decide to purchase or subscribe for the Notes, as defined in Article 2(d) of the UK Prospectus Regulation.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United Kingdom may be unlawful under the UK PRIIPs Regulation. This prospectus supplement has been prepared on the basis that any offer of Notes in the United Kingdom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the accompanying prospectus and any other material in relation to the Notes are only being distributed to, and are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the aforementioned materials,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 The Notes are not being offered to the public in the United Kingdom.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each underwriter has represented and agreed that: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it has only communicated or caused to be communicated and will only communicate or cause to be communicated an invitation or inducement to engage in investment activity (within the meaning of Section 21 of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Services and Markets Act 2000 (as amended, the “FSMA”)) received by it in connection with the issue or sale of the Notes in circumstances in which Section 21(1) of the FSMA does not apply to the Company; and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it has complied and will comply with all applicable provisions of the FSMA with respect to anything done by it in relation to the Notes in, from or otherwise involving the United Kingdom.</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Switzerland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Neither this prospectus supplement nor any other offering or marketing material relating to the Notes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supplement nor any other offering or marketing material relating to the Notes may be publicly distributed or otherwise made publicly available in Switzerland.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legal matters regarding the Notes offered hereby will be passed upon for us by Eversheds Sutherland (US) LLP, Washington, D.C., and certain legal matters in connection with this offering will be passed upon for the underwriters by Dechert LLP, Washington, D.C.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constitute part of a registration statement on Form N-2 that we have filed with the SEC, together with any and all amendments and related exhibits under the Securities Act. This prospectus supplement and the accompanying prospectus do not contain all of the information set forth in the registration statement, some of which is contained in exhibits to the registration statement as permitted by the rules and regulations of the SEC. For further information with respect to us and the Notes we are offering under this prospectus supplement and the accompanying prospectus, we refer you to the registration statement, including the exhibits filed as a part of the registration statement. Statements contained in this prospectus supplement and the accompanying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supplement and the accompanying prospectus relating to a contract or document filed as an exhibit is qualified in all respects by the filed exhibit.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file with or submit to the SEC annual, quarterly and current reports, proxy statements and other information meeting the informational requirements of the Exchange Act. This information is available free of charge by calling us at (214) 238-5700 or on our website at www.capitalsouthwest.com. Information contained on our website is not incorporated into this prospectus supplement or the accompanying prospectus and you should not consider such information to be part of this prospectus supplement or the accompanying prospectus. The SEC maintains an Internet site that contains reports, proxy and information statements and other information filed electronically by us with the SEC, which are available on the SEC’s website free of charge at www.sec.gov. You can request a copy of any of our SEC filings, including those incorporated by reference herein or in the accompanying prospectus, at no cost, by writing or telephoning us at the address or telephone number above.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in this prospectus supplement the documents listed below and any reports and other documents we file with the SEC pursuant to Sections 13(a), 13(c), 14 or 15(d) of the Exchange Act prior to the termination of this offering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w:t>
      </w:r>
      <w:hyperlink r:id="rId4">
        <w:r>
          <w:rPr>
            <w:rStyle w:val="InternetLink"/>
            <w:rFonts w:ascii="Times New Roman;serif" w:hAnsi="Times New Roman;serif"/>
            <w:b w:val="false"/>
            <w:color w:val="0000FF"/>
            <w:sz w:val="20"/>
            <w:u w:val="single"/>
          </w:rPr>
          <w:t>Annual Report on Form 10-K</w:t>
        </w:r>
      </w:hyperlink>
      <w:r>
        <w:rPr>
          <w:color w:val="000000"/>
        </w:rPr>
        <w:t> </w:t>
      </w:r>
      <w:r>
        <w:rPr>
          <w:rFonts w:ascii="Times New Roman;serif" w:hAnsi="Times New Roman;serif"/>
          <w:b w:val="false"/>
          <w:color w:val="000000"/>
          <w:sz w:val="20"/>
        </w:rPr>
        <w:t>for the fiscal year ended March 31, 2026, filed with the SEC on May 19,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t>
      </w:r>
      <w:hyperlink r:id="rId5">
        <w:r>
          <w:rPr>
            <w:rStyle w:val="InternetLink"/>
            <w:rFonts w:ascii="Times New Roman;serif" w:hAnsi="Times New Roman;serif"/>
            <w:b w:val="false"/>
            <w:color w:val="0000FF"/>
            <w:sz w:val="20"/>
            <w:u w:val="single"/>
          </w:rPr>
          <w:t>Quarterly Report on Form 10-Q</w:t>
        </w:r>
      </w:hyperlink>
      <w:r>
        <w:rPr>
          <w:color w:val="000000"/>
        </w:rPr>
        <w:t> </w:t>
      </w:r>
      <w:r>
        <w:rPr>
          <w:rFonts w:ascii="Times New Roman;serif" w:hAnsi="Times New Roman;serif"/>
          <w:b w:val="false"/>
          <w:color w:val="000000"/>
          <w:sz w:val="20"/>
        </w:rPr>
        <w:t>for the quarter ended June 30, 2026, filed with the SEC on August 3,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Current Reports on Form 8-K (other than information furnished rather than filed in accordance with SEC rules) filed with the SEC on </w:t>
      </w:r>
      <w:hyperlink r:id="rId6">
        <w:r>
          <w:rPr>
            <w:rStyle w:val="InternetLink"/>
            <w:rFonts w:ascii="Times New Roman;serif" w:hAnsi="Times New Roman;serif"/>
            <w:b w:val="false"/>
            <w:color w:val="0000FF"/>
            <w:sz w:val="20"/>
            <w:u w:val="single"/>
          </w:rPr>
          <w:t>April 16, 2026</w:t>
        </w:r>
      </w:hyperlink>
      <w:r>
        <w:rPr>
          <w:rFonts w:ascii="Times New Roman;serif" w:hAnsi="Times New Roman;serif"/>
          <w:b w:val="false"/>
          <w:color w:val="000000"/>
          <w:sz w:val="20"/>
        </w:rPr>
        <w:t>, </w:t>
      </w:r>
      <w:hyperlink r:id="rId7">
        <w:r>
          <w:rPr>
            <w:rStyle w:val="InternetLink"/>
            <w:rFonts w:ascii="Times New Roman;serif" w:hAnsi="Times New Roman;serif"/>
            <w:b w:val="false"/>
            <w:color w:val="0000FF"/>
            <w:sz w:val="20"/>
            <w:u w:val="single"/>
          </w:rPr>
          <w:t>May 19, 2026</w:t>
        </w:r>
      </w:hyperlink>
      <w:r>
        <w:rPr>
          <w:rFonts w:ascii="Times New Roman;serif" w:hAnsi="Times New Roman;serif"/>
          <w:b w:val="false"/>
          <w:color w:val="000000"/>
          <w:sz w:val="20"/>
        </w:rPr>
        <w:t xml:space="preserve">, </w:t>
      </w:r>
      <w:hyperlink r:id="rId8">
        <w:r>
          <w:rPr>
            <w:rStyle w:val="InternetLink"/>
          </w:rPr>
          <w:t xml:space="preserve">July </w:t>
        </w:r>
      </w:hyperlink>
      <w:hyperlink r:id="rId9">
        <w:r>
          <w:rPr>
            <w:rStyle w:val="InternetLink"/>
          </w:rPr>
          <w:t>16, 2026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July 22, 2026</w:t>
        </w:r>
      </w:hyperlink>
      <w:r>
        <w:rPr>
          <w:rFonts w:ascii="Times New Roman;serif" w:hAnsi="Times New Roman;serif"/>
          <w:b w:val="false"/>
          <w:color w:val="000000"/>
          <w:sz w:val="20"/>
        </w:rPr>
        <w:t xml:space="preserve">, </w:t>
      </w:r>
      <w:hyperlink r:id="rId11">
        <w:r>
          <w:rPr>
            <w:rStyle w:val="InternetLink"/>
          </w:rPr>
          <w:t>August 7</w:t>
        </w:r>
      </w:hyperlink>
      <w:hyperlink r:id="rId12">
        <w:r>
          <w:rPr>
            <w:rStyle w:val="InternetLink"/>
          </w:rPr>
          <w:t>, 2026</w:t>
        </w:r>
      </w:hyperlink>
      <w:r>
        <w:rPr>
          <w:rFonts w:ascii="Times New Roman;serif" w:hAnsi="Times New Roman;serif"/>
          <w:b w:val="false"/>
          <w:color w:val="000000"/>
          <w:sz w:val="20"/>
        </w:rPr>
        <w:t xml:space="preserve">, </w:t>
      </w:r>
      <w:hyperlink r:id="rId13">
        <w:r>
          <w:rPr>
            <w:rStyle w:val="InternetLink"/>
            <w:rFonts w:ascii="Times New Roman;serif" w:hAnsi="Times New Roman;serif"/>
            <w:b w:val="false"/>
            <w:color w:val="0000FF"/>
            <w:sz w:val="20"/>
            <w:u w:val="single"/>
          </w:rPr>
          <w:t>September 1, 2026</w:t>
        </w:r>
      </w:hyperlink>
      <w:r>
        <w:rPr>
          <w:rFonts w:ascii="Times New Roman;serif" w:hAnsi="Times New Roman;serif"/>
          <w:b w:val="false"/>
          <w:color w:val="000000"/>
          <w:sz w:val="20"/>
        </w:rPr>
        <w:t xml:space="preserve">, and </w:t>
      </w:r>
      <w:hyperlink r:id="rId14">
        <w:r>
          <w:rPr>
            <w:rStyle w:val="InternetLink"/>
          </w:rPr>
          <w:t>Se</w:t>
        </w:r>
      </w:hyperlink>
      <w:hyperlink r:id="rId15">
        <w:r>
          <w:rPr>
            <w:rStyle w:val="InternetLink"/>
          </w:rPr>
          <w:t>ptember 2, 2026</w:t>
        </w:r>
      </w:hyperlink>
      <w:r>
        <w:rPr>
          <w:rFonts w:ascii="Times New Roman;serif" w:hAnsi="Times New Roman;serif"/>
          <w:b w:val="false"/>
          <w:color w:val="000000"/>
          <w:sz w:val="20"/>
        </w:rPr>
        <w:t xml:space="preserve">;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w:t>
      </w:r>
      <w:hyperlink r:id="rId16">
        <w:r>
          <w:rPr>
            <w:rStyle w:val="InternetLink"/>
            <w:rFonts w:ascii="Times New Roman;serif" w:hAnsi="Times New Roman;serif"/>
            <w:b w:val="false"/>
            <w:color w:val="0000FF"/>
            <w:sz w:val="20"/>
            <w:u w:val="single"/>
          </w:rPr>
          <w:t>Definitive Proxy Statement on Schedule 14A</w:t>
        </w:r>
      </w:hyperlink>
      <w:r>
        <w:rPr>
          <w:rFonts w:ascii="Times New Roman;serif" w:hAnsi="Times New Roman;serif"/>
          <w:b w:val="false"/>
          <w:color w:val="000000"/>
          <w:sz w:val="20"/>
        </w:rPr>
        <w:t xml:space="preserve">, filed with the SEC on May 27, 2026 (but only with respect to information required by Part III of the Company’s Annual Report on Form 10-K for the fiscal year ended March 31, 2026).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obtain copies of these filings, see “Available Information” in this prospectus supplement.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center"/>
        <w:rPr/>
      </w:pPr>
      <w:r>
        <w:rPr/>
      </w:r>
    </w:p>
    <w:p>
      <w:pPr>
        <w:pStyle w:val="TextBody"/>
        <w:bidi w:val="0"/>
        <w:spacing w:before="0" w:after="0"/>
        <w:jc w:val="center"/>
        <w:rPr/>
      </w:pPr>
      <w:r>
        <w:rPr/>
        <w:drawing>
          <wp:inline distT="0" distB="0" distL="0" distR="0">
            <wp:extent cx="1800225" cy="733425"/>
            <wp:effectExtent l="0" t="0" r="0" b="0"/>
            <wp:docPr id="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 descr=""/>
                    <pic:cNvPicPr>
                      <a:picLocks noChangeAspect="1" noChangeArrowheads="1"/>
                    </pic:cNvPicPr>
                  </pic:nvPicPr>
                  <pic:blipFill>
                    <a:blip r:embed="rId17"/>
                    <a:stretch>
                      <a:fillRect/>
                    </a:stretch>
                  </pic:blipFill>
                  <pic:spPr bwMode="auto">
                    <a:xfrm>
                      <a:off x="0" y="0"/>
                      <a:ext cx="1800225" cy="733425"/>
                    </a:xfrm>
                    <a:prstGeom prst="rect">
                      <a:avLst/>
                    </a:prstGeom>
                  </pic:spPr>
                </pic:pic>
              </a:graphicData>
            </a:graphic>
          </wp:inline>
        </w:drawing>
      </w:r>
      <w:bookmarkStart w:id="1" w:name="i-2"/>
      <w:bookmarkEnd w:id="1"/>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Debt Securities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may offer, from time to time, in one or more offerings, our common stock or debt securities, which we refer to, collectively, as the “securities.” Our securities may be offered at prices and on terms to be disclosed in one or more supplements to this prospectus. The offering price per share of our common stock, less any underwriting commissions or discounts, will not be less than the net asset value (“NAV”), per share of our common stock at the time of the offering, except (1) with the approval of our common shareholders or (2) under such other circumstances as the Securities and Exchange Commission (the “SEC”) may permit. We did not seek shareholder approval to issue common stock at a price below NAV per share at our 2024 annual meeting of shareholders. Sales of common stock at prices below NAV per share would dilute the interests of existing shareholders, reducing our NAV per share and may lower the market price of our common stock. Moreover, sales of common stock below NAV may have a negative impact on total returns and could have a negative impact on the market price of shares of our common stock. See “Sales of Common Stock Below Net Asset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Shares of closed-end investment companies frequently trade at a discount to NAV. This risk is separate and distinct from the risk that our NAV per share may decline. We cannot predict whether our common stock will trade above, at or below NAV. You should read this prospectus, the applicable prospectus supplement, and any free writing prospectuses carefully before you invest in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securities may be offered directly to one or more purchasers through agents designated from time to time, or to or through underwriters or dealers. The prospectus supplement relating to the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an internally managed closed-end, non-diversified investment company that has elected to be regulated as a business development company under the Investment Company of 1940 Act, as amended. We specialize in providing customized debt and equity financing to lower middle market (“LMM”)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senior debt securities, secured by security interests in portfolio company assets. We also may invest in equity interests in our portfolio companies alongside our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focus on investing in companies with histories of generating revenues and positive cash flow, established market positions and proven management teams with strong operating discipline. Our core business is to target senior debt investments and equity investments in LMM companies. Our target companies generally have annual earnings before interest, taxes, depreciation and amortization between $3.0 million and $25.0 million, and our investments generally range in size from $5.0 million to $50.0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common stock is listed on The Nasdaq Global Select Market (“Nasdaq”) under the symbol “CSWC.” On October 22, 2024, the last reported sale price of our common stock on the Nasdaq was $25.84 per share, and the NAV per share of our common stock on June 30, 2024 (the last date prior to the date of this prospectus on which we determined our NAV per share) was $16.60.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Investing in our securities involves a high degree of risk, and should be considered highly speculative. You should review carefully the risks and uncertainties, including the risk of leverage and dilution, described in the section titled “Risk Factors” included in, or otherwise incorporated by reference into, the applicable prospectus supplement and in any free writing prospectuses we have authorized for use in connection with a specific offering, and under similar headings in the other documents that are incorporated by reference into this prospectus before investing in our securities.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This prospectus describes some of the general terms that may apply to an offering of our securities. We will provide the specific terms of these offerings and securities in one or more supplements to this prospectus. We also may authorize one or more free writing prospectuses to be provided to you in connection with these offerings. The accompanying prospectus supplement and any related free writing prospectus also may add, update, or change information contained in this prospectus. You should carefully read this prospectus, the accompanying prospectus supplement, and any related free writing prospectus, and the documents incorporated by reference herein, before investing in our securities and keep them for future reference. We file annual, quarterly and current reports, proxy statements and other information with the SEC. This information is available free of charge by contacting us at 8333 Douglas Avenue, Suite 1100, Dallas, Texas 75225 or by telephone at (214) 238-5700 or on our website at </w:t>
      </w:r>
      <w:r>
        <w:rPr>
          <w:rFonts w:ascii="Times New Roman;serif" w:hAnsi="Times New Roman;serif"/>
          <w:b w:val="false"/>
          <w:i/>
          <w:color w:val="000000"/>
          <w:sz w:val="18"/>
        </w:rPr>
        <w:t>www.capitalsouthwest.com</w:t>
      </w:r>
      <w:r>
        <w:rPr>
          <w:rFonts w:ascii="Times New Roman;serif" w:hAnsi="Times New Roman;serif"/>
          <w:b w:val="false"/>
          <w:color w:val="000000"/>
          <w:sz w:val="18"/>
        </w:rPr>
        <w:t xml:space="preserve">. Information contained on our website is not incorporated by reference into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prospectus or any supplement to this prospectus, and you should not consider that information to be part of this prospectus or any supplement to this prospectus. The SEC also maintains a website at</w:t>
      </w:r>
      <w:r>
        <w:rPr>
          <w:color w:val="000000"/>
        </w:rPr>
        <w:t xml:space="preserve"> </w:t>
      </w:r>
      <w:r>
        <w:rPr>
          <w:rFonts w:ascii="Times New Roman;serif" w:hAnsi="Times New Roman;serif"/>
          <w:b w:val="false"/>
          <w:i/>
          <w:color w:val="000000"/>
          <w:sz w:val="18"/>
        </w:rPr>
        <w:t>www.sec.gov</w:t>
      </w:r>
      <w:r>
        <w:rPr>
          <w:color w:val="000000"/>
        </w:rPr>
        <w:t xml:space="preserve"> </w:t>
      </w:r>
      <w:r>
        <w:rPr>
          <w:rFonts w:ascii="Times New Roman;serif" w:hAnsi="Times New Roman;serif"/>
          <w:b w:val="false"/>
          <w:color w:val="000000"/>
          <w:sz w:val="18"/>
        </w:rPr>
        <w:t xml:space="preserve">that contains such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Neither the SEC nor any state securities commission, nor any other regulatory body, has approved or disapproved of these securities or determined if this prospectus is truthful or complete. Any representation to the contrary is a criminal offense.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date of this prospectus is October 29, 2024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an automatic shelf registration statement that we have filed with the Securities and Exchange Commission (the “SEC”) as a “well-known seasoned issuer” as defined in Rule 405 under the Securities Act of 1933, as amended (the “Securities Act”). Under this shelf registration statement, we may offer, from time to time, in one or more offerings, our securities on terms to be determined at the time of the offering. This prospectus provides you with a general description of the securities that we may offer. Each time we use this prospectus to offer securities, we will provide a prospectus supplement that will contain specific information about the terms of that offering. We also may authorize one or more free writing prospectuses to be provided to you that may contain material information relating to these offerings. In a prospectus supplement or free writing prospectus, we also may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the additional information described in the section titled “Available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that could cause results to differ materially from those expressed in these publications and reports.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PROSPECTUS SUMMARY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some of the information included elsewhere in this prospectus or incorporated by reference. It is not complete and may not contain all of the information that you should consider before making your investment decision. You carefully should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Before making your investment decision, you should also carefully read the information incorporated by reference into this prospectus, including our financial statements and related notes, as provided in sections titled “Available Information” and “Incorporation by Reference” in this prospectus, and the exhibits to the registration statement of which this prospectus is a part. Any yield information contained or incorporated by reference in this prospectus related to debt investments in our investment portfolio is not intended to approximate a return on your investment in us and does not take into account other aspects of our business, including our operating and other expenses, or other costs incurred by you in connection with your investment in us. In this prospectus, unless the context otherwise requires, the “Company”, “Capital Southwest,” “CSWC,” “we,” “us” and “our” refer to Capital Southwest Corporation and our subsidiaries.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 is an internally managed closed-end, non-diversified investment company that has elected to be regulated as a business development company (“BDC”) under the Investment Company Act of 1940, as amended (the “1940 Act”). Since September 30, 2015, we have pursued a credit-focused investing strategy. We specialize in providing customized financing to middle market companies in a broad range of industry segments located primarily in the United States. We invest primarily in debt securities, including senior debt and second lien, and also invest in preferred stock and common stock alongside our debt investments or through warrants. Our common stock trades on The Nasdaq Global Select Market under the ticker symbol “CSWC.”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and intend to qualify annually, to be treated for U.S. federal income tax purposes as a regulated investment company, or RIC, under Subchapter M of the U.S. Internal Revenue Code of 1986, as amended (the “Code”). As such, we generally will not be subject to U.S. federal income tax on any ordinary income or capital gains that we timely distribute to our shareholders as dividends. To continue to maintain our RIC tax treatment, we generally must meet specified source-of-income and asset diversification requirements and distribute annually at least 90% of our ordinary income and realized net short-term capital gains in excess of realized net long-term capital losses, if any. We will be subject to U.S. federal income tax, and possibly a 4% U.S. federal excise tax, on any income that we do not timely distribute to our shareholders. Our U.S. federal income tax liability may be reduced to the extent that we make certain distributions during the following calendar year and satisfy other procedural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 Equity Investments, Inc. (the “Taxable Subsidiary”), Capital Southwest SPV LLC (“SPV”), and Capital Southwest SBIC I, LP (“SBIC I”) are wholly owned subsidiaries of the Company and are consolidated in its financial statements. The Taxable Subsidiary was formed to permit CSWC to hold certain interests in portfolio companies that are organized as limited liability companies (or other forms of pass-through entities) and to facilitate our compliance with the RIC tax requirement that at least 90% of our gross income for U.S. federal income tax purposes must consist of qualifying investment income. The Taxable Subsidiary has elected to be treated as a corporation for U.S. federal income tax purposes and is subject to U.S. federal income tax at corporate rates based on its taxable income. SPV is a special purpose vehicle that was formed to hold investments for the special purpose vehicle financing credit facility to support our investment and operating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20, 2021, SBIC I received a license from the U.S. Small Business Administration (the “SBA”) to operate as an small business investment company under Section 301(c) of the Small Business Investment Act of 1958, as amended. SBIC I has an investment strategy substantially similar to ours and makes similar types of investments in accordance with SBA regulations. SBIC I and its general partner are consolidated for financial reporting purposes under generally accepted accounting principles in the United States, and the portfolio investments held by it are included in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11, 2021, we received an exemptive order from the SEC to permit us to exclude the senior securities issued by SBIC I or any future SBIC subsidiary of the Company from the definition of “senior securities” in the asset coverage requirement applicable to the Company under the 1940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We specialize in providing customized debt and equity financing to lower middle market (</w:t>
      </w:r>
      <w:r>
        <w:rPr>
          <w:color w:val="000000"/>
          <w:shd w:fill="FFFFFF" w:val="clear"/>
        </w:rPr>
        <w:t>“</w:t>
      </w:r>
      <w:r>
        <w:rPr>
          <w:rFonts w:ascii="Times New Roman;serif" w:hAnsi="Times New Roman;serif"/>
          <w:b w:val="false"/>
          <w:color w:val="000000"/>
          <w:sz w:val="20"/>
        </w:rPr>
        <w:t>LMM</w:t>
      </w:r>
      <w:r>
        <w:rPr>
          <w:color w:val="000000"/>
          <w:shd w:fill="FFFFFF" w:val="clear"/>
        </w:rPr>
        <w:t>”</w:t>
      </w:r>
      <w:r>
        <w:rPr>
          <w:rFonts w:ascii="Times New Roman;serif" w:hAnsi="Times New Roman;serif"/>
          <w:b w:val="false"/>
          <w:color w:val="000000"/>
          <w:sz w:val="20"/>
        </w:rPr>
        <w:t>)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management teams and financial sponsors to provide flexible financing solutions to fund growth, changes of control, or other corporate events. We invest primarily in senior debt securities, secured by security interests in portfolio company assets. We also may invest in equity interests in our portfolio companies alongside our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focus on investing in companies with histories of generating revenues and positive cash flow, established market positions and proven management teams with strong operating discipline. Our core business is to target senior debt investments and equity investments in LMM companies. Our target companies generally have annual earnings before interest, taxes, depreciation and amortization between $3.0 million and $25.0 million, and our investments generally range in size from $5.0 million to $50.0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Our LMM debt investments typically have a term of up to five years from the original investment date. We also often seek to invest in the equity securities of our LMM portfolio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offer managerial assistance to our portfolio companies and provide them access to our investment experience, direct industry expertise and contacts. Our obligation to offer to make available significant managerial assistance to our portfolio companies is consistent with our belief that providing managerial assistance to a portfolio company is important to its business development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principal executive offices are located at 8333 Douglas Avenue, Suite 1100, Dallas, Texas 75225. We maintain a website at </w:t>
      </w:r>
      <w:r>
        <w:rPr>
          <w:rFonts w:ascii="Times New Roman;serif" w:hAnsi="Times New Roman;serif"/>
          <w:b w:val="false"/>
          <w:i/>
          <w:color w:val="000000"/>
          <w:sz w:val="20"/>
        </w:rPr>
        <w:t>www.capitalsouthwest.com.</w:t>
      </w:r>
      <w:r>
        <w:rPr>
          <w:color w:val="000000"/>
        </w:rPr>
        <w:t xml:space="preserve"> </w:t>
      </w:r>
      <w:r>
        <w:rPr>
          <w:rFonts w:ascii="Times New Roman;serif" w:hAnsi="Times New Roman;serif"/>
          <w:b w:val="false"/>
          <w:color w:val="000000"/>
          <w:sz w:val="20"/>
        </w:rPr>
        <w:t xml:space="preserve">Information contained on our website is not incorporated by reference into this registration statement or any accompanying post-effective amendment or prospectus, and you should not consider that information to be part of this registration statement or any accompanying post-effective amendment or prospectus.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be involved in litigation arising out of our operations in the normal course of business or otherwise. Furthermore, third parties may try to seek to impose liability on us in connection with the activities of our portfolio companies. As of the date hereof, we are not a party to, and none of our assets are subject to, any material pending legal proceedings and are not aware of any claims that could have a materially adverse effect on our financial position, results of operations or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Relating to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as well as in any of our subsequent SEC filings.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OFFERING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from time to time, in one or more offerings, our securities, on terms to be determined at the time of the offering. Our securities may be offered at prices and on terms to be disclosed in one or more prospectus supplements. Our securities may be offered directly to one or more purchasers by us or through agents designated from time to time by us, or to or through underwriters or dealers. The prospectus supplement relating to the offering and any related free writing prospectus will disclose the terms of the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is additional information regarding the offering of our securities: </w:t>
      </w:r>
    </w:p>
    <w:tbl>
      <w:tblPr>
        <w:tblW w:w="10205" w:type="dxa"/>
        <w:jc w:val="left"/>
        <w:tblInd w:w="0" w:type="dxa"/>
        <w:tblLayout w:type="fixed"/>
        <w:tblCellMar>
          <w:top w:w="28" w:type="dxa"/>
          <w:left w:w="28" w:type="dxa"/>
          <w:bottom w:w="28" w:type="dxa"/>
          <w:right w:w="28" w:type="dxa"/>
        </w:tblCellMar>
      </w:tblPr>
      <w:tblGrid>
        <w:gridCol w:w="814"/>
        <w:gridCol w:w="474"/>
        <w:gridCol w:w="478"/>
        <w:gridCol w:w="2653"/>
        <w:gridCol w:w="2392"/>
        <w:gridCol w:w="3394"/>
      </w:tblGrid>
      <w:tr>
        <w:trPr/>
        <w:tc>
          <w:tcPr>
            <w:tcW w:w="81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 of proceeds</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a prospectus supplement, we intend to use the net proceeds from any offering to make investments in accordance with our investment objective and strategies, repay outstanding indebtedness (which will be subject to re-borrowing), make investments in marketable securities and other temporary investments and for other general corporate purposes, including payment of operating expenses. See “Use of Proceeds.” </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Nasdaq Global Select Market ticker symbol of common stock</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r>
              <w:rPr>
                <w:rFonts w:ascii="Times New Roman;serif" w:hAnsi="Times New Roman;serif"/>
                <w:b w:val="false"/>
                <w:color w:val="000000"/>
                <w:sz w:val="20"/>
              </w:rPr>
              <w:t>CSWC”</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Dividends and distributions</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intend to make distributions on a quarterly basis to our shareholders of substantially all of our taxable income. In lieu of cash, we may make deemed distributions of certain net capital gains to our shareholders. Our quarterly distributions, if any, will be determined by our board of directors (the “Board”) on a quarterly basis. Our supplemental distributions, if any, will be determined by the Board.</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declare distributions depends on our earnings, our overall financial condition (including our liquidity position), maintenance of our RIC tax treatment and such other factors as the Board may deem relevant from time to time.</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When we make distributions, we are required to determine the extent to which such distributions are paid out of current or accumulated earnings, recognized capital gains or capital. To the extent there is a return of capital (a distribution of the shareholder’s invested capital), investors will be required to reduce their adjusted tax basis in our common stock for U.S. federal tax purposes. In the future, our distributions may include a return of capital.</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Taxation</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have elected, and intend to qualify annually, to be treated as a RIC under Subchapter M of the Code for U.S. federal income tax purposes. As a RIC, we generally will not be subject to U.S. federal income tax on any ordinary income or capital gains that we distribute to our shareholders as dividends. To continue to maintain our RIC tax treatment, we must meet specified source-of-income and asset diversification requirements and distribute annually at least 90% of our ordinary income and realized net short-term capital gains in excess of realized net long-term capital losses, if any. See “Plan of Distribution” and “Certain U.S. Federal Income Tax Considerations.”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7"/>
        <w:gridCol w:w="462"/>
        <w:gridCol w:w="464"/>
        <w:gridCol w:w="2577"/>
        <w:gridCol w:w="2512"/>
        <w:gridCol w:w="3573"/>
      </w:tblGrid>
      <w:tr>
        <w:trPr/>
        <w:tc>
          <w:tcPr>
            <w:tcW w:w="6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Dividend reinvestment plan</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have adopted a dividend reinvestment plan, or DRIP, that provides for the reinvestment of dividends on behalf of our registered shareholders who hold their shares with Equiniti Trust Company, LLC, the plan administrator and our transfer agent and registrar. As a result, if we declare a cash dividend, our registered shareholders who have “opted in” to our DRIP by the dividend record date will have their cash dividend automatically reinvested into additional shares of our common stock.</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Shareholders who receive dividends in the form of stock will be subject to the same U.S. federal, state and local tax consequences as shareholders who elect to receive their dividends in cash. See “Dividend Reinvestment Plan.”</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at a discount</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Shares of closed-end investment companies frequently trade at a discount to their net asset value (“NAV”). This risk is separate and distinct from the risk that our NAV per share may decline. We cannot predict whether our shares will trade above, at or below NAV.</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Sales of common stock below NAV</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offering price per share of our common stock, less any underwriting commissions or discounts, will not be less than the NAV per share of our common stock at the time of the offering, except (i) with the requisite approval of our common shareholders or (ii) under such other circumstances as the SEC may permit. In addition, we cannot issue shares of our common stock below NAV unless the Board determines that it would be in our and our shareholders’ best interests to do so. We did not seek shareholder authorization to issue common stock at a price below NAV per share at our 2024 annual meeting of shareholder.</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Sales by us of our common stock at a discount from our NAV pose potential risks for our existing shareholders whether or not they participate in the offering, as well as for new investors who participate in the offering. See “Sales of Common Stock Below Net Asset Value.”</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Incorporation by Reference</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information. Any reports filed by us with the SEC subsequent to the date of this prospectus until the offering is otherwise terminated will automatically update and, where applicable, supersede any information contained in this prospectus or incorporated by reference in this prospectus. See “Incorporation by Reference.”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4"/>
        <w:gridCol w:w="390"/>
        <w:gridCol w:w="391"/>
        <w:gridCol w:w="2628"/>
        <w:gridCol w:w="2628"/>
        <w:gridCol w:w="3724"/>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Available Information</w:t>
            </w:r>
          </w:p>
        </w:tc>
        <w:tc>
          <w:tcPr>
            <w:tcW w:w="89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under the Securities Exchange Act of 1934 (the “Exchange Act”). The SEC maintains an Internet site that contains reports, proxy and information statements and other information regarding registrants filed electronically by us with the SEC, which are available free of charge on the SEC’s website at www.sec.gov. This information is also available free of charge by contacting us at 8333 Douglas Avenue, Suite 1100, Dallas, Texas 75225, by telephone at 214-238-5700 or on our website at www.capitalsouthwest.com. Information contained on our website is not incorporated by reference into this prospectus or any prospectus supplement, and you should not consider that information to be part of this prospectus or any prospectus supplement. You can request a copy of any of our SEC filings, including those incorporated by reference herein, at no cost, by writing or telephoning us at our address or telephone number above.</w:t>
            </w:r>
          </w:p>
        </w:tc>
      </w:tr>
    </w:tbl>
    <w:p>
      <w:pPr>
        <w:pStyle w:val="TextBody"/>
        <w:bidi w:val="0"/>
        <w:spacing w:lineRule="auto" w:line="333"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FEES AND EXPENSES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this prospectus contains a reference to fees or expenses paid by “you,” “us” or “CSWC,” or that “we” will pay fees or expenses, shareholders will indirectly bear such fees or expenses as investors in us. </w:t>
      </w:r>
    </w:p>
    <w:tbl>
      <w:tblPr>
        <w:tblW w:w="10205" w:type="dxa"/>
        <w:jc w:val="left"/>
        <w:tblInd w:w="0" w:type="dxa"/>
        <w:tblLayout w:type="fixed"/>
        <w:tblCellMar>
          <w:top w:w="28" w:type="dxa"/>
          <w:left w:w="28" w:type="dxa"/>
          <w:bottom w:w="28" w:type="dxa"/>
          <w:right w:w="28" w:type="dxa"/>
        </w:tblCellMar>
      </w:tblPr>
      <w:tblGrid>
        <w:gridCol w:w="3122"/>
        <w:gridCol w:w="2739"/>
        <w:gridCol w:w="2754"/>
        <w:gridCol w:w="109"/>
        <w:gridCol w:w="109"/>
        <w:gridCol w:w="109"/>
        <w:gridCol w:w="307"/>
        <w:gridCol w:w="309"/>
        <w:gridCol w:w="271"/>
        <w:gridCol w:w="109"/>
        <w:gridCol w:w="109"/>
        <w:gridCol w:w="158"/>
      </w:tblGrid>
      <w:tr>
        <w:trPr/>
        <w:tc>
          <w:tcPr>
            <w:tcW w:w="3122"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Shareholder 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load (as a percentage of offering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expenses (as a percentage of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plan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 transaction expenses (as a percentage of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Annual Expenses (as a percentage of net assets attributable to common stock for the quarter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 on borrowed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annual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 the event that our securities are sold to or through underwriters, a corresponding prospectus supplement will disclose the applicable sales load.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 the event that we conduct an offering of our securities, a corresponding prospectus supplement will disclose the estimated offering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expenses of administering our DRIP are included in operating expenses. The DRIP does not allow shareholders to sell shares through the DRIP. If a shareholder wishes to sell shares they would be required to select a broker of their choice and pay any fees or other costs associated with the sale.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stockholder transaction expenses may include sales load and will be disclosed in a future prospectus supplement, if any.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(5)Operating expenses in this table represent the estimated annual operating expenses of CSWC and its consolidated subsidiaries based on annualized operating expenses for the quarter ended June 30, 2024. We do not have an investment adviser and are internally managed by our executive officers under the supervision of the Board.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(6)Interest payments on borrowed funds represents (a) our estimated annual interest payments based on actual interest rate terms under our credit facilities, with available commitments of $485 million under the Company’s senior secured revolving credit facility (the “Corporate Credit Facility”) and available commitments of $200 million under the Company’s special purpose vehicle financing credit facility (the “SPV Credit Facility”), and our anticipated drawdowns from our credit facilities, (b) our actual interest rate terms under the SBA Debentures and our anticipated drawdowns of the SBA Debentures, and (c) our estimated annual interest payments, based on actual interest rate terms, on the 4.50% Notes due 2026 (the “January 2026 Notes”), the 3.375% Notes due 2026 (the “October 2026 Notes”) and the 7.75% Notes due 2028 (the “August 2028 Notes”). As of June 30, 2024, we had $165.0 million outstanding under the Corporate Credit Facility, $64.0 million outstanding under the SPV Credit Facility, $153.0 million outstanding under the SBA Debentures, $140.0 million in aggregate principal of the January 2026 Notes outstanding, $150.0 million in aggregate principal of the October 2026 Notes outstanding and $71.9 million in aggregate principal of the August 2028 Notes outstanding. Any future issuances of debt securities will be made at the discretion of management and the Board of directors after evaluating the investment opportunities and economic situation of the Company and the market as a whole.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(7)Income tax provision/(benefit) relates to the accrual of (a) deferred and current tax provision/(benefit) for U.S. federal income taxes and (b) excise, state and other taxes. Deferred taxes are non-cash in nature and may vary significantly from period to period. We are required to include deferred taxes in calculating our annual expenses even though deferred taxes are not currently payable or receivable. Income tax provision/(benefit) represents the estimated annual income tax provision/(benefit) of CSWC and its consolidated subsidiaries based on annualized income tax provision/(benefit) for the quarter ended June 30,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Example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example demonstrates the projected dollar amount of total cumulative expenses that would be incurred over various periods with respect to a hypothetical investment in our common stock. In calculating the following expense amounts, we have assumed we would have no additional leverage and that our annual operating expenses would remain at the levels set forth in the table above. In the event that shares to which this prospectus relates are sold to or through underwriters, a corresponding prospectus supplement will restate this example to reflect the applicable sales load.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49"/>
        <w:gridCol w:w="1799"/>
        <w:gridCol w:w="181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22"/>
        <w:gridCol w:w="493"/>
        <w:gridCol w:w="166"/>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Years</w:t>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You would pay the following expenses on a $1,000 investment, assuming 5.0% annual return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both"/>
        <w:rPr/>
      </w:pPr>
      <w:r>
        <w:rPr>
          <w:rFonts w:ascii="Times New Roman;serif" w:hAnsi="Times New Roman;serif"/>
          <w:b/>
          <w:color w:val="000000"/>
          <w:sz w:val="20"/>
        </w:rPr>
        <w:t xml:space="preserve">The example and the expenses in the table above should not be considered a representation of our future expenses, and actual expenses may be greater or less than those shown. </w:t>
      </w:r>
      <w:r>
        <w:rPr>
          <w:rFonts w:ascii="Times New Roman;serif" w:hAnsi="Times New Roman;serif"/>
          <w:b w:val="false"/>
          <w:color w:val="000000"/>
          <w:sz w:val="20"/>
        </w:rPr>
        <w:t xml:space="preserve">While the example assumes, as required by the SEC, a 5.0% annual return, our performance will vary and may result in a return greater or less than 5.0%. In addition, while the example assumes reinvestment of all dividends at NAV, participants in our DRIP will receive a number of shares of our common stock, determined by dividing the total dollar amount of the dividend payable to a participant by the average purchase price of all shares of common stock purchased by the administrator of the DRIP in the event that shares are purchased in the open market to satisfy the share requirements of the DRIP, which may be at, above or below NAV. See “Dividend Reinvestment Plan” for additional information regarding our DRIP.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FINANCIAL HIGHLIGHTS </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information in Notes 12 and 14 to our audited consolidated financial statements appearing in </w:t>
      </w:r>
      <w:r>
        <w:rPr>
          <w:rFonts w:ascii="Times New Roman;serif" w:hAnsi="Times New Roman;serif"/>
          <w:b w:val="false"/>
          <w:color w:val="000000"/>
          <w:sz w:val="20"/>
          <w:shd w:fill="FFFFFF" w:val="clear"/>
        </w:rPr>
        <w:t xml:space="preserve">our most recent </w:t>
      </w:r>
      <w:hyperlink r:id="rId18">
        <w:r>
          <w:rPr>
            <w:rStyle w:val="InternetLink"/>
            <w:rFonts w:ascii="Times New Roman;serif" w:hAnsi="Times New Roman;serif"/>
            <w:b w:val="false"/>
            <w:color w:val="0000FF"/>
            <w:sz w:val="20"/>
            <w:u w:val="single"/>
            <w:shd w:fill="FFFFFF" w:val="clear"/>
          </w:rPr>
          <w:t>Annual Report on Form 10-K</w:t>
        </w:r>
      </w:hyperlink>
      <w:r>
        <w:rPr>
          <w:color w:val="0563C1"/>
          <w:u w:val="single"/>
          <w:shd w:fill="FFFFFF" w:val="clear"/>
        </w:rPr>
        <w:t> </w:t>
      </w:r>
      <w:r>
        <w:rPr>
          <w:rFonts w:ascii="Times New Roman;serif" w:hAnsi="Times New Roman;serif"/>
          <w:b w:val="false"/>
          <w:color w:val="000000"/>
          <w:sz w:val="20"/>
        </w:rPr>
        <w:t>and the information in Note 12 to our unaudited consolidated financial statements appearing in </w:t>
      </w:r>
      <w:r>
        <w:rPr>
          <w:rFonts w:ascii="Times New Roman;serif" w:hAnsi="Times New Roman;serif"/>
          <w:b w:val="false"/>
          <w:color w:val="000000"/>
          <w:sz w:val="20"/>
          <w:shd w:fill="FFFFFF" w:val="clear"/>
        </w:rPr>
        <w:t xml:space="preserve">our most recent </w:t>
      </w:r>
      <w:hyperlink r:id="rId19">
        <w:r>
          <w:rPr>
            <w:rStyle w:val="InternetLink"/>
            <w:rFonts w:ascii="Times New Roman;serif" w:hAnsi="Times New Roman;serif"/>
            <w:b w:val="false"/>
            <w:color w:val="0000FF"/>
            <w:sz w:val="20"/>
            <w:u w:val="single"/>
            <w:shd w:fill="FFFFFF" w:val="clear"/>
          </w:rPr>
          <w:t>Quarterly Report on Form 10-Q</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lineRule="auto" w:line="288" w:before="0" w:after="0"/>
        <w:ind w:left="0" w:right="0" w:firstLine="360"/>
        <w:jc w:val="both"/>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Investing in our securities involves a number of significant risks.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our most recent </w:t>
      </w:r>
      <w:hyperlink r:id="rId20">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 xml:space="preserve">and any subsequent filings we have made with the SEC that are incorporated by reference into this prospectus, together with other information in this prospectus, the documents incorporated by reference </w:t>
      </w:r>
      <w:r>
        <w:rPr>
          <w:rFonts w:ascii="Times New Roman;serif" w:hAnsi="Times New Roman;serif"/>
          <w:b w:val="false"/>
          <w:color w:val="000000"/>
          <w:sz w:val="20"/>
          <w:shd w:fill="FFFFFF" w:val="clear"/>
        </w:rPr>
        <w:t>in this prospectus or any prospectus supplement</w:t>
      </w:r>
      <w:r>
        <w:rPr>
          <w:rFonts w:ascii="Times New Roman;serif" w:hAnsi="Times New Roman;serif"/>
          <w:b w:val="false"/>
          <w:color w:val="000000"/>
          <w:sz w:val="20"/>
        </w:rPr>
        <w:t xml:space="preserve">,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also may become important factors that could adversely affect our business. If any of the risks described in these documents, or risks not presently known to us, actually occur, the trading price of our common stock could decline, and you may lose all or part of your investment. Please also read carefully the section titled “Cautionary Statement Concerning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information in “Part II, Item 7. Management’s Discussion and Analysis of Financial Condition and Results of Operations” of </w:t>
      </w:r>
      <w:r>
        <w:rPr>
          <w:rFonts w:ascii="Times New Roman;serif" w:hAnsi="Times New Roman;serif"/>
          <w:b w:val="false"/>
          <w:color w:val="000000"/>
          <w:sz w:val="20"/>
          <w:shd w:fill="FFFFFF" w:val="clear"/>
        </w:rPr>
        <w:t xml:space="preserve">our most recent </w:t>
      </w:r>
      <w:hyperlink r:id="rId21">
        <w:r>
          <w:rPr>
            <w:rStyle w:val="InternetLink"/>
            <w:rFonts w:ascii="Times New Roman;serif" w:hAnsi="Times New Roman;serif"/>
            <w:b w:val="false"/>
            <w:color w:val="0000FF"/>
            <w:sz w:val="20"/>
            <w:u w:val="single"/>
            <w:shd w:fill="FFFFFF" w:val="clear"/>
          </w:rPr>
          <w:t>Annual Report on Form 10-K</w:t>
        </w:r>
      </w:hyperlink>
      <w:r>
        <w:rPr>
          <w:color w:val="000000"/>
          <w:shd w:fill="FFFFFF" w:val="clear"/>
        </w:rPr>
        <w:t xml:space="preserve"> </w:t>
      </w:r>
      <w:r>
        <w:rPr>
          <w:rFonts w:ascii="Times New Roman;serif" w:hAnsi="Times New Roman;serif"/>
          <w:b w:val="false"/>
          <w:color w:val="000000"/>
          <w:sz w:val="20"/>
          <w:shd w:fill="FFFFFF" w:val="clear"/>
        </w:rPr>
        <w:t xml:space="preserve">and the information in “Part I, Item 2. Management’s Discussion and Analysis of Financial Condition and Results of Operations” of our most recent </w:t>
      </w:r>
      <w:hyperlink r:id="rId22">
        <w:r>
          <w:rPr>
            <w:rStyle w:val="InternetLink"/>
            <w:rFonts w:ascii="Times New Roman;serif" w:hAnsi="Times New Roman;serif"/>
            <w:b w:val="false"/>
            <w:color w:val="0000FF"/>
            <w:sz w:val="20"/>
            <w:u w:val="single"/>
            <w:shd w:fill="FFFFFF" w:val="clear"/>
          </w:rPr>
          <w:t>Quarterly Report on Form 10-Q</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CAUTIONARY STATEMENT CONCERNING FORWARD-LOOKING STATEMENTS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“predict,” “will,” “continue,” “likely,” “would,” “could,” “should,” “expect,” “anticipate,” “potential,” “estimate,” “indicate,” “seek,” “believe,” “target,” “intend,” "plan" or “project” or the negative of these words or other variations on these words or comparable terminology. These forward-looking statements involve risks and uncertainties and are based on assumptions that may be incorrect, and we cannot assure you that the projections included in these forward-looking statements will come to pass. Accordingly, there are or will be important factors that could cause our actual results to differ materially from those expressed or implied by the forward-looking statements. The forward-looking statements contained or incorporated by reference in this prospectus and any applicable prospectus supplement or free writing prospectus may include statements as to:</w:t>
      </w:r>
    </w:p>
    <w:p>
      <w:pPr>
        <w:pStyle w:val="TextBody"/>
        <w:bidi w:val="0"/>
        <w:spacing w:before="0" w:after="0"/>
        <w:jc w:val="both"/>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future operating results;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market conditions and our ability to access debt and equity capital and our ability to manage our capital resources effectively;</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changes in the markets in which we invest and changes in financial and lending markets generally;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cash flows, if any, from the operations of our portfolio companies;</w:t>
      </w:r>
    </w:p>
    <w:p>
      <w:pPr>
        <w:pStyle w:val="TextBody"/>
        <w:bidi w:val="0"/>
        <w:spacing w:lineRule="auto" w:line="288" w:before="0" w:after="160"/>
        <w:ind w:left="0" w:right="0" w:hanging="360"/>
        <w:jc w:val="both"/>
        <w:rPr/>
      </w:pPr>
      <w:r>
        <w:rPr>
          <w:color w:val="000000"/>
        </w:rPr>
        <w:t>• </w:t>
      </w:r>
      <w:r>
        <w:rPr>
          <w:rFonts w:ascii="Times New Roman;serif" w:hAnsi="Times New Roman;serif"/>
          <w:b w:val="false"/>
          <w:color w:val="000000"/>
          <w:sz w:val="20"/>
        </w:rPr>
        <w:t>our business prospects and the prospects of our existing and prospective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financial condition and ability of our existing and prospective portfolio companies to achieve their objectives;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adequacy of our cash resources and working capital;</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recover unrealized losses;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expected financings and investments;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contractual arrangements and other relationships with third parties;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impact of interest rate volatility and inflation on our business and our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impact of a protracted decline in the liquidity of credit markets on our business;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operate as a BDC and to qualify and maintain our qualification as a RIC, including the impact of changes in laws or regulations, including tax reform, governing our operations or the operations of our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operate our wholly owned subsidiary, SBIC I, as an SBIC;</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dependence of our future success on the general economy and its impact on the industries in which we invest;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supply chain disruptions and labor shortages on our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changes in laws and regulations, changes in political, economic or industry conditions, and changes in the interest rate environment or other conditions affecting the financial and capital markets;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successfully invest any capital raised in an offering;</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return or impact of current and future investments;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performance and the valuation of our investments in portfolio companies, particularly those having no liquid trading market;</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regulatory structure and tax treatment;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timing, form and amount of any dividends or distributions.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Discussions containing these forward-looking statements may be found in the sections titled “Business,” “Risk Factors” and “Management’s Discussion and Analysis of Financial Condition and Results of Operations” incorporated by reference from our most recent Annual Report on Form 10-K and our subsequent SEC filings. We discuss in greater detail, and incorporate by reference into this prospectus in their entirety, many of these risks and uncertainties in the sections titled “Risk Factors” in the applicable prospectus supplement, in any free writing prospectus we may authorize for use in connection with a specific offering and in our most recent Annual Report on Form 10-K, as well as in any of our subsequent SEC filings. In addition, statements that we “believe” and similar statements reflect our beliefs and opinions on the relevant subject. These statements are based on information available to us as of the applicable date of this prospectus, free writing prospectus and documents incorporated by reference into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any applicable prospectus supplement or in any free writing prospectus we have authorized for use in connection with a specific offering, we intend to use the net proceeds from any offering to make investments in portfolio companies in accordance with our investment objective and strategies, repay outstanding indebtedness (which will be subject to re-borrowing), make investments in marketable securities and other temporary investments, and for other general corporate purposes, including payment of operating expenses. We anticipate that substantially all of the net proceeds of an offering will be invested in accordance with our investment objective and strategies within twelve months following completion of such offering, depending on the availability of appropriate investment opportunities, market conditions, and the amount raised. We cannot assure you that we will achieve our targeted investment pace. Pending our investments in portfolio companies, we will invest the remaining net proceeds of an offering primarily in cash, cash equivalents, U.S. Government securities and other high-quality debt investments that mature in one year or less from the time of investment. These securities may have lower yields than our other investments and accordingly may result in lower distributions, if any, during such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seek shareholder authorization to issue common stock at a price below NAV per share at our 2024 annual meeting of shareholders.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PRICE RANGE OF COMMON STOCK</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Market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Nasdaq under the symbol “CSWC.”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 forth, for each fiscal quarter within the two most recent fiscal years and any subsequent interim periods, the range of high and low selling prices of our common stock as reported on Nasdaq, as applicable, and the sales price as a percentage of the NAV per share of our common stock.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8"/>
        <w:gridCol w:w="562"/>
        <w:gridCol w:w="56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563"/>
        <w:gridCol w:w="403"/>
        <w:gridCol w:w="1011"/>
        <w:gridCol w:w="109"/>
        <w:gridCol w:w="109"/>
        <w:gridCol w:w="109"/>
        <w:gridCol w:w="544"/>
        <w:gridCol w:w="375"/>
        <w:gridCol w:w="1102"/>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NAV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 (Discount) of High Sales Price to NAV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 (Discount) of Low Sales Price to NAV (2)</w:t>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ending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(through October 22,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Quarter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ending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1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ended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1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(1)NAV per share, is determined as of the last day in the relevant quarter and therefore may not reflect the NAV per share on the date of the high and low sales prices. The NAVs shown are based on outstanding shares at the end of each period.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(2)Calculated as the respective high or low share price divided by NAV and subtracting 1.</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NAV has not yet been determined for this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2024, we had 315 holders of record of our common stock, which did not include shareholders for whom shares are held in “nominee” or “street name.” On October 22, 2024, the closing price of our common stock on the Nasdaq Global Select Market was $25.84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BDCs may trade at a market price that is less than the value of the net assets attributable to those shares. The possibility that our shares of common stock will trade at a discount from NAV per share or at premiums that are unsustainable over the long term are separate and distinct from the risk that our NAV per share will decrease. It is not possible to predict whether our common stock will trade at, above, or below NAV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SENIOR SECURITIES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Information about our senior securities as of each of the years ended March 31, 2024, 2023, 2022, 2021, 2020, 2019, 2018, and 2017 in “Part II, Item 5. Market for Registrant’s Common Equity, Related Shareholder Matters and Issuer Purchases of Equity Securities” of </w:t>
      </w:r>
      <w:r>
        <w:rPr>
          <w:rFonts w:ascii="Times New Roman;serif" w:hAnsi="Times New Roman;serif"/>
          <w:b w:val="false"/>
          <w:color w:val="000000"/>
          <w:sz w:val="20"/>
          <w:shd w:fill="FFFFFF" w:val="clear"/>
        </w:rPr>
        <w:t xml:space="preserve">our most recent </w:t>
      </w:r>
      <w:hyperlink r:id="rId23">
        <w:r>
          <w:rPr>
            <w:rStyle w:val="InternetLink"/>
            <w:rFonts w:ascii="Times New Roman;serif" w:hAnsi="Times New Roman;serif"/>
            <w:b w:val="false"/>
            <w:color w:val="0000FF"/>
            <w:sz w:val="20"/>
            <w:u w:val="single"/>
            <w:shd w:fill="FFFFFF" w:val="clear"/>
          </w:rPr>
          <w:t>Annual Report on Form 10-K</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color w:val="000000"/>
        </w:rPr>
        <w:t xml:space="preserve"> </w:t>
      </w:r>
      <w:r>
        <w:rPr>
          <w:rFonts w:ascii="Times New Roman;serif" w:hAnsi="Times New Roman;serif"/>
          <w:b w:val="false"/>
          <w:color w:val="000000"/>
          <w:sz w:val="20"/>
        </w:rPr>
        <w:t xml:space="preserve">The Company did not have any senior securities outstanding prior to the year ended March 31, 2017. The report of RSM US LLP, our independent registered public accountants for the fiscal years ended March 31, 2024, 2023, 2022, 2021, 2020, 2019 and 2018, on the senior securities table as of March 31, 2024, 2023, 2022, 2021, 2020, 2019 and 2018, has been incorporated by reference as an exhibit to the registration statement of which this prospectus is a part. The report of our former independent registered public accountants for the fiscal year ended March 31, 2017, on the senior securities table as of March 31, 2017, has been incorporated by reference as an exhibit to the registration statement of which this prospectus is a part.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our senior securities is shown in the following table as of June 30, 2024 (unaudited).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5"/>
        <w:gridCol w:w="517"/>
        <w:gridCol w:w="391"/>
        <w:gridCol w:w="109"/>
        <w:gridCol w:w="109"/>
        <w:gridCol w:w="109"/>
        <w:gridCol w:w="457"/>
        <w:gridCol w:w="1792"/>
        <w:gridCol w:w="236"/>
        <w:gridCol w:w="109"/>
        <w:gridCol w:w="109"/>
        <w:gridCol w:w="109"/>
        <w:gridCol w:w="436"/>
        <w:gridCol w:w="436"/>
        <w:gridCol w:w="438"/>
        <w:gridCol w:w="109"/>
        <w:gridCol w:w="109"/>
        <w:gridCol w:w="109"/>
        <w:gridCol w:w="654"/>
        <w:gridCol w:w="654"/>
        <w:gridCol w:w="656"/>
        <w:gridCol w:w="109"/>
        <w:gridCol w:w="109"/>
        <w:gridCol w:w="109"/>
        <w:gridCol w:w="352"/>
        <w:gridCol w:w="1029"/>
        <w:gridCol w:w="264"/>
      </w:tblGrid>
      <w:tr>
        <w:trPr/>
        <w:tc>
          <w:tcPr>
            <w:tcW w:w="58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and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Amount Outstanding Exclusive of Treasury Securities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Coverage per Unit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Involuntary Liquidating Preference per Unit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Market Value per Unit (4)</w:t>
            </w:r>
          </w:p>
        </w:tc>
      </w:tr>
      <w:tr>
        <w:trPr/>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SPV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October 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(1)Total amount of each class of senior securities outstanding at the end of the period presented.</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(2)Asset coverage per unit is expressed in terms of dollar amounts per $1,000 of indebtedness. On August 11, 2021, we received an exemptive order from the SEC to permit us to exclude the senior securities issued by SBIC I or any future SBIC subsidiary of CSWC from the definition of senior securities in the asset coverage requirement applicable to CSWC under the 1940 Act. The asset coverage ratio for a class of senior securities representing indebtedness is calculated as our consolidated total assets, less all liabilities and indebtedness not represented by senior securities (including the SBA Debentures, which represents indebtedness not represented by senior securities pursuant to our exemptive order), divided by senior securities representing indebtedness. </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amount to which such class of senior security would be entitled upon the involuntary liquidation of the issuer in preference to any security junior to it. The “-” indicates information which the SEC expressly does not required to be disclosed for certain types of senior securities.</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(4)Average market value per unit for the Corporate Credit Facility, the SPV Credit Facility, the January 2026 Notes and the October 2026 Notes is not applicable because these are not registered for public trading.</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information in “Part I, Item 1. Business” of </w:t>
      </w:r>
      <w:r>
        <w:rPr>
          <w:rFonts w:ascii="Times New Roman;serif" w:hAnsi="Times New Roman;serif"/>
          <w:b w:val="false"/>
          <w:color w:val="000000"/>
          <w:sz w:val="20"/>
          <w:shd w:fill="FFFFFF" w:val="clear"/>
        </w:rPr>
        <w:t xml:space="preserve">our most recent </w:t>
      </w:r>
      <w:hyperlink r:id="rId24">
        <w:r>
          <w:rPr>
            <w:rStyle w:val="InternetLink"/>
            <w:rFonts w:ascii="Times New Roman;serif" w:hAnsi="Times New Roman;serif"/>
            <w:b w:val="false"/>
            <w:color w:val="0000FF"/>
            <w:sz w:val="20"/>
            <w:u w:val="single"/>
            <w:shd w:fill="FFFFFF" w:val="clear"/>
          </w:rPr>
          <w:t>Annual Report on Form 10-K</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PORTFOLIO COMPANIES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as of June 30, 2024, for the portfolio companies in which we had a debt or equity investment. Other than these investments, our only formal relationships with our portfolio companies are the managerial assistance ancillary to our investments and the board observer or participation rights we may receive. As of June 30, 2024, there were no investments in a portfolio company that represented greater than 5% of our total assets. The following table excludes our investments in marketable securities and temporary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21"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Aerospace &amp; 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ADS TACTICAL,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621 Lynnhaven Parkway, Suite 160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Virginia Beach, VA 23452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P+4.75% (Floor 1.00%)/M, Current Coupon 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EDGE AUTONOMY HOLDINGS,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831 Buckley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Luis Obispo, CA 93401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STELLANT MIDCO,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3100 Lomita Blvd.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Torrance, CA 90505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0.75%)/S, Current Coupon 11.04%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0.75%)/S, Current Coupon 11.19%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Aerospace &amp; Defense (3.43%)*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Building &amp;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BRANDNER DESIGN, LLC</w:t>
            </w:r>
            <w:r>
              <w:rPr>
                <w:rFonts w:ascii="Times New Roman;serif" w:hAnsi="Times New Roman;serif"/>
                <w:b/>
                <w:color w:val="000000"/>
                <w:sz w:val="10"/>
              </w:rPr>
              <w:t>7</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34 Wildcat Way</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Bozeman, MT 59718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SOFR+10.00% (Floor 2.00%)/Q, Current Coupon 15.33%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MAKO STEEL LP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5650 El Camino Real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Carlsbad, CA 92008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0.75%)/Q, Current Coupon 12.99%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Building &amp; Infrastructure Products (2.09%)*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49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78"/>
        <w:gridCol w:w="278"/>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DYNAMIC COMMUNITIES,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5415 W Sligh Ave., Ste 102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Tampa, FL 33634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PIK (Floor 2.00%)/M, Current Coupon 11.44%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PIK (Floor 2.00%)/M, Current Coupon 13.44%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FS VECTOR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1307 New York Ave NW</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Washington, DC 20005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GAINS INTERMEDIATE,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3610-2 N Josey Lane, Suite 223</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Carrollton, TX 75007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INTEGRO PARENT, INC.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State Street Plaza, 9th Floor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New York, NY 19801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SOFR+12.25% PIK (Floor 1.00%)/Q, Current Coupon 17.58%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SPOTLIGHT AR,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1906 Wyandotte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Kansas City, MO 64108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1.00%)/Q, Current Coupon 12.20%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US COURTSCRIPT HOLDINGS,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7227 North 16th Street, Suite 207</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Phoenix, AZ 85020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WINTER SERVICES OPERATIONS,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2100 S 116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 Allis, WI 53227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Business Services (12.29%)*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95,373 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95,554 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ALLIANCE SPORTS GROUP, L.P.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3959 Van Dyke Road, Suite 286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Lutz, FL 33558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Convertible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7/15/2020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HEAT TRAK,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3645 Clearview Pkwy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Doraville, GA 30340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2.00%)/Q,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2.00%)/Q, Current Coupon 15.46%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HYBRID APPAREL,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10711 Walker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Cypress, CA 90630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SOFR+8.25% (Floor 1.00%)/Q, Current Coupon 13.81%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LASH OPCO,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1051 Heights Blvd, Suite 250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SOFR+2.65%, 5.10% PIK (Floor 1.00%)/Q, Current Coupon 13.18%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SOFR+2.65%, 5.10% PIK (Floor 1.00%)/Q, Current Coupon 13.18%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380"/>
        <w:gridCol w:w="356"/>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REVO BRANDS,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5480 Nathan Ln N Ste 120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Plymouth, Minnesota 55442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1.50%)/Q, Current Coupon 12.84%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1.50%)/Q, Current Coupon 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1.50%)/Q, Current Coupon 12.80%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1.50%)/Q, Current Coupon 13.80%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TRU FRAGRANCE &amp; BEAUTY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7725 South Quincy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Willowbrook, IL 60527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SOFR+6.25%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SOFR+5.25% (Floor 1.50%)/Q, Current Coupon 10.55%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1.50%)/Q, Current Coupon 12.55%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YS GARMENTS,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15730 South Figueroa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Gardena, CA 90248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Products (14.48%)*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112,569 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AIR CONDITIONING SPECIALIST, INC.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3025 N. Great Southwest Parkway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Grand Prairie, TX 75050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1.00%)/Q, Current Coupon 12.81%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SOFR+7.25% (Floor 1.00%)/Q, Current Coupon 12.82%</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APPLE ROOFING ADMINISTRATIVE SERVICES, LLC (fka ROOF OPCO,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3001 E Plano Pkwy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LIFT BRANDS,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2411 Galpin Court, Suite 110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Chanhassen, MN 55317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Tranche A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1.00%)/M, Current Coupon 12.94%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Tranche B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9.50%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Tranche C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POOL SERVICE HOLDINGS,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1605 Ben Franklin Highway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Douglassville, PA 19518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TMT BHC BUYER,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3400 Belle Chase 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Lansing, MI 48911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1.50%)/Q, Current Coupon 11.30%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ZIPS CAR WASH,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8400 Belleview Drive, Suite 210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 -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1.50% PIK (Floor 1.00%)/M, Current Coupon 12.69%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1.50% PIK (Floor 1.00%)/M, Current Coupon 12.69%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Services (11.55%)*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91,794 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89,772 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Data Processing &amp; Outsourced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BURNING GLASS INTERMEDIATE HOLDING COMPANY,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Lewis Wharf</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Boston, MA 02110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1.00%)/M, Current Coupon 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LIGHTBOX INTERMEDIATE, L.P.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 Armstrong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Shelton, CT 06484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SOFR+5.00%/Q, Current Coupon 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RESEARCH NOW GROUP,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5800 Tennyson Parkway, Suite 600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1.00%)/Q, Current Coupon 11.09%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(Floor 1.00%)/Q, Current Coupon 15.09%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RETAIL SERVICES WIS CORPORATION</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9265 Sky Park Ct, Ste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Diego, CA 92123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SOFR+8.35% (Floor 1.00%)/Q, Current Coupon 13.83%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Data Processing &amp; Outsourced Services (1.83%)*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KMS,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811 E Waterman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Wichita, KS 67202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SOFR+7.75% (Floor 1.00%)/Q, Current Coupon 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Distribution (1.94%)*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STUDENT RESOURCE CENTER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110 John Scott Hwy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Steubenville, OH 43952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WALL STREET PREP,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180 Wells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Newton, MA 02459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Education (1.54%)*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Energy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ACE GATHERING,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24275 Katy Freeway, Suite 325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Katy, TX 77494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2.00%)/M,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PIPELINE TECHNIQUE LTD.</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23411 Clay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Katy, TX 77493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SOFR+6.75% (Floor 1.00%)/Q, Current Coupon 12.24%</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1.00%)/Q, Current Coupon 12.34%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VEREGY CONSOLIDATED,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3312 E Broadway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Phoenix, AZ 85040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WELL-FOAM,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4215 N Sierra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Odessa, TX 79764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Energy Services (3.59%)*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Environmental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ARBORWORKS,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40266 Junction Drive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Oakhurst, CA 93644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PIK (Floor 1.00%)/M, Current Coupon 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ISLAND PUMP AND TANK,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40 Doyle Court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East Northport, NY 11731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2.00%)/Q Current Coupon 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11,801 </w:t>
            </w:r>
          </w:p>
        </w:tc>
        <w:tc>
          <w:tcPr>
            <w:tcW w:w="2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LIGHTING RETROFIT INTERNATIONAL,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750 MD Route 3 South, Suite 19</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Gambills, MD 21054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Environmental Services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51,216 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JACKSON HEWITT TAX SERVICE,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 Exchange Place, 27th Floor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Jersey City, NJ 07302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2.50%)/Q, Current Coupon 13.80%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NATIONAL CREDIT CARE,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1499 W 121st Ave #300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Westminster, CO 80234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1.00%)/Q, Current Coupon 11.90%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NINJATRADER,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1422 Delgany St., Suite 400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Denver, CO 80202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1.00%)/Q, Current Coupon 12.20%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Financial Services (8.05%)*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67,450 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Food, Agriculture &amp;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AMERICAN NUTS OPERATIONS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12950 San Fernando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Sylmar, CA 91342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A</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SOFR+9.75% PIK (Floor 1.00%)/Q, Current Coupon 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B</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SOFR+11.75% PIK (Floor 1.00%)/Q, Current Coupon 17.20%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FOOD PHARMA SUBSIDIARY HOLDINGS,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10012 Painter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Santa Fe Srpings, CA 90670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SOFR+6.00% (Floor 2.00%)/M, Current Coupon 11.36%</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SOFR+7.00% (Floor 2.00%)/M, Current Coupon 12.36%</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SOFR+8.00% (Floor 2.00%)/M, Current Coupon 13.36%</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41,794 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GULF PACIFIC ACQUISITION,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12010 Taylor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SOFR+6.00% (Floor 1.00%)/Q, Current Coupon 11.49%</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INW MANUFACTURING,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310 Park Lane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Farmington, UT 84025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0.75%)/Q, Current Coupon 11.35%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MAMMOTH BORROWCO,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235 Asylum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Norwich, CT 06360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SOFR+6.25% (Floor 1.50%)/Q, Current Coupon 11.58%</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SOFR+5.25% (Floor 1.50%)/Q, Current Coupon 10.60%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SOFR+7.25% (Floor 1.50%)/Q, Current Coupon 12.60%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SOFR+6.25% (Floor 1.50%)/Q, Current Coupon 11.59%</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26,014 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MUENSTER MILLING COMPANY,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 S Main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Muenster, TX 76252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402"/>
        <w:gridCol w:w="334"/>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NEW SKINNY MIXES,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2849 Executive Drive, Suite 210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Clearwater, FL 33762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Food, Agriculture &amp; Beverage (16.30%)*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126,724 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Equipment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CENTRAL MEDICAL SUPPLY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240 US-206 Ste A</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Flanders, NJ 07836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SOFR+7.00% (Floor 1.75%)/Q, Current Coupon 12.47%</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1.75%)/Q, Current Coupon 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Capex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1.75%)/Q, Current Coupon 12.45%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COMMAND GROUP ACQUISITION,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15 Signal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Ormond Beach, FL 32174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LKC TECHNOLOGIES,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Professional Drive, Suite 222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Gaithersburg, MD 20879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SCRIP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360 Veterans Parkway, Suite 115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Bolingbrook, IL 60440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2.00%)/M, Current Coupon 13.47%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Equipment &amp; Supplies (4.74%)*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36,939 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ISAGENIX INTERNATIONAL,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155 E. Rivulon Blvd.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Gilbert, AZ 85297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 SOFR+4.10% PIK (Floor 1.00%)/Q, Current Coupon 11.93%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LIGHTNING INTERMEDIATE II,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10950 San Jose Blvd, Suite 288</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Jacksonville, FL 32223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1.00%)/S, Current Coupon 12.01%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MICROBE FORMULAS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3750 East Pewter Falls Street, Suite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Meridian, ID 83642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1.00%)/M, Current Coupon 11.44%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Products (4.07%)*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AAC NEW HOLDCO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Powell Place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Brentwood, TN 37027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18.00%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CAVALIER BUYER,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445 Charles H Dimmock Pkwy, Ste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Colonial Heights, VA 23834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CDC DENTAL MANAGEMENT 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3100 Zinfandel Dr. Ste 400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Rancho Cordova, CA 95670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2.00%)/Q, Current Coupon 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CITYVET,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2727 Oak Lawn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Dallas, TX 75219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SOFR+7.00% (Floor 2.00%)/Q, Current Coupon 12.41%</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HH-INSPIRE ACQUISITION,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1010 South Federal Highway, Suite 1010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Delray Beach, FL 33483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SOFR+8.00% (Floor 2.00%)/Q, Current Coupon 13.44%</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INSTITUTES OF HEALTH,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9246 Lightwave Ave, Suite 120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Diego, CA 92123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2.00%)/Q, Current Coupon 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NEUROPSYCHIATRIC HOSPITALS,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112 W. Jefferson Blvd, Suite 600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South Bend, IN 46601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1.00%)/Q, Current Coupon 11.95%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1.00%)/Q, Current Coupon 13.95%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1.00%)/Q,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36,932 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ROSELAND MANAGEMENT,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2737 S Broadway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Tyler, TX 75701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368"/>
        <w:gridCol w:w="368"/>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SPECTRUM OF HOPE,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11820 Cypress Corner Lane, Ste. B</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1.00%)/Q, Current Coupon 13.95%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TALKNY MANAGEMENT HOLDINGS,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 Sumner Pl.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Brooklyn, NY 11206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3.00%)/Q, Current Coupon 12.35%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VERSICARE MANAGEMENT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210 Town Center Drive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Troy, MI 48084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SOFR+8.00% (Floor 1.00%)/Q, Current Coupon 13.58%</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Services (22.70%)*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176,489 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Machinery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C&amp;M CONVEYOR,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446 E 131st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Cleveland, OH 44108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A</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1.50%)/M, Current Coupon 10.94%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B</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1.50%)/M, Current Coupon 12.94%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SUREKAP,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579 Barrow Park Dr.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Winder, GA 30680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1.50%)/Q, Current Coupon 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1.50%)/Q, Current Coupon 12.35%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SYSTEC CORPORATION</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3245 N Mitthoefer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Indianapolis, IN 46235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SOFR+ 8.00% (Floor 1.00%)/Q, Current Coupon 13.46%</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Machinery (5.01%)*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38,952 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DAMOTECH INC.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3620 Ave. des Grande Tourelles Boisbriand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Qc J7H 0A1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2.00%)/Q, Current Coupon 11.20%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SOFR+7.75% (Floor 2.00%)/Q, Current Coupon 13.20%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2.00%)/Q, Current Coupon 12.20%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GPT INDUSTRIES,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4990 N Iris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Wheat Ridge, CO 80033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LLFLEX,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1225 W Burnett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Louisville, KY 40210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0.50% PIK (Floor 1.00%)/Q, Current Coupon 14.95%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Products (3.65%)*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BP LOENBRO HOLDINGS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7401 Church Ranch Blvd, Suite 210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Westminster, CO 80021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SOFR+6.00% (Floor 1.50%)/M, Current Coupon 11.44%</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1.50%)/Q, Current Coupon 11.43%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Services (1.33%)*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10,129 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Media &amp;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360 QUOTE TOPCO,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3853 Northdale Blvd, Suite 373</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Tampa, FL 33624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1.00%)/Q, Current Coupon 11.98%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3.00% PIK (Floor 1.00%)/Q, Current Coupon 14.98%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ACCELERATION,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1875 Century Park E, Suite 1200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 Angeles, CA 90067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SOFR+8.75% (Floor 1.00%)/Q, Current Coupon 14.34%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SOFR+7.75% (Floor 1.00%)/Q, Current Coupon 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SOFR+8.75% (Floor 1.00%)/Q, Current Coupon 14.31%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SOFR+9.75% (Floor 1.00%)/Q, Current Coupon 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ACCELERATION PARTNERS,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 Rae Avenue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Needham, MA 02492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SOFR+8.10% (Floor 1.00%)/Q, Current Coupon 13.55%</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BOND BRAND LOYALTY ULC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 King Street West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Commerce Court, 20th Floor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Toronto, Ontario, M5L 2AI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2.00%)/Q, Current Coupon 11.45%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EXACT BORROWER,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 Division Street West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Greenwich, CT 06830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380"/>
        <w:gridCol w:w="356"/>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IGNITE VISIBILITY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4520 Executive Square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 Jolla, CA 92037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1.50%)/M, Current Coupon 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1.50%)/M, Current Coupon 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Media &amp; Marketing (14.70%)*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118,562 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114,270 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Movies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CRAFTY APES,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127 Lomita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El Segundo, CA 90245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SOFR+9.25% PIK (Floor 1.00%)/M, Current Coupon 14.59%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Movies &amp; Entertainment (2.01%)*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LGM PHARMA,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2758 Circleport Dr.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Erlanger, KY 41018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1.00%)/M, Current Coupon 12.43%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1.00%)/M, Current Coupon 14.43%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1.00%)/M, Current Coupon 13.43%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1.00%)/M, Current Coupon 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STATINMED,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5360 Legacy Dr. Ste 120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PIK (Floor 2.00%)/M, Current Coupon 14.94%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Pharmaceuticals, Biotechnology &amp; Life Sciences (2.63%)*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ONE GROUP,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717 6th Avenue NE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Decatur, AL 35601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SOFR+8.25% (Floor 1.00%)/M, Current Coupon 13.69%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SOFR+8.25%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SWENSONS DRIVE-IN RESTAURANTS,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680 E Cuyahoga Falls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Akron, OH 44310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SOFR+ 6.50% (Floor 2.00%)/Q, Current Coupon 11.80%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Restaurants (3.27%)*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Software &amp; IT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ACACIA BUYERCO V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60 East Rio Salado Parkway, Suite 900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Tempe, AZ 85281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CADMIUM,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19 Newport Drive, Suite 101</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Forest Hill, MD 21050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SOFR+0.00%, 8.00% PIK (Floor 1.00%)/Q, Current Coupon 13.60%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COREL, INC.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333 Preston St. Suite 700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Ottawa, ON, K18 5N4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/Q, Current Coupon 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GRAMMATECH, INC.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6903 Rockledge Dr., Suite 820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Bethesda, MD 20817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(Floor 2.00%)/Q, Current Coupon 14.95%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INFOGAIN CORPORATION</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485 Alberto 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 Gatos, CA 95032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1.00%)/M, Current Coupon 11.19%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ISI ENTERPRISES,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250 Exchange Place, Suite 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Herndon, VA 20170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ZENFOLIO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3515A Edison 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Menlo Park, CA 94025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7/17/2017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7/17/2017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Software &amp; IT Services (7.18%)*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55,814 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Specialty Chemicals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SOUTH COAST TERMINALS,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7402 Wallisville Road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1.00%)/M, Current Coupon 11.44%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Specialty Chemicals (1.85%)*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14,238 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Specialty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ATS OPERATING,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1900 Crestwood Blvd, Suite 302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Irondale, AL 35210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SOFR+6.50% (Floor 1.00%)/Q, Current Coupon 12.06%</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1.00%)/Q, Current Coupon 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CATBIRD NYC,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108 N 7th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Brooklyn, NY 11249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Specialty Retail (4.50%)*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Technology Products &amp; Components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EMERALD TECHNOLOGIES (U.S.) ACQUISITIONCO,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2243 Lundy Avenue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Jose, CA 95131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B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SOFR+6.25% (Floor 1.00%)/Q, Current Coupon 11.75%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TRAFERA, LLC (FKA TRINITY 3,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2550 University Ave W, Suite 315-S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Saint Paul, MN 55114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Unsecured convertible note</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Technology Products &amp; Components (1.12%)*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Telecommunications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BROAD SKY NETWORKS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745 Northwest Mount Washington Dr., Suite 300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Bend, OR 97701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Unsecured convertible note</w:t>
            </w:r>
            <w:r>
              <w:rPr>
                <w:rFonts w:ascii="Times New Roman;serif" w:hAnsi="Times New Roman;serif"/>
                <w:b w:val="false"/>
                <w:color w:val="000000"/>
                <w:sz w:val="10"/>
              </w:rPr>
              <w:t>9,10,13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LOGIX HOLDINGS COMPANY,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2950 North Loop West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P+4.75% (Floor 2.00%)/Q, Current Coupon 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MERCURY ACQUISITION 2021,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3033 Wilson Blvd, Suite 700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Arlington, VA 22201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Second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SOFR+11.00% (Floor 1.00%)/Q, Current Coupon 16.56%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U.S. TELEPACIFIC CORP.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303 Colorado St, Suite 2075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Austin, TX 78701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 6.25% PIK (Floor 1.00%)/Q, Current Coupon 12.75%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Telecommunications (2.24%)*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Transportation &amp; Logistics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EVEREST TRANSPORTATION SYSTEMS,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N La Salle St, Suite 2950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Chicago, IL 60601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1.00%)/M, Current Coupon 13.44%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GUARDIAN FLEET SERVICES,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4701 East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 Palm Beach, FL 33407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1.75% PIK (Floor 2.50%)/Q, Current Coupon 14.45%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ITA HOLDINGS GROUP,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4105 Tradewind St, Hangar #4</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Amarillo, TX 79118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2.00% PIK (Floor 2.00%)/Q, Current Coupon 16.45%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2.00% PIK (Floor 2.00%)/Q,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B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2.00% PIK (Floor 2.00%)/Q, Current Coupon 17.45%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 - A</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2.00% PIK (Floor 2.00%)/Q,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 - B</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2.00% PIK (Floor 2.00%)/Q, Current Coupon 17.45%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14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41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11"/>
        <w:gridCol w:w="437"/>
        <w:gridCol w:w="118"/>
        <w:gridCol w:w="109"/>
        <w:gridCol w:w="109"/>
        <w:gridCol w:w="109"/>
        <w:gridCol w:w="196"/>
        <w:gridCol w:w="871"/>
        <w:gridCol w:w="109"/>
        <w:gridCol w:w="109"/>
        <w:gridCol w:w="109"/>
        <w:gridCol w:w="109"/>
        <w:gridCol w:w="196"/>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LAB LOGISTICS,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1221 S Belt Line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Coppell, TX 75019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1.00%)/M, Current Coupon 12.69%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Transportation &amp; Logistics (7.07%)*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Debt Investments (171.78%)*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Building &amp;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BRANDNER DESIGN, LLC</w:t>
            </w:r>
            <w:r>
              <w:rPr>
                <w:rFonts w:ascii="Times New Roman;serif" w:hAnsi="Times New Roman;serif"/>
                <w:b/>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27,000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Building &amp; Infrastructure Products (0.10%)*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DYNAMIC COMMUNITIES,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250,000 Class A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5,435,211.03 Class B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255,984.22 Class C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2,500,000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FS VECTOR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 Common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SPOTLIGHT AR,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750 Common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US COURTSCRIPT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D-3 LP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211,862.61 Class D-4 LP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211,465.87 Class D-5 LP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Business Services (0.61%)*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ALLIANCE SPORTS GROUP,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3.88% membership preferred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 TRAK,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April 4, 2034)</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SHEARWATER RESEARCH, INC.</w:t>
            </w:r>
            <w:r>
              <w:rPr>
                <w:rFonts w:ascii="Times New Roman;serif" w:hAnsi="Times New Roman;serif"/>
                <w:b/>
                <w:color w:val="000000"/>
                <w:sz w:val="10"/>
              </w:rPr>
              <w:t>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10200 Shellbridge Way, Suite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Richmond, BC V6X 2W9,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1,200,000 Class A Preferred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40,000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TRU FRAGRANCE &amp; BEAUTY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Products (0.66%)*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AIR CONDITIONING SPECIALIST, INC.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1,006,045.85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4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50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278"/>
        <w:gridCol w:w="278"/>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APPLE ROOFING ADMINISTRATIVE SERVICES, LLC (fka ROOF 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535,714.29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250,000 Class B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169,584.62 Class A-1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LIFT BRANDS,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1,051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POOL SERVICE PARTNERS, INC.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TMT BHC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500,000.00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Services (0.86%)*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BINSWANGER HOLDING CORP.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965 Ridge Lake Blvd, Suite 305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Memphis, TN 38120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900,000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Distribution (0.08%)*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STUDENT RESOURCE CENTER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10,502,487.46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2,000,000.00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WALL STREET PREP,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A-1 Preferred Shares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Education (0.26%)*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Environmental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ARBORWORKS,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13,898.32 Class A-1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13,898.32 Class B-1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1,666.67 Class A-1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ISLAND PUMP AND TANK,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1,204,099.26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LIGHTING RETROFIT INTERNATIONAL,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208,333.3333 Series A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203,124.9999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Environmental Services (0.66%)*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NATIONAL CREDIT CARE,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191,049.33 Class A-3 Preferred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NINJATRADER,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2,000,000 Preferred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Financial Services (2.40%)*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18,685 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6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41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278"/>
        <w:gridCol w:w="278"/>
        <w:gridCol w:w="236"/>
        <w:gridCol w:w="109"/>
        <w:gridCol w:w="109"/>
        <w:gridCol w:w="109"/>
        <w:gridCol w:w="288"/>
        <w:gridCol w:w="268"/>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Food, Agriculture &amp; Beverage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AMERICAN NUTS OPERATIONS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3,000,000 units of Class A common stock</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FOOD PHARMA SUBSIDIARY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75,000 Class A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MAMMOTH BORROWCO,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MUENSTER MILLING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1,130,387.32 Class A-1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Food, Agriculture &amp; Beverage (0.52%)*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Equipment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CENTRAL MEDICAL SUPPLY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2,620,670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COMMAND GROUP ACQUISITION,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1,250,000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LKC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SCRIP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Equipment &amp; Supplies (0.60%)*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LIGHTNING INTERMEDIATE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0.42% LLC interest</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Products (0.03%)*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AAC NEW HOLDCO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617,803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(Expiration - December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ASC ORTHO MANAGEMENT COMPANY,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10215 Fernwood Rd. Ste 506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Bethesda, MD 20817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2,572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CAVALIER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780,413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780,413 Class A-1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CDC DENTAL MANAGEMENT 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1,568.70 Class Y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DELPHI LENDER HOLDCO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4421 N Oakland Ave 201</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Milwaukee, WI 53211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254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HH-INSPIRE ACQUISITION,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108,211.42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INSTITUTES OF 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 Class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45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OPCO BORROWER,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1050 East Flamingo Rd, Suite R-180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Las Vegas, NV 89119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1,111.11 shares of common stock</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ROSELAND MANAGEMENT,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3,364 Class A-2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1,100 Class A-1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16,084 Class A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SPECTRUM OF HOPE,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1,110,081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TALKNY MANAGEMENT HOLDINGS,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1,500,000 Class A-1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Services (0.93%)*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SUREKAP,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413,223.14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Machinery (0.06%)*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DAMOTECH INC.</w:t>
            </w:r>
            <w:r>
              <w:rPr>
                <w:rFonts w:ascii="Times New Roman;serif" w:hAnsi="Times New Roman;serif"/>
                <w:b/>
                <w:color w:val="000000"/>
                <w:sz w:val="1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1,127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1,127 Class A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GPT INDUSTRIES,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THE PRODUCTO GROUP,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2980 Turner Road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Jamestown, NY 14701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1,500,000 Class A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Products (1.94%)*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Media &amp;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ACCELERATION,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13,451.22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1,611.22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ACCELERATION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1,019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1,019 Class A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BOND BRAND LOYALTY ULC</w:t>
            </w:r>
            <w:r>
              <w:rPr>
                <w:rFonts w:ascii="Times New Roman;serif" w:hAnsi="Times New Roman;serif"/>
                <w:b/>
                <w:color w:val="000000"/>
                <w:sz w:val="1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EXACT BORROWER,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615.156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IGNITE VISIBILITY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833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833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1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47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278"/>
        <w:gridCol w:w="278"/>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INFOLINKS MEDIA BUYCO,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 North Maple Avenue, Suite 1</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Ridgewood, NJ 07450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1.67% LP interest</w:t>
            </w:r>
            <w:r>
              <w:rPr>
                <w:rFonts w:ascii="Times New Roman;serif" w:hAnsi="Times New Roman;serif"/>
                <w:b w:val="false"/>
                <w:color w:val="000000"/>
                <w:sz w:val="10"/>
              </w:rPr>
              <w:t>9,10,11,13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OUTERBOX,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175 Montrose W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Copley, OH 44321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11,008.6744 Class A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SONOBI, INC.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444 W New England Ave, Suite 220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Winter Park, FL 32789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500,000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9/17/2020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VISTAR MEDIA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1420 Walnut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Philadelphia, PA 19102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171,617 shares of Series A preferred stock</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Media &amp; Marketing (2.36%)*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LGM PHARMA,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161,825.84 units of Class A common stock</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STATINMED,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4,718.62 Class A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39,097.96 Class B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Pharmaceuticals, Biotechnology &amp; Life Sciences (0.75%)*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Software &amp; IT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ACACIA BUYERCO 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B-2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GRAMMATECH, INC.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 Class A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360.06 Class A-1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ISI ENTERPRISES,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1,000,000 Series A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166,667 Series A-1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VTX HOLDINGS,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250 E Arapaho Rd., Suite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Richardson, TX 75081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1,597,707 Series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7/23/2019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Software &amp; IT Services (0.80%)*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Specialty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ATS OPERATING,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CATBIRD NYC,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500,000 Class B units</w:t>
            </w:r>
            <w:r>
              <w:rPr>
                <w:rFonts w:ascii="Times New Roman;serif" w:hAnsi="Times New Roman;serif"/>
                <w:b w:val="false"/>
                <w:color w:val="000000"/>
                <w:sz w:val="10"/>
              </w:rPr>
              <w:t>9,10,11,13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Specialty Retail (0.48%)*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071"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35"/>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196"/>
        <w:gridCol w:w="871"/>
        <w:gridCol w:w="109"/>
        <w:gridCol w:w="109"/>
        <w:gridCol w:w="109"/>
        <w:gridCol w:w="109"/>
        <w:gridCol w:w="196"/>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Technology Products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FLIP ELECTRONICS,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6520 Corporate Ct., Suite 300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Alpharetta, GA 30005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2,446,170 Common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TRAFERA, LLC (FKA TRINITY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896.43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Technology Products &amp; Components (1.10%)*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Telecommunications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BROAD SKY NETWORKS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1,131,579 Series A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89,335 Series C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93,790 Series D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MERCURY ACQUISITION 2021,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12,059,033 Series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Telecommunications (0.23%)*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Transportation &amp; Logistics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GUARDIAN FLEET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1,500,000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February 10, 2033)</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November 30, 2033)</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January 24, 2034)</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ITA HOLDINGS GROUP,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March 29, 2029)</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3/29/2019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June 21, 2033)</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9.25% Class A Membership Interest</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2/14/2018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Transportation &amp; Logistics (1.66%)*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Equity Investments (17.09%)*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Investments (188.87%)*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1,484,078 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1,468,126 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*Value as a percent of net assets. All amounts are stated in U.S. Dollars. </w:t>
      </w:r>
    </w:p>
    <w:p>
      <w:pPr>
        <w:pStyle w:val="TextBody"/>
        <w:bidi w:val="0"/>
        <w:spacing w:before="0" w:after="0"/>
        <w:jc w:val="left"/>
        <w:rPr/>
      </w:pPr>
      <w:r>
        <w:rPr/>
      </w:r>
    </w:p>
    <w:p>
      <w:pPr>
        <w:pStyle w:val="TextBody"/>
        <w:bidi w:val="0"/>
        <w:spacing w:lineRule="auto" w:line="312" w:before="0" w:after="16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All debt investments are income-producing, unless otherwise noted. Equity investments are non-income producing, unless otherwise noted.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16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All of the Company’s investments, the investments of SPV and the investments of SBIC I are pledged as collateral for the Company’s senior secured revolving credit facility, the SPV's financing credit facility or in support of the SBA-guaranteed debentures to be issued by SBIC I, the Company's wholly-owned subsidiary that operates as a small business investment company, respectively.</w:t>
      </w:r>
    </w:p>
    <w:p>
      <w:pPr>
        <w:pStyle w:val="TextBody"/>
        <w:bidi w:val="0"/>
        <w:spacing w:lineRule="auto" w:line="312" w:before="0" w:after="16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The majority of investments bear interest at a rate that may be determined by reference to Secured Overnight Financing Rate ("SOFR") or Prime (“P”) and reset daily (D), monthly (M), quarterly (Q), or semiannually (S). For each investment, the Company has provided the spread over SOFR or Prime and the current contractual interest rate in effect at June 30, 2024. Certain investments are subject to an interest rate floor. As noted, certain investments accrue payment-in-kind ("PIK") interest. SOFR based contracts may include a credit spread adjustment (the "Adjustment") that is charged in addition to the stated spread. The Adjustment is applied when the SOFR rate, plus the Adjustment, exceeds the stated floor rate, as applicable. As of June 30, 2024, SOFR based contracts in the portfolio had Adjustments ranging from 0.00% to 0.26161%. Refer to Note 4 — Fair Value Measurements to our unaudited consolidated financial statements in our most recent Quarterly Report on Form 10-Q for further discussion. </w:t>
      </w:r>
    </w:p>
    <w:p>
      <w:pPr>
        <w:pStyle w:val="TextBody"/>
        <w:bidi w:val="0"/>
        <w:spacing w:lineRule="auto" w:line="312" w:before="0" w:after="16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The Company's investment portfolio is comprised entirely of debt and equity securities of privately held companies for which quoted prices falling within the categories of Level 1 and Level 2 inputs are not readily available. Therefore, the Company values all of its portfolio investments at fair value, as determined in good faith by the valuation committee comprised of certain officers of the Company as the valuation designee of the Board of Directors pursuant to Rule 2a-5 under the Investment Company Act of 1940, as amended (the “1940 Act”), using significant unobservable Level 3 inputs. </w:t>
      </w:r>
    </w:p>
    <w:p>
      <w:pPr>
        <w:pStyle w:val="TextBody"/>
        <w:bidi w:val="0"/>
        <w:spacing w:lineRule="auto" w:line="312" w:before="0" w:after="16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Non-Control/Non-Affiliate investments are generally defined by the 1940 Act, as investments that are neither control investments nor affiliate investments. At June 30, 2024, the Company held $1,274.6 million of non-control/non-affiliate investments, which represented approximately 86.8% of the Company’s investment assets. The fair value of these investments as a percent of net assets is 164.0%.</w:t>
      </w:r>
    </w:p>
    <w:p>
      <w:pPr>
        <w:pStyle w:val="TextBody"/>
        <w:bidi w:val="0"/>
        <w:spacing w:lineRule="auto" w:line="312" w:before="0" w:after="16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Affiliate investments are generally defined by the 1940 Act as investments in which between 5% and 25% of the voting securities are owned and the investments are not classified as control investments. At June 30, 2024, the Company held $184.2 million of affiliate investments, which represented approximately 12.6% of the Company’s investment assets. The fair value of these investments as a percent of net assets is 23.7%.</w:t>
      </w:r>
    </w:p>
    <w:p>
      <w:pPr>
        <w:pStyle w:val="TextBody"/>
        <w:bidi w:val="0"/>
        <w:spacing w:lineRule="auto" w:line="312" w:before="0" w:after="160"/>
        <w:ind w:left="0" w:right="0" w:hanging="360"/>
        <w:jc w:val="both"/>
        <w:rPr/>
      </w:pPr>
      <w:r>
        <w:rPr>
          <w:rFonts w:ascii="Times New Roman;serif" w:hAnsi="Times New Roman;serif"/>
          <w:b w:val="false"/>
          <w:color w:val="000000"/>
          <w:sz w:val="12"/>
        </w:rPr>
        <w:t>7.</w:t>
      </w:r>
      <w:r>
        <w:rPr>
          <w:rFonts w:ascii="Times New Roman;serif" w:hAnsi="Times New Roman;serif"/>
          <w:b w:val="false"/>
          <w:color w:val="000000"/>
          <w:sz w:val="18"/>
        </w:rPr>
        <w:t>Control investments are generally defined by the 1940 Act as investments in which more than 25% of the voting securities are owned. At June 30, 2024, the Company held $9.4 million of control investments, which represented approximately 0.6% of the Company's investment assets. The fair value of these investments as a percent of net assets is 1.2%.</w:t>
      </w:r>
    </w:p>
    <w:p>
      <w:pPr>
        <w:pStyle w:val="TextBody"/>
        <w:bidi w:val="0"/>
        <w:spacing w:lineRule="auto" w:line="312" w:before="0" w:after="160"/>
        <w:ind w:left="0" w:right="0" w:hanging="360"/>
        <w:jc w:val="both"/>
        <w:rPr/>
      </w:pPr>
      <w:r>
        <w:rPr>
          <w:rFonts w:ascii="Times New Roman;serif" w:hAnsi="Times New Roman;serif"/>
          <w:b w:val="false"/>
          <w:color w:val="000000"/>
          <w:sz w:val="12"/>
        </w:rPr>
        <w:t>8.</w:t>
      </w:r>
      <w:r>
        <w:rPr>
          <w:rFonts w:ascii="Times New Roman;serif" w:hAnsi="Times New Roman;serif"/>
          <w:b w:val="false"/>
          <w:color w:val="000000"/>
          <w:sz w:val="18"/>
        </w:rPr>
        <w:t>The investment is structured as a first lien last out term loan.</w:t>
      </w:r>
    </w:p>
    <w:p>
      <w:pPr>
        <w:pStyle w:val="TextBody"/>
        <w:bidi w:val="0"/>
        <w:spacing w:lineRule="auto" w:line="312" w:before="0" w:after="160"/>
        <w:ind w:left="0" w:right="0" w:hanging="360"/>
        <w:jc w:val="both"/>
        <w:rPr/>
      </w:pPr>
      <w:r>
        <w:rPr>
          <w:rFonts w:ascii="Times New Roman;serif" w:hAnsi="Times New Roman;serif"/>
          <w:b w:val="false"/>
          <w:color w:val="000000"/>
          <w:sz w:val="12"/>
        </w:rPr>
        <w:t>9.</w:t>
      </w:r>
      <w:r>
        <w:rPr>
          <w:rFonts w:ascii="Times New Roman;serif" w:hAnsi="Times New Roman;serif"/>
          <w:b w:val="false"/>
          <w:color w:val="000000"/>
          <w:sz w:val="18"/>
        </w:rPr>
        <w:t>Indicates assets that are not considered "qualifying assets" under Section 55(a) of the 1940 Act. Qualifying assets must represent at least 70% of total assets at the time of acquisition of any additional non-qualifying assets. As of June 30, 2024, approximately 10.9% of the Company's total assets (at fair value) were non-qualifying assets.</w:t>
      </w:r>
    </w:p>
    <w:p>
      <w:pPr>
        <w:pStyle w:val="TextBody"/>
        <w:bidi w:val="0"/>
        <w:spacing w:lineRule="auto" w:line="312" w:before="0" w:after="160"/>
        <w:ind w:left="0" w:right="0" w:hanging="360"/>
        <w:jc w:val="both"/>
        <w:rPr/>
      </w:pPr>
      <w:r>
        <w:rPr>
          <w:rFonts w:ascii="Times New Roman;serif" w:hAnsi="Times New Roman;serif"/>
          <w:b w:val="false"/>
          <w:color w:val="000000"/>
          <w:sz w:val="12"/>
        </w:rPr>
        <w:t>10.</w:t>
      </w:r>
      <w:r>
        <w:rPr>
          <w:rFonts w:ascii="Times New Roman;serif" w:hAnsi="Times New Roman;serif"/>
          <w:b w:val="false"/>
          <w:color w:val="000000"/>
          <w:sz w:val="18"/>
        </w:rPr>
        <w:t>The investment has an unfunded commitment as of June 30, 2024. Refer to Note 10 - Commitments and Contingencies to our unaudited consolidated financial statements in our most recent Quarterly Report on Form 10-Q for further discussion.</w:t>
      </w:r>
    </w:p>
    <w:p>
      <w:pPr>
        <w:pStyle w:val="TextBody"/>
        <w:bidi w:val="0"/>
        <w:spacing w:lineRule="auto" w:line="312" w:before="0" w:after="160"/>
        <w:ind w:left="0" w:right="0" w:hanging="360"/>
        <w:jc w:val="both"/>
        <w:rPr/>
      </w:pPr>
      <w:r>
        <w:rPr>
          <w:rFonts w:ascii="Times New Roman;serif" w:hAnsi="Times New Roman;serif"/>
          <w:b w:val="false"/>
          <w:color w:val="000000"/>
          <w:sz w:val="12"/>
        </w:rPr>
        <w:t>11.</w:t>
      </w:r>
      <w:r>
        <w:rPr>
          <w:rFonts w:ascii="Times New Roman;serif" w:hAnsi="Times New Roman;serif"/>
          <w:b w:val="false"/>
          <w:color w:val="000000"/>
          <w:sz w:val="18"/>
        </w:rPr>
        <w:t>Income producing through dividends or distributions.</w:t>
      </w:r>
    </w:p>
    <w:p>
      <w:pPr>
        <w:pStyle w:val="TextBody"/>
        <w:bidi w:val="0"/>
        <w:spacing w:lineRule="auto" w:line="312" w:before="0" w:after="160"/>
        <w:ind w:left="0" w:right="0" w:hanging="360"/>
        <w:jc w:val="both"/>
        <w:rPr/>
      </w:pPr>
      <w:r>
        <w:rPr>
          <w:rFonts w:ascii="Times New Roman;serif" w:hAnsi="Times New Roman;serif"/>
          <w:b w:val="false"/>
          <w:color w:val="000000"/>
          <w:sz w:val="12"/>
        </w:rPr>
        <w:t>12.</w:t>
      </w:r>
      <w:r>
        <w:rPr>
          <w:rFonts w:ascii="Times New Roman;serif" w:hAnsi="Times New Roman;serif"/>
          <w:b w:val="false"/>
          <w:color w:val="000000"/>
          <w:sz w:val="18"/>
        </w:rPr>
        <w:t>As of June 30, 2024, the cumulative gross unrealized appreciation for U.S. federal income tax purposes was approximately $98.0 million; cumulative gross unrealized depreciation for federal income tax purposes was $111.3 million. Cumulative net unrealized depreciation was $13.3 million, based on a tax cost of $1,475.7 million.</w:t>
      </w:r>
    </w:p>
    <w:p>
      <w:pPr>
        <w:pStyle w:val="TextBody"/>
        <w:bidi w:val="0"/>
        <w:spacing w:lineRule="auto" w:line="312" w:before="0" w:after="160"/>
        <w:ind w:left="0" w:right="0" w:hanging="360"/>
        <w:jc w:val="both"/>
        <w:rPr/>
      </w:pPr>
      <w:r>
        <w:rPr>
          <w:rFonts w:ascii="Times New Roman;serif" w:hAnsi="Times New Roman;serif"/>
          <w:b w:val="false"/>
          <w:color w:val="000000"/>
          <w:sz w:val="12"/>
        </w:rPr>
        <w:t>13.</w:t>
      </w:r>
      <w:r>
        <w:rPr>
          <w:rFonts w:ascii="Times New Roman;serif" w:hAnsi="Times New Roman;serif"/>
          <w:b w:val="false"/>
          <w:color w:val="000000"/>
          <w:sz w:val="18"/>
        </w:rPr>
        <w:t>Investment is held through a wholly-owned taxable subsidiary that has elected to be treated as a corporation for U.S. federal income tax purposes. Refer to Prospectus Summary - Organization in this Prospectus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160"/>
        <w:ind w:left="0" w:right="0" w:hanging="360"/>
        <w:jc w:val="both"/>
        <w:rPr/>
      </w:pPr>
      <w:r>
        <w:rPr>
          <w:rFonts w:ascii="Times New Roman;serif" w:hAnsi="Times New Roman;serif"/>
          <w:b w:val="false"/>
          <w:color w:val="000000"/>
          <w:sz w:val="12"/>
        </w:rPr>
        <w:t>14.</w:t>
      </w:r>
      <w:r>
        <w:rPr>
          <w:rFonts w:ascii="Times New Roman;serif" w:hAnsi="Times New Roman;serif"/>
          <w:b w:val="false"/>
          <w:color w:val="000000"/>
          <w:sz w:val="18"/>
        </w:rPr>
        <w:t>The Company generally acquires its investments in private transactions exempt from registration under the Securities Act of 1933. These investments, which, as of June 30, 2024, represented 188.9% of the Company's net assets or 95.1% of the Company's total assets, are generally subject to certain limitations on resale, and may be deemed "restricted securities" under the Securities Act.</w:t>
      </w:r>
    </w:p>
    <w:p>
      <w:pPr>
        <w:pStyle w:val="TextBody"/>
        <w:bidi w:val="0"/>
        <w:spacing w:lineRule="auto" w:line="312" w:before="0" w:after="160"/>
        <w:ind w:left="0" w:right="0" w:hanging="360"/>
        <w:jc w:val="both"/>
        <w:rPr/>
      </w:pPr>
      <w:r>
        <w:rPr>
          <w:rFonts w:ascii="Times New Roman;serif" w:hAnsi="Times New Roman;serif"/>
          <w:b w:val="false"/>
          <w:color w:val="000000"/>
          <w:sz w:val="12"/>
        </w:rPr>
        <w:t>15.</w:t>
      </w:r>
      <w:r>
        <w:rPr>
          <w:rFonts w:ascii="Times New Roman;serif" w:hAnsi="Times New Roman;serif"/>
          <w:b w:val="false"/>
          <w:color w:val="000000"/>
          <w:sz w:val="18"/>
        </w:rPr>
        <w:t>The investment is structured as a split lien term loan, which provides the Company with a first lien priority on certain assets of the obligor and a second lien priority on different assets of the obligor.</w:t>
      </w:r>
    </w:p>
    <w:p>
      <w:pPr>
        <w:pStyle w:val="TextBody"/>
        <w:bidi w:val="0"/>
        <w:spacing w:lineRule="auto" w:line="312" w:before="0" w:after="160"/>
        <w:ind w:left="0" w:right="0" w:hanging="360"/>
        <w:jc w:val="both"/>
        <w:rPr/>
      </w:pPr>
      <w:r>
        <w:rPr>
          <w:rFonts w:ascii="Times New Roman;serif" w:hAnsi="Times New Roman;serif"/>
          <w:b w:val="false"/>
          <w:color w:val="000000"/>
          <w:sz w:val="12"/>
        </w:rPr>
        <w:t>16.</w:t>
      </w:r>
      <w:r>
        <w:rPr>
          <w:rFonts w:ascii="Times New Roman;serif" w:hAnsi="Times New Roman;serif"/>
          <w:b w:val="false"/>
          <w:color w:val="000000"/>
          <w:sz w:val="18"/>
        </w:rPr>
        <w:t>Investment is on non-accrual status as of June 30, 2024, meaning the Company has ceased to recognize interest income on the investment.</w:t>
      </w:r>
    </w:p>
    <w:p>
      <w:pPr>
        <w:pStyle w:val="TextBody"/>
        <w:bidi w:val="0"/>
        <w:spacing w:lineRule="auto" w:line="312" w:before="0" w:after="160"/>
        <w:ind w:left="0" w:right="0" w:hanging="360"/>
        <w:jc w:val="both"/>
        <w:rPr/>
      </w:pPr>
      <w:r>
        <w:rPr>
          <w:rFonts w:ascii="Times New Roman;serif" w:hAnsi="Times New Roman;serif"/>
          <w:b w:val="false"/>
          <w:color w:val="000000"/>
          <w:sz w:val="12"/>
        </w:rPr>
        <w:t>17.</w:t>
      </w:r>
      <w:r>
        <w:rPr>
          <w:rFonts w:ascii="Times New Roman;serif" w:hAnsi="Times New Roman;serif"/>
          <w:b w:val="false"/>
          <w:color w:val="000000"/>
          <w:sz w:val="18"/>
        </w:rPr>
        <w:t>Negative cost in this column represents the original issue discount of certain undrawn revolvers and delayed draw term loans.</w:t>
      </w:r>
    </w:p>
    <w:p>
      <w:pPr>
        <w:pStyle w:val="TextBody"/>
        <w:bidi w:val="0"/>
        <w:spacing w:lineRule="auto" w:line="312" w:before="0" w:after="160"/>
        <w:ind w:left="0" w:right="0" w:hanging="360"/>
        <w:jc w:val="both"/>
        <w:rPr/>
      </w:pPr>
      <w:r>
        <w:rPr>
          <w:rFonts w:ascii="Times New Roman;serif" w:hAnsi="Times New Roman;serif"/>
          <w:b w:val="false"/>
          <w:color w:val="000000"/>
          <w:sz w:val="12"/>
        </w:rPr>
        <w:t>18.</w:t>
      </w:r>
      <w:r>
        <w:rPr>
          <w:rFonts w:ascii="Times New Roman;serif" w:hAnsi="Times New Roman;serif"/>
          <w:b w:val="false"/>
          <w:color w:val="000000"/>
          <w:sz w:val="18"/>
        </w:rPr>
        <w:t>Equity ownership may be held in shares or units of a company that is either wholly owned by the portfolio company or under common control by the same parent company to the portfolio company.</w:t>
      </w:r>
    </w:p>
    <w:p>
      <w:pPr>
        <w:pStyle w:val="TextBody"/>
        <w:bidi w:val="0"/>
        <w:spacing w:lineRule="auto" w:line="312" w:before="0" w:after="160"/>
        <w:ind w:left="0" w:right="0" w:hanging="360"/>
        <w:jc w:val="both"/>
        <w:rPr/>
      </w:pPr>
      <w:r>
        <w:rPr>
          <w:rFonts w:ascii="Times New Roman;serif" w:hAnsi="Times New Roman;serif"/>
          <w:b w:val="false"/>
          <w:color w:val="000000"/>
          <w:sz w:val="12"/>
        </w:rPr>
        <w:t>19.</w:t>
      </w:r>
      <w:r>
        <w:rPr>
          <w:rFonts w:ascii="Times New Roman;serif" w:hAnsi="Times New Roman;serif"/>
          <w:b w:val="false"/>
          <w:color w:val="000000"/>
          <w:sz w:val="18"/>
        </w:rPr>
        <w:t>The investment is structured as a first lien first out term loan.</w:t>
      </w:r>
    </w:p>
    <w:p>
      <w:pPr>
        <w:pStyle w:val="TextBody"/>
        <w:bidi w:val="0"/>
        <w:spacing w:lineRule="auto" w:line="312" w:before="0" w:after="160"/>
        <w:ind w:left="0" w:right="0" w:hanging="360"/>
        <w:jc w:val="both"/>
        <w:rPr/>
      </w:pPr>
      <w:r>
        <w:rPr>
          <w:rFonts w:ascii="Times New Roman;serif" w:hAnsi="Times New Roman;serif"/>
          <w:b w:val="false"/>
          <w:color w:val="000000"/>
          <w:sz w:val="12"/>
        </w:rPr>
        <w:t>20.</w:t>
      </w:r>
      <w:r>
        <w:rPr>
          <w:rFonts w:ascii="Times New Roman;serif" w:hAnsi="Times New Roman;serif"/>
          <w:b w:val="false"/>
          <w:color w:val="000000"/>
          <w:sz w:val="18"/>
        </w:rPr>
        <w:t>The rate presented represents a weighted average rate for borrowings under the facility as of June 30, 2024.</w:t>
      </w:r>
    </w:p>
    <w:p>
      <w:pPr>
        <w:pStyle w:val="TextBody"/>
        <w:bidi w:val="0"/>
        <w:spacing w:lineRule="auto" w:line="312" w:before="0" w:after="160"/>
        <w:ind w:left="0" w:right="0" w:hanging="360"/>
        <w:jc w:val="both"/>
        <w:rPr/>
      </w:pPr>
      <w:r>
        <w:rPr>
          <w:rFonts w:ascii="Times New Roman;serif" w:hAnsi="Times New Roman;serif"/>
          <w:b w:val="false"/>
          <w:color w:val="000000"/>
          <w:sz w:val="12"/>
        </w:rPr>
        <w:t>21.</w:t>
      </w:r>
      <w:r>
        <w:rPr>
          <w:rFonts w:ascii="Times New Roman;serif" w:hAnsi="Times New Roman;serif"/>
          <w:b w:val="false"/>
          <w:color w:val="000000"/>
          <w:sz w:val="18"/>
        </w:rPr>
        <w:t>Unless otherwise noted, all portfolio company headquarters are based in the United States.</w:t>
      </w:r>
    </w:p>
    <w:p>
      <w:pPr>
        <w:pStyle w:val="TextBody"/>
        <w:bidi w:val="0"/>
        <w:spacing w:lineRule="auto" w:line="312" w:before="0" w:after="160"/>
        <w:ind w:left="0" w:right="0" w:hanging="360"/>
        <w:jc w:val="both"/>
        <w:rPr/>
      </w:pPr>
      <w:r>
        <w:rPr>
          <w:rFonts w:ascii="Times New Roman;serif" w:hAnsi="Times New Roman;serif"/>
          <w:b w:val="false"/>
          <w:color w:val="000000"/>
          <w:sz w:val="12"/>
        </w:rPr>
        <w:t>22.</w:t>
      </w:r>
      <w:r>
        <w:rPr>
          <w:rFonts w:ascii="Times New Roman;serif" w:hAnsi="Times New Roman;serif"/>
          <w:b w:val="false"/>
          <w:color w:val="000000"/>
          <w:sz w:val="18"/>
        </w:rPr>
        <w:t>Portfolio company headquarters are located outside of the United States.</w:t>
      </w:r>
    </w:p>
    <w:p>
      <w:pPr>
        <w:pStyle w:val="TextBody"/>
        <w:bidi w:val="0"/>
        <w:spacing w:lineRule="auto" w:line="312" w:before="0" w:after="160"/>
        <w:jc w:val="both"/>
        <w:rPr>
          <w:rFonts w:ascii="Times New Roman;serif" w:hAnsi="Times New Roman;serif"/>
          <w:b w:val="false"/>
          <w:color w:val="000000"/>
          <w:sz w:val="18"/>
        </w:rPr>
      </w:pPr>
      <w:r>
        <w:rPr>
          <w:rFonts w:ascii="Times New Roman;serif" w:hAnsi="Times New Roman;serif"/>
          <w:b w:val="false"/>
          <w:color w:val="000000"/>
          <w:sz w:val="18"/>
        </w:rPr>
        <w:t>As of June 30, 2024, there were no investments that represented greater than 5% of our total assets.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MANAGEMENT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in the sections titled “Governance of the Company” and “Compensation Discussion and Analysis” in our most recent </w:t>
      </w:r>
      <w:hyperlink r:id="rId25">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CERTAIN RELATIONSHIPS AND RELATED TRANSACTIONS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in the section titled “Certain Relationships and Related Party Transactions” in our most recent </w:t>
      </w:r>
      <w:hyperlink r:id="rId26">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shd w:fill="FFFFFF" w:val="clear"/>
        </w:rPr>
        <w:t>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CONTROL PERSONS AND PRINCIPAL SHAREHOLDERS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contained under the captions “Security Ownership of Certain Beneficial Owners and Management” in our most recent </w:t>
      </w:r>
      <w:hyperlink r:id="rId27">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rPr>
        <w:t>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DETERMINATION OF NET ASSET VALUE</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The NAV per share of our outstanding shares of common stock is determined quarterly by dividing the value of total assets minus liabilities by the total number of shares outstanding. We calculate the value of our investments in accordance with the procedures described in “Part I, Item 1. Business – Determination of Net Asset Value” of </w:t>
      </w:r>
      <w:r>
        <w:rPr>
          <w:rFonts w:ascii="Times New Roman;serif" w:hAnsi="Times New Roman;serif"/>
          <w:b w:val="false"/>
          <w:color w:val="000000"/>
          <w:sz w:val="20"/>
          <w:shd w:fill="FFFFFF" w:val="clear"/>
        </w:rPr>
        <w:t xml:space="preserve">our most recent </w:t>
      </w:r>
      <w:hyperlink r:id="rId28">
        <w:r>
          <w:rPr>
            <w:rStyle w:val="InternetLink"/>
            <w:rFonts w:ascii="Times New Roman;serif" w:hAnsi="Times New Roman;serif"/>
            <w:b w:val="false"/>
            <w:color w:val="0000FF"/>
            <w:sz w:val="20"/>
            <w:u w:val="single"/>
            <w:shd w:fill="FFFFFF" w:val="clear"/>
          </w:rPr>
          <w:t>Annual Report on Form 10-K</w:t>
        </w:r>
      </w:hyperlink>
      <w:r>
        <w:rPr>
          <w:rFonts w:ascii="Times New Roman;serif" w:hAnsi="Times New Roman;serif"/>
          <w:b w:val="false"/>
          <w:color w:val="000000"/>
          <w:sz w:val="20"/>
          <w:shd w:fill="FFFFFF" w:val="clear"/>
        </w:rPr>
        <w:t>, which </w:t>
      </w:r>
      <w:r>
        <w:rPr>
          <w:rFonts w:ascii="Times New Roman;serif" w:hAnsi="Times New Roman;serif"/>
          <w:b w:val="false"/>
          <w:color w:val="000000"/>
          <w:sz w:val="20"/>
        </w:rPr>
        <w:t>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SALES OF COMMON STOCK BELOW NET ASSET VALUE</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do not currently anticipate doing so, our shareholders may from time to time be asked to vote to allow us to issue common stock at a price below the NAV per share of our common stock. In such an approval, our shareholders may not specify a maximum discount below NAV at which we are able to issue our common stock. In order to sell shares pursuant to such a shareholder authorization: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majority of our independent directors who have no financial interest in the sale must have approved the sale;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majority of such directors, who are not “interested persons” (as defined in Section 2(a)(19) of the 1940 Act) of CSWC, in consultation with the underwriter or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offering of common stock below NAV per share will be designed to raise capital for investment in accordance with our investment objective and strategies.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making a determination that an offering below NAV per share is in our and our shareholders’ best interests, the Board would consider a variety of factors including: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that an offering below NAV per share would have on our shareholders, including the potential dilution they would experience as a result of the offering;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per share by which the offering price per share and the net proceeds per share are less than the most recently determined NAV per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relationship of recent market prices of our common stock to NAV per share and the potential impact of the offering on the market price per share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whether the proposed offering price would closely approximate the market value of our shares;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potential market impact of being able to raise capital during the current financial market difficulties;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nature of any new investors anticipated to acquire shares in the offering;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anticipated rate of return on and quality, type and availability of investments to be funded with the proceeds from the offering, if any;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leverage available to us, both before and after any offering, and the terms thereof.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by us of our common stock at a discount to NAV pose potential risks for our existing shareholders whether or not they participate in the offering, as well as for new investors who participate in the offering.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three headings and accompanying tables will explain and provide hypothetical examples on the impact of an offering at a price less than NAV per share on three different sets of investors: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existing shareholders who do not purchase any shares in the offering;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existing shareholders who purchase a relatively small amount of shares in the offering or a relatively large amount of shares in the offering;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new investors who become shareholders by purchasing shares in the offering.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Impact on Existing Shareholders who do not Participate in the Offering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existing shareholders who do not participate in an offering below NAV per share or who do not buy additional shares in the secondary market at the same or lower price we obtain in the offering (after expenses and commissions) face the greatest potential risks. These shareholders will experience an immediate decrease (often called dilution) in the NAV of the shares they hold and their NAV per share. These shareholders also will experience a disproportionately greater decrease in their participation in our earnings and assets and their voting power than the increase we will experience in our assets, potential earning power and voting interests due to the offering. These shareholders also may experience a decline in the market price of their shares, which often reflects to some degree announced or potential decreases in NAV per share. This decrease could be more pronounced as the size of the offering and level of discount to NAV increases.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level of NAV dilution that would be experienced by a nonparticipating shareholders in four different hypothetical offerings of different sizes and levels of discount from NAV per share. Actual sales prices and discounts may differ from the presentation below.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examples assume that Company XYZ has 1,000,000 common shares outstanding, $15,000,000 in total assets and $5,000,000 in total liabilities. The current NAV and NAV per share are thus $10,000,000 and $10.00, respectively. The table illustrates the dilutive effect on nonparticipating Shareholder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(3) an offering of 250,000 shares (25% of the outstanding shares) at $8.00 per share after offering expenses and commissions (a 20% discount from NAV) and (4) an offering of 250,000 shares (25% of the outstanding shares) at $0.01 per share after offering expenses and commissions (a 100% discount from NAV). The prospectus supplement pursuant to which any discounted offering is made will include a chart based on the actual number of shares in such offering and the actual discount to the most recently determined NAV.</w:t>
      </w:r>
    </w:p>
    <w:p>
      <w:pPr>
        <w:pStyle w:val="TextBody"/>
        <w:bidi w:val="0"/>
        <w:spacing w:before="0" w:after="0"/>
        <w:jc w:val="both"/>
        <w:rPr/>
      </w:pPr>
      <w:r>
        <w:rPr/>
      </w:r>
    </w:p>
    <w:tbl>
      <w:tblPr>
        <w:tblW w:w="12897" w:type="dxa"/>
        <w:jc w:val="left"/>
        <w:tblInd w:w="0" w:type="dxa"/>
        <w:tblLayout w:type="fixed"/>
        <w:tblCellMar>
          <w:top w:w="28" w:type="dxa"/>
          <w:left w:w="28" w:type="dxa"/>
          <w:bottom w:w="28" w:type="dxa"/>
          <w:right w:w="28" w:type="dxa"/>
        </w:tblCellMar>
      </w:tblPr>
      <w:tblGrid>
        <w:gridCol w:w="861"/>
        <w:gridCol w:w="229"/>
        <w:gridCol w:w="231"/>
        <w:gridCol w:w="109"/>
        <w:gridCol w:w="109"/>
        <w:gridCol w:w="109"/>
        <w:gridCol w:w="196"/>
        <w:gridCol w:w="736"/>
        <w:gridCol w:w="241"/>
        <w:gridCol w:w="109"/>
        <w:gridCol w:w="109"/>
        <w:gridCol w:w="109"/>
        <w:gridCol w:w="196"/>
        <w:gridCol w:w="736"/>
        <w:gridCol w:w="241"/>
        <w:gridCol w:w="240"/>
        <w:gridCol w:w="241"/>
        <w:gridCol w:w="459"/>
        <w:gridCol w:w="109"/>
        <w:gridCol w:w="109"/>
        <w:gridCol w:w="109"/>
        <w:gridCol w:w="196"/>
        <w:gridCol w:w="736"/>
        <w:gridCol w:w="241"/>
        <w:gridCol w:w="278"/>
        <w:gridCol w:w="278"/>
        <w:gridCol w:w="459"/>
        <w:gridCol w:w="109"/>
        <w:gridCol w:w="109"/>
        <w:gridCol w:w="109"/>
        <w:gridCol w:w="196"/>
        <w:gridCol w:w="736"/>
        <w:gridCol w:w="241"/>
        <w:gridCol w:w="285"/>
        <w:gridCol w:w="286"/>
        <w:gridCol w:w="459"/>
        <w:gridCol w:w="109"/>
        <w:gridCol w:w="109"/>
        <w:gridCol w:w="109"/>
        <w:gridCol w:w="196"/>
        <w:gridCol w:w="736"/>
        <w:gridCol w:w="241"/>
        <w:gridCol w:w="285"/>
        <w:gridCol w:w="286"/>
        <w:gridCol w:w="520"/>
      </w:tblGrid>
      <w:tr>
        <w:trPr/>
        <w:tc>
          <w:tcPr>
            <w:tcW w:w="8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1</w:t>
              <w:br/>
              <w:t>5% Offering at 5%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2</w:t>
              <w:br/>
              <w:t>10% Offering at 10%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3</w:t>
              <w:br/>
              <w:t>25% Offering at 20%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4</w:t>
              <w:br/>
              <w:t>25% Offering at 100% Discount</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Sale Below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Price per Share to Public</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per Share to Issuer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Increase in Shares and Decrease to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Dilution to Nonparticipating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Held by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Outstanding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NAV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by Shareholder A (Assumed to be $10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Dilution to Shareholder A (Total NAV Less Total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per Share Held by Shareholder A (Assumed to be $10 per Share on Shares Held Prior to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Dilution per Share Experienced by Shareholder A (NAV per Share Less Investment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NAV Dilution per Share Experienced by Shareholder A (NAV Dilution per Share Divided by Investment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(1)Assumes 5% in selling compensation and expenses paid by us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Impact on Existing Shareholders who do Participate in the Offering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existing shareholders who participate in an offering below NAV per share or who buy additional shares in the secondary market at the same or lower price as we obtain in the offering (after expenses and commissions) will experience the same types of NAV dilution as the nonparticipating shareholders, albeit at a lower level, to the extent they purchase less than the same percentage of the discounted offering as their interest in our shares immediately prior to the offering. The level of NAV dilution to such shareholders will decrease as the number of shares such shareholders purchase increases. Existing shareholders who buy more than their proportionate percentage will experience NAV dilution but will, in contrast to existing shareholders who purchase less than their proportionate share of the offering, experience an increase (often called accretion) in NAV per share over their investment per share and also will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purchased by such shareholders increases. Even a shareholder who over-participates, however, will be subject to the risk that we may make additional discounted offerings in which such shareholders does not participate, in which case such a shareholder will experience NAV dilution as described above in such subsequent offerings. These shareholders also may experience a decline in the market price of their shares, which often reflects to some degree announced or potential decreases in NAV per share. This decrease could be more pronounced as the size of the offering and the level of discount to NAV increases.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chart illustrates the level of dilution and accretion in the hypothetical 25% offering at a 20% discount from the prior chart (Example 3) for a shareholder that acquires shares equal to (1) 50% of its proportionate share of the offering (i.e., 1,250 shares, which is 0.5% of an offering of 250,000 shares rather than its 1.0% proportionate share) and (2) 150% of such percentage (i.e., 3,750 shares, which is 1.5% of an offering of 250,000 shares rather than its 1.0% proportionate share). The prospectus supplement pursuant to which any discounted offering is made will include a chart for this example based on the actual number of shares in such offering and the actual discount from the most recently determined NAV per share.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4"/>
        <w:gridCol w:w="764"/>
        <w:gridCol w:w="767"/>
        <w:gridCol w:w="109"/>
        <w:gridCol w:w="109"/>
        <w:gridCol w:w="109"/>
        <w:gridCol w:w="229"/>
        <w:gridCol w:w="900"/>
        <w:gridCol w:w="295"/>
        <w:gridCol w:w="109"/>
        <w:gridCol w:w="109"/>
        <w:gridCol w:w="109"/>
        <w:gridCol w:w="211"/>
        <w:gridCol w:w="826"/>
        <w:gridCol w:w="271"/>
        <w:gridCol w:w="320"/>
        <w:gridCol w:w="321"/>
        <w:gridCol w:w="483"/>
        <w:gridCol w:w="109"/>
        <w:gridCol w:w="109"/>
        <w:gridCol w:w="109"/>
        <w:gridCol w:w="211"/>
        <w:gridCol w:w="826"/>
        <w:gridCol w:w="271"/>
        <w:gridCol w:w="308"/>
        <w:gridCol w:w="308"/>
        <w:gridCol w:w="549"/>
      </w:tblGrid>
      <w:tr>
        <w:trPr/>
        <w:tc>
          <w:tcPr>
            <w:tcW w:w="13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50% Participation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150% Participation</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Sale Below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Price per Share to Public</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per Share to Issuer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Increase in Shares and Decrease to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Dilution to Nonparticipating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Held by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Outstanding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NAV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by Shareholder A (Assumed to be $10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Dilution to Shareholder A (Total NAV Less Total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Dilution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per Share Held by Shareholder A (Assumed to be $10 per Share on Shares Held Prior to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Dilution per Share Experienced by Shareholder A (NAV per Share Less Investment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NAV Dilution per Share Experienced by Shareholder A (NAV Dilution per Share Divided by Investment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(1)Assumes 5% in selling compensation and expenses paid by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Impact on New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who are not currently shareholders,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(Example 1 below). On the other hand, investors who are not currently shareholders, but who participate in an offering below NAV per share and whose investment per share is also less than the resulting NAV per share will experience an immediate increase in the NAV of their shares and their NAV per share compared to the price they pay for their shares (Examples 2, 3 and 4 below). These latter investors will experience a disproportionately greater participation in our earnings and assets and their voting power than our increase in assets, potential earning power and voting interests. These investors, however, will be subject to the risk that we may make additional discounted offerings in which such new shareholders does not participate, in which case such new shareholders will experience dilution as described above in such subsequent offerings. These investors also may experience a decline in the market price of their shares, which often reflects to some degree announced or potential decreases in NAV per share. This decrease could be more pronounced as the size of the offering and level of discount to NAV increases.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chart illustrates the level of dilution or accretion for new investors that would be experienced by a new investor in the same hypothetical discounted offerings as described in the first chart above. The illustration is for a new investor who purchases the same percentage (1.00%) of the shares in the offering as Shareholder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NAV per share.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663" w:type="dxa"/>
        <w:jc w:val="left"/>
        <w:tblInd w:w="0" w:type="dxa"/>
        <w:tblLayout w:type="fixed"/>
        <w:tblCellMar>
          <w:top w:w="28" w:type="dxa"/>
          <w:left w:w="28" w:type="dxa"/>
          <w:bottom w:w="28" w:type="dxa"/>
          <w:right w:w="28" w:type="dxa"/>
        </w:tblCellMar>
      </w:tblPr>
      <w:tblGrid>
        <w:gridCol w:w="861"/>
        <w:gridCol w:w="229"/>
        <w:gridCol w:w="231"/>
        <w:gridCol w:w="109"/>
        <w:gridCol w:w="109"/>
        <w:gridCol w:w="109"/>
        <w:gridCol w:w="291"/>
        <w:gridCol w:w="580"/>
        <w:gridCol w:w="252"/>
        <w:gridCol w:w="109"/>
        <w:gridCol w:w="109"/>
        <w:gridCol w:w="109"/>
        <w:gridCol w:w="297"/>
        <w:gridCol w:w="574"/>
        <w:gridCol w:w="241"/>
        <w:gridCol w:w="240"/>
        <w:gridCol w:w="241"/>
        <w:gridCol w:w="459"/>
        <w:gridCol w:w="109"/>
        <w:gridCol w:w="109"/>
        <w:gridCol w:w="109"/>
        <w:gridCol w:w="315"/>
        <w:gridCol w:w="556"/>
        <w:gridCol w:w="241"/>
        <w:gridCol w:w="278"/>
        <w:gridCol w:w="278"/>
        <w:gridCol w:w="459"/>
        <w:gridCol w:w="109"/>
        <w:gridCol w:w="109"/>
        <w:gridCol w:w="109"/>
        <w:gridCol w:w="225"/>
        <w:gridCol w:w="646"/>
        <w:gridCol w:w="241"/>
        <w:gridCol w:w="278"/>
        <w:gridCol w:w="278"/>
        <w:gridCol w:w="459"/>
        <w:gridCol w:w="109"/>
        <w:gridCol w:w="109"/>
        <w:gridCol w:w="109"/>
        <w:gridCol w:w="225"/>
        <w:gridCol w:w="646"/>
        <w:gridCol w:w="241"/>
        <w:gridCol w:w="322"/>
        <w:gridCol w:w="324"/>
        <w:gridCol w:w="520"/>
      </w:tblGrid>
      <w:tr>
        <w:trPr/>
        <w:tc>
          <w:tcPr>
            <w:tcW w:w="8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1</w:t>
              <w:br/>
              <w:t>5% Offering at 5%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2</w:t>
              <w:br/>
              <w:t>10% Offering at 10%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3</w:t>
              <w:br/>
              <w:t>25% Offering at 20%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4</w:t>
              <w:br/>
              <w:t>25% Offering at 100% Discount</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Sale Below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Price per Share to Public</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per Share to Issuer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Increase in Shares and Decrease to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Dilution to Nonparticipating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Held by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Outstanding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NAV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by Shareholder A (Assumed to be $10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Dilution to Shareholder A (Total NAV Less Total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per Share Held by Shareholder A (Assumed to be $10 per Share on Shares Held Prior to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Dilution per Share Experienced by Shareholder A (NAV per Share Less Investment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NAV Dilution per Share Experienced by Shareholder A (NAV Dilution per Share Divided by Investment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79,920 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(1)Assumes 5% in selling compensation and expenses paid by us</w:t>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DIVIDEND REINVESTMENT PLAN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DRIP that provides for the reinvestment of dividends on behalf of our registered shareholders who hold their shares with Equiniti Trust Company, LLC, the plan administrator and our transfer agent and registrar. As a result, if we declare a cash dividend, our registered shareholders who have “opted in” to our DRIP by the dividend record date will have their cash dividend automatically reinvested into additional shares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reinvestment of dividends, participating shareholders have the option of purchasing additional shares of common stock on a periodic basis through our DRIP. A participating shareholders may elect to invest from $100 to $10,000 in any calendar month into the DRIP by sending occasional cash payments or by authorizing monthly automatic cash withdrawals from the participants checking, savings or other bank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participate in the DRIP, a holder of record of 25 or more shares must sign and return an authorization form to the plan administrator.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share requirements of our DRIP may be satisfied through open market purchases of common stock by the plan administrator. Shares purchased in the open market to satisfy the DRIP requirements will be valued based upon the average price of the applicable shares purchased by the plan administrator, before any associated brokerage or other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in the DRIP will only pay their share of brokerage costs. We will pay the plan administrator’s fees under the DRIP.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Shareholders who receive dividends in the form of stock generally are subject to the same U.S. federal, state and local tax consequences as are shareholders who elect to receive their dividends in cash. A shareholder’s adjusted tax basis for determining gain or loss upon the sale of stock received in a dividend from us will be equal to the total dollar amount of the dividend payable to the shareholder. Any stock received in a dividend will have a holding period for tax purposes commencing on the day following the day on which the shares are credited to the U.S. shareholder’s account.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may terminate their accounts under the plan by notifying the plan administrator via its website at www.equiniti.com/us/ast-access, by filling out the transaction request form located at the bottom of their statement and sending it to the plan administrator at Equiniti Trust Company, LLC, Plan Administration, P.O. Box 10027, Newark, New Jersey 07101 or by calling the plan administrators at (888) 666-0141. If notice of termination is received less than five (5) business days before a dividend record date, the plan administrator may not be able to process participant’s notice until after the reinvestment of that dividend.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terminate the plan upon notice in writing mailed to each participant at least 30 days prior to any record date for the payment of any dividend by us. All correspondence concerning the plan should be directed to the plan administrator by mail at Equiniti Trust Company, LLC, Plan Administration, P.O. Box 10027, Newark, New Jersey 07101 or by telephone at (888) 666-0141.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Please refer to </w:t>
      </w:r>
      <w:hyperlink r:id="rId29">
        <w:r>
          <w:rPr>
            <w:rStyle w:val="InternetLink"/>
            <w:rFonts w:ascii="Times New Roman;serif" w:hAnsi="Times New Roman;serif"/>
            <w:b w:val="false"/>
            <w:color w:val="0000FF"/>
            <w:sz w:val="20"/>
            <w:u w:val="single"/>
            <w:shd w:fill="FFFFFF" w:val="clear"/>
          </w:rPr>
          <w:t>Exhibit 4.11 to our Annual Report on Form 10-K for the fiscal year ended March 31, 2024</w:t>
        </w:r>
      </w:hyperlink>
      <w:r>
        <w:rPr>
          <w:rFonts w:ascii="Times New Roman;serif" w:hAnsi="Times New Roman;serif"/>
          <w:b w:val="false"/>
          <w:color w:val="000000"/>
          <w:sz w:val="20"/>
          <w:shd w:fill="FFFFFF" w:val="clear"/>
        </w:rPr>
        <w:t>, which is incorporated by reference into this prospectus, for a description of our common stock. </w:t>
      </w:r>
      <w:r>
        <w:rPr>
          <w:rFonts w:ascii="Times New Roman;serif" w:hAnsi="Times New Roman;serif"/>
          <w:b w:val="false"/>
          <w:color w:val="000000"/>
          <w:sz w:val="20"/>
        </w:rPr>
        <w:t>We urge you to read the applicable prospectus supplement and any related free writing prospectus that we may authorize to be provided to you related to any shares of our common stock being offered.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OUR DEBT SECURITIES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We urge you to read the applicable prospectus supplement and any free writing prospectus that we may authorize to be provided to you related to the series of debt securities being offered, as well as the complete indentures that contain the terms of the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U.S.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the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indenture is attached as an exhibit to the registration statement of which this prospectus is a part. We urge you to read the indenture, including any supplemental indenture applicable to the debt securities, because it, and not this description, defines rights of a holder of debt securities. See “Available Information” for information on how to obtain a copy of the indenture.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which will accompany this prospectus, will describe the particular series of debt securities being offered by including,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designation or title of the series of debt securities;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total principal amount of the series of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percentage of the principal amount at which the series of debt securities will be offered;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date or dates on which principal will be payable;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rate or rates (which may be either fixed or variable) and/or the method of determining such rate or rates of interest,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date or dates from which any interest will accrue, or the method of determining such date or dates, and the date or dates on which any interest will be payable;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any interest may be paid by issuing additional securities of the same series in lieu of cash (and the terms upon which any such interest may be paid by issuing additional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terms for redemption, extension or early repayment,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currencies in which the series of debt securities are issued and payable;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place or places of payment, transfer, conversion and/or exchange of the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denominations in which the offered debt securities will be issued (if other than $2,000 and integral multiple of $1,000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provision for any sinking fund;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restrictive covenants;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events of default;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whether the series of debt securities are issuable in certificated form;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provisions for defeasance, covenant defeasance or discharge;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special U.S. federal income tax implications, including, if applicable, U.S. federal income tax considerations relating to original issue discount;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provisions for convertibility or exchangeability of the debt securities into or for any other securities;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debt securities are subject to subordination and the terms of such subordination;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debt securities are secured and the terms of any security interests;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listing, if any, on a securities exchange;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other terms.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debt securities may be secured or unsecured obligations. Under the provisions of the 1940 Act, we are permitted, as a BDC, to issue debt only in amounts such that our asset coverage, as defined in the 1940 Act, equals at least 150% after each issuance of debt. In accordance with the 1940 Act, on April 25, 2018, the Board unanimously approved the application of the modified asset coverage requirements set forth in Section 61(a)(2) of the 1940 Act. As a result, the minimum asset coverage ratio applicable to the Company was decreased from 200% to 150%, which became effective on April 25, 2019. The Board also approved a resolution that limits the Company’s issuance of senior securities such that the asset coverage ratio, taking into account such issuance, would not be less than 166%, at any time after the effective date. For a discussion of the risks involved with incurring additional leverage, see “Risk Factors” in our annual, quarterly and other reports filed with the SEC from time to time. Unless the prospectus supplement states otherwise, principal (and premium, if any) and interest, if any, will be paid by us in immediately available 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any debt securities proposed to be sold under this prospectus and the accompanying prospectus supplement (“offered debt securities”) may be issued under the indenture in one or more series.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under “ – Merger or Consolidation” below, the indenture does not contain any provisions that give you protection in the event we issue a large amount of debt or we are acquired by another entity.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refer you to the applicable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we will usually issue debt securities in book entry only form represented by global securities and will specify the method of issuance in the applicable prospectus supplement.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Conversion and Exchange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also may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Payment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prospectus supplement, we will pay interest to the person listed in the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the debt securities must work out between themselves the appropriate purchase price. The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Payments on Global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Payment When Offices Are Closed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they will receive payments on their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You will have rights if an Event of Default occurs in respect of the debt securities of your series and is not cured, as described later in this subsection.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“Event of Default” in respect of the debt securities of your series means any of the following (unless the applicable prospectus supplement or supplemental indenture relating to such debt securities states otherwise):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the principal of, or any premium on, a debt security of the series on its due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interest on a debt security of the series within 30 days of its due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deposit any sinking fund payment in respect of debt securities of the series within 2 business days of its due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file for bankruptcy or certain other events of bankruptcy, insolvency or reorganization occur and, in the case of certain orders or decrees entered against us under any bankruptcy law, such order or decree remains undischarged or unstayed for a period of 60 days;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series of debt securities issued under the indenture has an asset coverage, as such term is defined in the 1940 Act, of less than 100 per centum on the last business day of each of twenty-four consecutive calendar months; giving effect to any exemptive relief granted to us by the SEC;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other Event of Default in respect of debt securities of the series described in the prospectus supplement occurs.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Remedies if an Event of Default Occurs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prospectus supplement specifies otherwise, if an Event of Default has occurred and has not been cured, the trustee or the holders of at least 25% in principal amount of the outstanding debt securities of the affected series may (and the trustee shall at the request of such holders) declare the entire principal amount of all the debt securities of that series to be due and immediately payable, but does not entitle any holder to any redemption payout or redemption premium. This is called a declaration of acceleration of maturity. A declaration of acceleration of maturity may be canceled by the holders of a majority in principal amount of the outstanding debt securities of the affected series if (1) we have deposited with the trustee all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due and owing with respect to the securities (other than principal or payments that have become due solely by reason of such acceleration) and certain other amounts, and (2) all Events of Default have been cured or waived.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you must give your trustee written notice that an Event of Default with respect to the relevant series of debt securities has occurred and remains uncured;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trustee must not have taken action for 60 days after receipt of the above notice and offer of indemnity;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 majority in principal amount of the debt securities of that series must not have given the trustee a direction inconsistent with the above notice during that 60-day period.</w:t>
      </w:r>
    </w:p>
    <w:p>
      <w:pPr>
        <w:pStyle w:val="TextBody"/>
        <w:bidi w:val="0"/>
        <w:spacing w:before="0" w:after="2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However, you are entitled at any time to bring a lawsuit for the payment of money due on your debt securities on or after the due date.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a majority in principal amount of the outstanding debt securities of the affected series may waive any past defaults other than: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respect of the payment of principal, any premium or interest;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respect of a covenant that cannot be modified or amended without the consent of each 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Merger or Consolidation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where we merge out of existence or sell all or substantially all of our assets, the resulting entity must agree to be legally responsible for our obligations under the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certain certificates and documents to the trustee;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satisfy any other requirements specified in the prospectus supplement relating to a particular series of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of the foregoing, any subsidiary of ours may consolidate with, merge into or transfer all or part of its property and assets to other subsidiaries of ours or to us. Additionally, this covenant shall not apply to: (1) our merger or the merger of one of our subsidiaries with an affiliate solely for the purpose of reincorporating in another jurisdiction; (2) any conversion by us or a subsidiary from an entity formed under the laws of one state to any entity formed under the laws of another state; (3) any conversion by us or a subsidiary from a limited liability company, corporation, limited partnership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similar entity to a limited liability company, corporation, limited partnership or similar entity, whether the converting entity and converted entity are formed under the laws of the same state or a different state; or (4) any combination of (1) through (3)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Modification or Waiver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three types of changes we can make to the indenture and the debt securities issued thereunder.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Requiring Your Approval </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First, there are changes that we cannot make to your debt securities without your specific approval. The following is a list of those types of changes: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the stated maturity of the principal of, or interest on, a debt security or the terms of any sinking fund with respect to any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any amounts due on a debt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amount of principal payable upon acceleration of the maturity of an original issue discount or indexed security following a default or upon the redemption thereof or the amount thereof provable in a bankruptcy proceeding;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any right of repayment at the holder’s option;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the place (except as otherwise described in the prospectus or prospectus supplement) or currency of payment on a debt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 your right to sue for payment;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any right to convert or exchange a debt security in accordance with its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modify the subordination provisions in the indenture in a manner that is adverse to holders of the outstanding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percentage of holders of debt securities whose consent is needed to modify or amend the indenture;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percentage of holders of debt securities whose consent is needed to waive compliance with certain provisions of the indenture or to waive certain defaults or reduce the percentage of holders of debt securities required to satisfy quorum or voting requirements at a meeting of 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modify any other aspect of the provisions of the indenture dealing with supplemental indentures with the consent of holders, waiver of past defaults, or the waiver of certain covenants;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any obligation we have to pay additional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Not Requiring Approval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type of change does not require any vote by the holders of the debt securities. This type is limited to clarifications, corrections in the indenture to match this “Description of our Debt Securities” or a similar section in any prospectus supplement,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Requiring Majority Approval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Any other change to the indenture and the debt securities would require the following approval: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only one series of debt securities, it must be approved by the holders of a majority in principal amount of that series.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each case, the required approval must be given by written consent.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Further Details Concerning Voting </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When taking a vote, we will use the following rules to decide how much principal to attribute to a debt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original issue discount securities, we will use the principal amount that would be due and payable on the voting date if the maturity of these debt securities were accelerated to that date because of a default.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debt securities whose principal amount is not known (for example, because it is based on an index), we will use the principal face amount at original issuance or a special rule for that debt security described in the prospectus supplement.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debt securities denominated in one or more foreign currencies, we will use the U.S. dollar equivalent.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Debt securities will not be considered outstanding, and therefore not eligible to vote, if we have deposited or set aside in trust money for their payment or redemption or if we, any other obligor, or any affiliate of us or any obligor own such debt securities. Debt securities also will not be eligible to vote if they have been fully defeased as described later under “Defeasance — Full Defeasance.”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Defeasance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Covenant Defeasance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and officers’ certificate stating that all conditions precedent to covenant defeasance have been complied with;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result in a default under, the indenture or any of our other material agreements or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satisfy the conditions for covenant defeasance contained in any supplemental indentures.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Full Defeasance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 change in U.S. federal tax law or we obtain ruling from the U.S. Internal Revenue Service (the “IRS”), as described in the second bullet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and officers’ certificate stating that all conditions precedent to defeasance have been complied with;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constitute a default under, the indenture or any of our other material agreements or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satisfy the conditions for full defeasance contained in any supplemental indentures.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 Subordination.”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Form, Exchange and Transfer of Certificated Registered Securities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If registered debt securities cease to be issued in book-entry form, they will be issued: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only in fully registered certificated 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without interest coupons,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unless we indicate otherwise in the prospectus supplement, in minimum denominations of $2,000 and increased amounts that are multiples of $1,000.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have designated additional transfer agents for your debt security, they will be named in the prospectus supplement. We may appoint additional transfer agents or cancel the appointment of any particular transfer agent. We also may approve a change in the office through which any transfer agent 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may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Resignation of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Indenture Provisions-Subordination and Senior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Senior Indebtedness is defined in the indenture as the principal of (and premium, if any) and unpaid interest 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renewals, extensions, modifications and refinancings of any of this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Secured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In the event of a distribution of our assets upon our insolvency, the holders of unsecured indenture securities may recover less, ratably, than holders of any of our secured indebtedness.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The Trustee under the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U.S. Bank Trust Company, National Association (as successor in interest to U.S. Bank National Association) serves as the trustee under the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Certain Considerations Relating to Foreign Currencies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applicable prospectus supplement, the Depository Trust Company, or DTC, will act as securities depositary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pStyle w:val="TextBody"/>
        <w:bidi w:val="0"/>
        <w:spacing w:lineRule="auto" w:line="288" w:before="0" w:after="0"/>
        <w:jc w:val="both"/>
        <w:rPr/>
      </w:pPr>
      <w:r>
        <w:rPr>
          <w:rFonts w:ascii="Times New Roman;serif" w:hAnsi="Times New Roman;serif"/>
          <w:b w:val="false"/>
          <w:color w:val="000000"/>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Standard &amp; Poor’s Ratings Services’ highest rating: AAA. The DTC Rules applicable to its participants are on file with the SEC. More information about DTC can be found at </w:t>
      </w:r>
      <w:r>
        <w:rPr>
          <w:rFonts w:ascii="Times New Roman;serif" w:hAnsi="Times New Roman;serif"/>
          <w:b w:val="false"/>
          <w:i/>
          <w:color w:val="000000"/>
          <w:sz w:val="20"/>
        </w:rPr>
        <w:t>www.dtcc.com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www.dtc.org</w:t>
      </w:r>
      <w:r>
        <w:rPr>
          <w:rFonts w:ascii="Times New Roman;serif" w:hAnsi="Times New Roman;serif"/>
          <w:b w:val="false"/>
          <w:color w:val="000000"/>
          <w:sz w:val="2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U.S. FEDERAL INCOME TAX CONSIDERATIONS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is a general summary of certain U.S. federal income tax considerations applicable to us and to an investment in our common stock. This summary does not purport to be a complete description of the income tax considerations applicable to us or to investors holding our common stock. For example, we have not described tax consequences that we assume to be generally known by investors or certain considerations that may be relevant to certain types of holders subject to special treatment under U.S. federal income tax laws, including shareholders subject to the alternative minimum tax, tax-exempt organizations, insurance companies, dealers in securities, pension plans and trusts, financial institutions, U.S. shareholders (as defined below) whose functional currency is not the U.S. dollar, persons who mark-to-market our shares, persons who hold our shares as part of a “straddle,” “hedge” or “conversion” transaction, United States expatriates, “controlled foreign corporations,” “passive foreign investment companies,” or corporations that accumulate earnings to avoid U.S. federal income tax, real estate investment trusts, personal holding companies, persons required to accelerate the recognition of gross income as a result of such income being recognized on an applicable financial statement, and persons who acquire an interest in us in connection with the performance of services. Such persons should consult with their own tax advisers as to the U.S. federal income tax consequences of investment, which may differ substantially from those described herein. This summary assumes that investors hold shares of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This summary does not discuss any aspects of U.S. federal estate or gift taxation or foreign, state or local taxation. It does not discuss the special treatment under U.S. federal income tax laws that could result if we invested in tax-exempt securities or certain other investment assets.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our discussion, a “U.S. shareholder” means a beneficial owner of shares of our common stock that is for U.S. federal income tax purposes: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citizen or individual resident of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corporation, or other entity treated as a corporation, created or organized in or under the laws of the United States, any state thereof of, or the District of Columbia;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estate, the income of which is subject to U.S. federal income taxation regardless of its source;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trust if (1) a U.S. court is able to exercise primary supervision over the administration of the trust and one or more U.S. persons have the authority to control all substantial decisions of the trust or (2) it has a valid election in place under applicable U.S. Treasury regulations to be treated as a U.S. person.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discussion, a “Non-U.S. shareholder” means a beneficial owner of shares of our common stock that is neither a U.S. shareholder nor a partnership (including an entity or arrangement treated as a partnership for U.S. federal income tax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entity or arrangement treated as a partnership for U.S. federal income tax purposes holds shares of our common stock, the tax treatment of a partner of the partnership generally will depend upon the status of the partner and the activities of the partnership. A prospective shareholder that is a partner in a partnership holding shares of our common stock should consult his, her or its tax advisors with respect to the purchase, ownership and disposition of shares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Tax matters are very complicated and the tax consequences to an investor of an investment in our common stock will depend on the facts of such investor's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Taxation as a Regulated Investment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Election to be Taxed as a Regulated Investment Company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elected, and intend to qualify annually, to be treated as a RIC under Subchapter M of the Code. As a RIC, we generally are not subject to U.S. federal income tax on any income that we timely distribute to our shareholders from our tax earnings and profits. To qualify as a RIC, we must, among other things, meet certain source-of-income and asset-diversification requirements (as described below). In addition, in order to qualify for RIC tax treatment, we must distribute to our shareholders, for each taxable year, at least 90% of our “investment company taxable income,” which is generally our net ordinary income plus the excess, if any, of realized net short-term capital gain over realized net long-term capital loss, (the “Annual Distribution Requirement”). Depending on the level of taxable income earned in a tax year, we may choose to carry forward taxable income in excess of current year distributions into the next year. In such case, we generally will be subject to U.S. federal income tax imposed at corporate rates on our undistributed taxable income and may be subject to U.S. federal excise, state, local and foreign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Taxation as a RIC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Provided that we qualify as a RIC, we will not be subject to U.S. federal income tax on the portion of our investment company taxable income and net capital gain (which we define as net long-term capital gain in excess of net short-term capital loss) that we timely distribute (or are deemed to distribute) to shareholders. We will be subject to U.S. federal income tax at the regular corporate tax rate on any income or capital gain not distributed (or deemed distributed) to our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calendar year ended December 31 and (3) any net ordinary income and capital gain net income that we recognized, but did not distribute, in preceding years and on which we paid no U.S. federal income tax.</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qualify as a RIC for U.S. federal income tax purposes, we must, among other things: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meet the Annual Distribution Requirement;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qualify to be treated as a BDC or be registered as a management investment company under the 1940 Act at all times during each taxable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derive in each taxable year at least 90% of our gross income from dividends, interest, payments with respect to certain securities loans, gains from the sale or other disposition of stock or other securities or foreign currencies or other income derived with respect to our business of investing in such stock, securities or currencies and net income derived from an interest in a “qualified publicly traded partnership” (as defined in the Code), or the "90% Income Test";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diversify our holdings so that at the end of each quarter of the taxable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more than 25% of the value of our assets is invested in (1) the securities, other than U.S. Government securities or securities of other RICs, of one issuer, (2) the securities, other than securities of other RICs, of two or more issuers that are controlled, as determined under applicable tax rules, by us and that are engaged in the same or similar or related trades or businesses or (3) the securities of one or more “qualified publicly traded partnerships” (collectively, the "Diversification Tests").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invest in entities or arrangements treated as partnerships for U.S. federal income tax purposes (other than a “qualified publicly traded partnership”), we generally must include the items of gross income derived by these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our compliance with the 90% Income Test, we have established a wholly-owned subsidiary that is treated as a corporation for U.S. federal income tax purposes to hold assets from which we do not anticipate earning dividend, interest or other income under the 90% Income Test (the “Taxable Subsidiary”). We may establish additional subsidiaries for the same purpose in the future. Any investments held through the Taxable Subsidiary generally are subject to U.S. federal income, as well as state, local, and other taxes, and therefore we can expect to achieve a reduced after-tax yield on such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required to recognize taxable income in circumstances in which we do not receive a corresponding payment in cash. For example, if we hold debt obligations that are treated under applicable tax rules as having original issue discount (including debt instruments with payment-in-kind interest or, in certain cases, increasing interest rates or issued with warrants), we must include in income each year a portion of the original issue discount or payment-in-kind interest that accrues over the life of the obligation, regardless of whether cash representing such income is received by us in the same taxable year. We anticipate that a portion of our income may constitute original issue discount or other income required to be included in taxable income prior to receipt of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a portfolio company in which we invest may face financial difficulty that requires us to work-out, modify or otherwise restructure our investment in the portfolio company. Any such restructuring may result in unusable capital losses and future non-cash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Gain or loss realized by us from warrants acquired by us as well as any loss attributable to the lapse of such warrants generally will be treated as capital gain or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by us in non-U.S. securities may be subject to non-U.S. income, withholding and other taxes, and therefore, our yield on any such securities may be reduced by such non-U.S. taxes. Shareholders generally will not be entitled to claim a credit or deduction with respect to non-U.S. taxes paid by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borrow funds and to sell assets in order to satisfy distribution requirements. Under the 1940 Act, we are not permitted to make distributions to our shareholders while our debt obligations and other senior securities are outstanding unless certain “asset coverage” tests are met. See “Regulation as a Business Development Company” in our most recently filed Annual Report on Form 10-K, as well as in subsequent filings we make with the SEC.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excise tax, we may make such dispositions at times that, from an investment standpoint, are not advantageous.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RIC, we are not permitted to carry forward or carry back a net operating loss for purposes of computing our investment company taxable income in other taxable years. U.S. federal income tax law generally permits a RIC to carry forward (1) the excess of its net short-term capital loss over its net long-term capital gain for a given year as a short-term capital loss arising on the first day of the following year and (2) the excess of its net long-term capital loss over its net short-term capital gain for a given year as a long-term capital loss arising on the first day of the following year. Future transactions we engage in may cause our ability to use any capital loss carryforwards, and unrealized losses once realized, to be limited under Section 382 of the Code. Certain of our investment practices may be subject to special and complex U.S. federal income tax provisions that may, among other things, (1) disallow, suspend or otherwise limit the allowance of certain losses or deductions, (2) convert lower taxed long-term capital gain and qualified dividend income into higher taxed short-term capital gain or ordinary income, (3) convert an ordinary loss or a deduction into a capital loss (the deductibility of which is more limited), (4) cause us to recognize income or gain without a corresponding receipt of cash, (5) adversely affect the time as to when a purchase or sale of stock or securities is deemed to occur, (6) adversely alter the characterization of certain complex financial transactions and (7) produce income that will not be qualifying income for purposes of the 90% Income Test. We will monitor our transactions and may make certain tax elections in order to mitigate the effect of these provisions.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above, to the extent that we invest in equity securities of entities or arrangements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entity or arrangement is a “qualified publicly traded partnership,” the net income derived from such investments will be qualifying income for purposes of the 90% Income Test and will constitute “securities” for purposes of the Diversification Tests. If the entity or arrangement is not treated as a “qualified publicly traded partnership,” however,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qualification as a RIC. We intend to monitor our investments in equity securities of entities that are treated as partnerships for U.S. federal income tax purposes to prevent our disqualification as a RIC.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invest in preferred securities or other securities the U.S. federal income tax treatment of which may not be clear or may be subject to recharacterization by the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the Code.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certain applicable Treasury regulations and published guidance by the IRS, a publicly offered RIC may treat a distribution of its own stock as fulfilling its RIC distribution requirements if each shareholder may elect to receive his or her entire distribution in either cash or stock of the RIC, subject to a limitation that the aggregate amount of cash to be distributed to all shareholders must be at least 20% of the aggregate declared distribution. If too many shareholders elect to receive cash,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available for distribution must be allocated among the shareholders electing to receive cash (with the balance of the distribution paid in stock). In no event will any shareholder, electing to receive cash, receive less than the lesser of: (a) the portion of the distribution such shareholder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We may pay dividends in shares of our stock in accordance with these Treasury regulations or published guidance.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Failure to Maintain RIC Tax Treatment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90% Income Test or the Diversification Tests for any taxable year, we may nevertheless continue to qualify as a RIC for that year if certain relief provisions are applicable (which may, among other things, require us to pay U.S. federal income tax imposed at corporate rates or to dispose of certain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were unable to maintain tax treatment as a RIC, we would be subject to U.S. federal income tax on all of our taxable income at regular corporate rates. We would not be able to deduct distributions to shareholders, nor would they be required to be made. Distributions would generally be taxable to our shareholders as dividend income to the extent of our current and accumulated earnings and profits. Subject to certain holding period and other limitations under the Code, corporate distributees may be eligible for the dividends-received deduction, and non-corporate distributees generally may be able to treat such dividends as "qualified dividend income," which is subject to reduced rates of U.S. federal income tax. Distributions in excess of our current and accumulated earnings and profits would be treated first as a return of capital to the extent of the shareholder’s adjusted tax basis, and any remaining distributions would be treated as a capital gain.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qualify again to be taxed as a RIC in a subsequent year, we would be required to distribute to our shareholders our earnings and profits attributable to non-RIC years. In addition, if we fail to meet the RIC requirements for more than two consecutive years and then seek to re-qualify as a RIC, we would be subject to U.S. federal income tax on any built-in gain recognized during the succeeding 5-year period unless we made a special election to recognize all built-in gain upon our re-qualification as a RIC and to pay the U.S. federal income tax on such built-in gain.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Taxation of U.S.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Whether an investment in shares of our common stock is appropriate for a U.S. shareholder will depend upon that shareholder’s particular circumstances. An investment in shares of our common stock by a U.S. shareholder may have adverse tax consequences. U.S. shareholders should consult their own tax advisors before making an investment in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by us are generally taxable to U.S. shareholders as ordinary income or capital gain. Distributions of our “investment company taxable income” (which generally is our ordinary income excluding net capital gain) will be taxable as ordinary income to U.S. shareholders to the extent of our current or accumulated earnings and profits, whether paid in cash or reinvested in additional common stock. To the extent such distributions paid by us to non-corporate U.S. shareholders (including individuals) are attributable to dividends from U.S. corporations and certain qualified foreign corporations, such distributions generally will be eligible for taxation at the reduced U.S. federal income tax rates applicable to “qualifying dividends,” provided that we properly report such distribution as “qualified dividend income” in a written statement furnished to our shareholders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generally is our net long-term capital gain in excess of net short-term capital loss) properly designated by us as “capital gain dividends” will be taxable to a U.S. shareholder as long-term capital gain (at a maximum U.S. federal income tax rate of 20% in the case of individuals, trusts or estates), regardless of the U.S. shareholder’s holding period for his, her or its common stock and regardless of whether paid in cash or reinvested in additional common stock. Distributions in excess of our current and accumulated earnings and profits first will reduce a U.S. shareholder’s adjusted tax basis in such shareholder’s common stock and, after the adjusted tax basis is reduced to zero, will constitute capital gain to such U.S. shareholder.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lieu of actually distributing our realized net capital gains, we may retain some or all of our long-term capital gain and elect to be deemed to have made a distribution of the retained portion to our shareholders (a “deemed distribution”). In that case, among other consequences, we will pay tax on the retained amount, each U.S. shareholder will be required to include his, her or its proportionate share of the deemed distribution in income as if it had been actually distributed to the U.S. shareholder, and the U.S. shareholder will be entitled to claim a credit equal to his, her or its allocable share of the tax paid thereon by us. The amount of the deemed distribution net of such tax will be added to the U.S. shareholder’s adjusted tax basis for his, her or its common stock. We expect to pay tax on any retained capital gain at our regular corporate tax rate. If the amount of tax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pay and for which a shareholder receives a credit exceeds the tax a shareholder owes on the retained net capital gain, such excess generally may be claimed as a credit against the U.S. shareholder’s other U.S. federal income tax obligations or may be refunded to the extent it exceeds a shareholder’s liability for U.S. federal income tax. A shareholder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shareholders prior to the expiration of 60 days after the close of the relevant taxable year. We cannot treat any of our investment company taxable income as a “deemed distribution.”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shareholder will still be treated as receiving the dividend in the taxable year in which the distribution is made. However, any dividend declared by us in October, November or December of any calendar year, payable to shareholders of record on a specified date in any such month and actually paid during January of the following year, will be treated as if it had been received by our U.S. shareholders on December 31 of the year in which the dividend was declared.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U.S. shareholder generally will recognize taxable gain or loss if the shareholder sells or otherwise disposes of his, her or its shares of our common stock. The amount of gain or loss will be measured by the difference between such shareholder’s adjusted tax basis in the common stock sold and the amount of the proceeds received in exchange therefor. Any gain arising from such sale or disposition generally will be treated as long-term capital gain or loss if the shareholder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30 days before or after the disposition. The ability to otherwise deduct capital loss may be subject to other limitations under the Code.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non-corporate U.S. shareholders,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shareholders currently are subject to U.S. federal income tax on net capital gain at the maximum 21% corporate tax rate, which also applies to ordinary income. Non-corporate U.S. shareholders with net capital loss for a year (which we define as capital loss in excess of capital gain) generally may deduct up to $3,000 of such losses against their ordinary income each year; any net capital loss of a noncorporate shareholder in excess of $3,000 generally may be carried forward and used in subsequent years as provided in the Code. Corporate U.S. shareholders generally may not deduct any net capital loss for a year, but may carry back such losses for three years or carry forward such losses for five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U.S. shareholders who are individuals, estates or trusts generally are subject to a 3.8% Medicare surtax on the lesser of (1) the U.S. shareholder’s “net investment income” (or “undistributed net investment income” in the case of an estate or trust) for the relevant taxable year and (2) the excess of the U.S shareholder’s modified adjusted gross income for the taxable year over a certain threshold (which in the case of individuals is between $125,000 and $250,000, depending on the individual’s circumstances). A U.S. shareholder’s net investment income generally includes its dividends on, and capital gain from the sale or other disposition of, shares of our common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“publicly offered” RIC is a RIC whose shares are either (1) continuously offered pursuant to a public offering, (2) regularly traded on an established securities market or (3) held by at least 500 persons at all times during the taxable year. If we are not a publicly offered RIC for any period, a non-corporate U.S. shareholder’s pro rata portion of our affected expenses, including our management fees, will be treated as an additional dividend to the shareholder and will be deductible by such shareholder only to the extent permitted under the limitations described below. For non-corporate U.S. shareholders, including individuals, trusts, and estates, significant limitations generally apply to the deductibility of certain expenses of a non-publicly offered RIC, including advisory fees. In particular, these expenses, referred to as miscellaneous itemized deductions, are not currently deductible by individuals, and for taxable years beginning on or after January 1, 2026, will be deductible only to individuals to the extent they exceed 2.0% of such a shareholder’s adjusted gross income, and are not deductible for AMT purposes.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shares of our common stock will continue to be regularly traded on an established securities market, we anticipate that we will continue to qualify as a “publicly offered regulated investment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or the applicable withholding agent, will send to each of our U.S. shareholders, as promptly as possible after the end of each calendar year, a written statement detailing the amounts includible in such U.S. shareholder’s taxable income for such year as ordinary income and long-term capital gain. In addition, the U.S. federal tax status of each year’s distributions generally will be reported to the IRS. Distributions paid by us generally will not be eligible for the dividends-received deduction or the preferential tax rate applicable to qualifying dividends. Distributions also may be subject to additional state, local and foreign taxes depending on a U.S. shareholder’s particular situation.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an exemption applies, we may be required to withhold U.S. federal income tax, or backup withholding, from all taxable distributions to any U.S. shareholder (1) who fails to furnish us with a correct taxpayer identification number or a certificate that such shareholder is exempt from backup withholding or (2) with respect to whom the IRS notifies us that such shareholder has failed to properly report certain interest and dividend income to the IRS and to respond to notices to that effect. An individual’s U.S. taxpayer identification number generally is his or her social security number. Backup withholding is not an additional tax, and any amount withheld may be refunded or credited against a U.S. shareholder’s U.S. federal income tax liability, provided that proper information is timely provided to the IRS.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U.S. Treasury regulations, if a U.S. shareholder recognizes a loss with respect to shares of our common stock of $2 million or more for an individual, subchapter S corporation, trust or a partnership with at least one non-corporate partner or $10 million or more for a shareholder that is either a corporation or a partnership with only corporate partners in any single taxable year (or a greater loss over a combination of years), the shareholder must file with the IRS a disclosure statement on IRS Form 8886 (or successor form). Direct shareholders of portfolio securities in many cases are exempted from this reporting requirement, but under current guidance, shareholders of a RIC are not exempted. Future guidance may extend the current exception from this reporting requirement to shareholders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also may have a similar reporting requirement. Shareholders should consult their own tax advisors to determine the applicability of these regulations in light of their individual circumstances.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Taxation of Non-U.S.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Whether an investment in shares of our common stock is appropriate for a Non-U.S. shareholder will depend upon that shareholder’s particular circumstances. An investment in shares of our common stock by a Non-U.S. shareholder may have adverse tax consequences. Non-U.S. shareholders should consult their tax advisors before investing in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of our “investment company taxable income” to Non-U.S. shareholders that are not “effectively connected” with the conduct of a U.S. trade or business by the Non-U.S. shareholder, generally will be subject to withholding of U.S. federal income tax at a rate of 30% (or such lower rate provided by an applicable treaty) to the extent of our current and accumulated earnings and profits, unless an applicable exception applies. An exception will apply to any dividends that are properly reported by us as “interest-related dividends” or “short-term capital gain dividends.” In general, we may report a dividend as an interest-related dividend to the extent it is attributable to our “qualified net interest income” (generally, our U.S.-source interest income, other than certain contingent interest and interest from obligations of a corporation or partnership in which we are at least a 10% shareholder, reduced by expenses that are allocable to such income), or we may report a dividend as a short-term capital gain dividend to the extent it is attributable to our “qualified short-term capital gains” (generally, the excess of our realized net short-term capital gain over our realized net long-term capital loss for such taxable year). Depending on the circumstances, we may report all, some or none of our potentially eligible dividends as interest-related dividends or short-term capital gain dividends. However, we cannot determine what portion of our distributions (if any) will be eligible for this exemption until after the end of our taxable year. No certainty can be provided that any of our distributions will be reported as eligible for this exemption. In the case of shares held through an intermediary, the intermediary could withhold even if we report the payment as eligible for this exemption. Non-U.S. shareholders should contact their intermediaries with respect to the application of these rules to their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Actual or deemed distributions of our net capital gain to a Non-U.S. shareholder, and gains realized by a Non-U.S. shareholder upon the sale or redemption of our common stock, will not be subject to U.S. federal income tax unless the distributions or gains are effectively connected with the conduct of a U.S. trade or business by the Non-U.S. shareholder and, if an income tax treaty applies, are attributable to a permanent establishment maintained by the Non-U.S. shareholder in the United States, or, in the case of an individual, the Non-U.S. shareholder was present in the United States for 183 days or more during the taxable year and certain other conditions are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distribute our net capital gain in the form of deemed rather than actual distributions (which we may do in the future), a Non-U.S. shareholder will be entitled to a U.S. federal income tax credit or tax refund equal to the shareholder’s allocable share of the tax we pay on the capital gain deemed to have been distributed. In order to obtain the refund, the Non-U.S. shareholder must obtain a U.S. taxpayer identification number and file a U.S. federal income tax return even if the Non-U.S. shareholder would not otherwise be required to obtain a U.S. taxpayer identification number or file a U.S. federal income tax return. Accordingly, investment in shares of our common stock may not be appropriate for a Non-U.S. shareholder.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of our “investment company taxable income” and net capital gain (including deemed distributions) to Non-U.S. shareholders, and gain realized by Non-U.S. shareholders upon the sale of our common stock that is “effectively connected” with the conduct of a U.S. trade or business by the Non-U.S. shareholder (or if an income tax treaty applies, attributable to a “permanent establishment” in the United States), will be subject to U.S. federal income tax on a net-basis at the graduated rates applicable to U.S. citizens, residents and domestic corporations. Corporate Non-U.S. shareholders also may be subject to an additional branch profits tax at a rate of 30% imposed by the Code (or such lower rate provided by an applicable treaty). In the case of a non-corporate Non-U.S. shareholder, we may be required to withhold U.S. federal income tax from distributions that are otherwise exempt from withholding tax (or taxable at a reduced rate) unless the Non-U.S. shareholder certifies his or her foreign status under penalties of perjury or otherwise establishes an exemption.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tax consequences to a Non-U.S. shareholder entitled to claim the benefits of an applicable tax treaty may differ from those described herein. Non-U.S. shareholders are advised to consult with their own tax advisers with respect to the particular tax consequences to them of an investment in shares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Non-U.S. shareholder who is a nonresident alien individual may be subject to information reporting and backup withholding of U.S. federal income tax on dividends unless the Non-U.S. shareholder provides us or the dividend paying agent with an IRS Form W-8BEN or W-8BEN-E, as applicable (or an acceptable substitute or successor form) or otherwise meets documentary evidence requirements for establishing that it is a Non-U.S. shareholder or otherwise establishes an exemption from backup withholding.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Non-U.S. persons should consult their own tax advisors with respect to the U.S. federal income tax and withholding tax, and state, local and foreign tax consequences of an investment in our common stock.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FATCA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U.S.-source interest or dividends, the U.S. Department of the Treasury has indicated in subsequent proposed regulations its intent to eliminate this requirement. These proposed regulations state that taxpayers may rely on the proposed regulations until final regulations are issued. The information required to be reported includes the identity and taxpayer identification number of each account holder that is a specified U.S. person and financial information associated with the holder’s account. Subject to certain exceptions, FATCA also imposes a 30% withholding tax on certain payments to certain foreign entities that are not FFIs unless the foreign entity </w:t>
      </w:r>
      <w:r>
        <w:rPr>
          <w:rFonts w:ascii="Times New Roman;serif" w:hAnsi="Times New Roman;serif"/>
          <w:b w:val="false"/>
          <w:color w:val="231F20"/>
          <w:sz w:val="20"/>
        </w:rPr>
        <w:t>certifies that it does not have a greater than 10% owner that is a specified U.S. person or provides the withholding agent with identifying information on each greater than 10% owner that is a specified U.S. person.</w:t>
      </w:r>
      <w:r>
        <w:rPr>
          <w:color w:val="000000"/>
        </w:rPr>
        <w:t xml:space="preserve"> </w:t>
      </w:r>
      <w:r>
        <w:rPr>
          <w:rFonts w:ascii="Times New Roman;serif" w:hAnsi="Times New Roman;serif"/>
          <w:b w:val="false"/>
          <w:color w:val="000000"/>
          <w:sz w:val="20"/>
        </w:rPr>
        <w:t xml:space="preserve">Depending on the status of a shareholder and the status of the intermediaries through which they hold their shares, shareholders could be subject to this 30% withholding tax with respect to distributions on their shares and potentially proceeds from the sale of their shares. Under certain circumstances, a shareholder might be eligible for refunds or credits of such taxes.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in “Part I, Item 1. Business – Regulation as a Business Development Company” and “Part I, Item 1. Business – Regulation as a Small Business Investment Company” of our most recent </w:t>
      </w:r>
      <w:hyperlink r:id="rId30">
        <w:r>
          <w:rPr>
            <w:rStyle w:val="InternetLink"/>
            <w:rFonts w:ascii="Times New Roman;serif" w:hAnsi="Times New Roman;serif"/>
            <w:b w:val="false"/>
            <w:color w:val="0000FF"/>
            <w:sz w:val="20"/>
            <w:u w:val="single"/>
          </w:rPr>
          <w:t>Annual Report on Form 10-K</w:t>
        </w:r>
      </w:hyperlink>
      <w:r>
        <w:rPr>
          <w:color w:val="000000"/>
        </w:rPr>
        <w:t> </w:t>
      </w:r>
      <w:r>
        <w:rPr>
          <w:rFonts w:ascii="Times New Roman;serif" w:hAnsi="Times New Roman;serif"/>
          <w:b w:val="false"/>
          <w:color w:val="000000"/>
          <w:sz w:val="20"/>
        </w:rPr>
        <w:t>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from time to time, in one or more offerings, our common stock or debt securities in one or more underwritten public offerings, “at the market offerings” to or through a market maker or into an existing trading market for the securities, on an exchange, or otherwise negotiated transactions, block trades, best efforts, auctions or a combination of these methods. The holders of our common stock will indirectly bear any fees and expenses in connection with any such offerings. We may sell the securities through underwriters or dealers, directly to one or more purchasers. Any underwriter or agent involved in the offer and sale of the securities will be named in the applicable prospectus supplement. A prospectus supplement or supplements also will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In addition, we may enter into registration rights agreements or other similar agreements in the future pursuant to which certain of our shareholders may resell our securities under this prospectus and as described in any related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distribution of our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NAV per share of our common stock except (i) with the consent of the majority of our voting securities or (ii) under such other circumstances as the SEC may permit. We did not seek shareholder authorization to issue common stock at a price below NAV per share at our 2024 annual meeting of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underwriters that are qualified market makers on Nasdaq may engage in passive market making transactions in our common stock on Nasdaq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agreements into which we may enter, underwriters, dealers and agents who participate in the distribution of our securities may be entitled to indemnification by us against certain liabilities, including liabilities under the Securities Act. Underwriters, dealers and agents may engage in transactions with, or perform services for, us in the ordinary course of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Agents, dealers and underwriters may be entitled to indemnification by us against certain civil liabilities, including liabilities under the Securities Act or to contribution with respect to payments which the agents or underwriters may be required to make in respect thereof. Agents, dealers and underwriters may be customers of, engage in transactions with, or perform services for us in the ordinary course of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amount of any compensation to be received by any member of the Financial Industry Regulatory Authority, Inc. will not be greater than 10% for the sale of any securities being registered. </w:t>
      </w:r>
    </w:p>
    <w:p>
      <w:pPr>
        <w:pStyle w:val="TextBody"/>
        <w:bidi w:val="0"/>
        <w:spacing w:lineRule="auto" w:line="333"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CUSTODIAN, TRANSFER AND DISTRIBUTION PAYING AGENT AND REGISTRAR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securities are held under custody agreements by U.S. Bank National Association, whose address is 8 Greenway Plaza, Suite 1100, Houston, Texas 77046. Equiniti Trust Company, LLC acts as our transfer agent, distribution paying agent and registrar. The principal business address of our transfer agent is 48 Wall Street, New York 10005, telephone number: (800) 937-5449.</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BROKERAGE ALLOCATION AND OTHER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generally acquire and dispose of our investments in privately negotiated transactions, we infrequently use brokers in the normal course of our business. Our investment team is primarily responsible for the execution of the publicly traded securities portion of our portfolio transactions and the allocation of brokerage commissions. We do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generally will seek reasonably competitive trade execution costs, we will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 We did not pay any brokerage commissions during the three years ended March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legal matters in connection with the securities offered hereby will be passed upon for us by Eversheds Sutherland (US) LLP, Washington, D.C. Certain legal matters will be passed upon for underwriters, if any, by the counsel named in the prospectus supplement, if any.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Capital Southwest Corporation and its subsidiaries as of the year ended March 31, 2024 and for each of the three years in the period ended March 31, 2024 and the related Schedule of Investments in and Advances to Affiliates in Schedule 12-14 incorporated in this prospectus by reference from the Company’s Annual Report on Form 10-K for the year ended March 31, 2024 have been audited by RSM US LLP, an independent registered public accounting firm, as stated in their reports thereon (which report expresses an unqualified opinion) incorporated herein by reference, and have been incorporated in this prospectus and registration statement in reliance upon such reports and upon the authority of such firm as experts in accounting and auditing. The senior securities table as of March 31, 2024, 2023, 2022, 2021, 2020, 2019 and 2018 of Capital Southwest Corporation and subsidiaries, incorporated by reference in this prospectus, has been so included in reliance upon the report of RSM US LLP, an independent registered public accounting firm. RSM US LLP’s principal business address is 30 South Wacker, Chicago, Illinois 60606.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securities table as of March 31, 2017 of Capital Southwest Corporation and subsidiaries incorporated by reference in this prospectus and elsewhere in the registration statement has been incorporated by reference in reliance upon the report of Capital Southwest Corporation's former independent registered public accounting firm.</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w:t>
      </w:r>
      <w:r>
        <w:rPr>
          <w:rFonts w:ascii="Times New Roman;serif" w:hAnsi="Times New Roman;serif"/>
          <w:b w:val="false"/>
          <w:color w:val="000000"/>
          <w:sz w:val="20"/>
          <w:shd w:fill="FFFFFF" w:val="clear"/>
        </w:rPr>
        <w:t>The information incorporated by reference is considered to comprise a part of this prospectus from the date we file that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into this prospectus our filings listed below and any future filings that we may file with the SEC under Section 13(a), 13(c), 14 or 15(d) of the Exchange Act,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other information previously filed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prospectus incorporates by reference the documents set forth below that have been previously filed with the SEC: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t>
      </w:r>
      <w:hyperlink r:id="rId31">
        <w:r>
          <w:rPr>
            <w:rStyle w:val="InternetLink"/>
            <w:rFonts w:ascii="Times New Roman;serif" w:hAnsi="Times New Roman;serif"/>
            <w:b w:val="false"/>
            <w:color w:val="0000FF"/>
            <w:sz w:val="20"/>
            <w:u w:val="single"/>
          </w:rPr>
          <w:t>Annual Report on Form 10-K</w:t>
        </w:r>
      </w:hyperlink>
      <w:r>
        <w:rPr>
          <w:color w:val="3051F2"/>
        </w:rPr>
        <w:t> </w:t>
      </w:r>
      <w:r>
        <w:rPr>
          <w:rFonts w:ascii="Times New Roman;serif" w:hAnsi="Times New Roman;serif"/>
          <w:b w:val="false"/>
          <w:color w:val="000000"/>
          <w:sz w:val="20"/>
        </w:rPr>
        <w:t>for the fiscal year ended March 31, 2024, filed with the SEC on May 21,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t>
      </w:r>
      <w:hyperlink r:id="rId32">
        <w:r>
          <w:rPr>
            <w:rStyle w:val="InternetLink"/>
            <w:rFonts w:ascii="Times New Roman;serif" w:hAnsi="Times New Roman;serif"/>
            <w:b w:val="false"/>
            <w:color w:val="0000FF"/>
            <w:sz w:val="20"/>
            <w:u w:val="single"/>
          </w:rPr>
          <w:t>Quarterly Report on Form 10-Q</w:t>
        </w:r>
      </w:hyperlink>
      <w:r>
        <w:rPr>
          <w:color w:val="000000"/>
        </w:rPr>
        <w:t xml:space="preserve"> </w:t>
      </w:r>
      <w:r>
        <w:rPr>
          <w:rFonts w:ascii="Times New Roman;serif" w:hAnsi="Times New Roman;serif"/>
          <w:b w:val="false"/>
          <w:color w:val="000000"/>
          <w:sz w:val="20"/>
        </w:rPr>
        <w:t>for the quarter ended June 30, 2024, filed with the SEC on August 6,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Current Reports on Form 8-K (other than information furnished rather than filed in accordance with SEC rules) filed with the SEC on </w:t>
      </w:r>
      <w:hyperlink r:id="rId33">
        <w:r>
          <w:rPr>
            <w:rStyle w:val="InternetLink"/>
            <w:rFonts w:ascii="Times New Roman;serif" w:hAnsi="Times New Roman;serif"/>
            <w:b w:val="false"/>
            <w:color w:val="0000FF"/>
            <w:sz w:val="20"/>
            <w:u w:val="single"/>
          </w:rPr>
          <w:t>May 21, 2024</w:t>
        </w:r>
      </w:hyperlink>
      <w:r>
        <w:rPr>
          <w:rFonts w:ascii="Times New Roman;serif" w:hAnsi="Times New Roman;serif"/>
          <w:b w:val="false"/>
          <w:color w:val="000000"/>
          <w:sz w:val="20"/>
        </w:rPr>
        <w:t xml:space="preserve">, </w:t>
      </w:r>
      <w:hyperlink r:id="rId34">
        <w:r>
          <w:rPr>
            <w:rStyle w:val="InternetLink"/>
            <w:rFonts w:ascii="Times New Roman;serif" w:hAnsi="Times New Roman;serif"/>
            <w:b w:val="false"/>
            <w:color w:val="0000FF"/>
            <w:sz w:val="20"/>
            <w:u w:val="single"/>
          </w:rPr>
          <w:t>July 17, 2024</w:t>
        </w:r>
      </w:hyperlink>
      <w:r>
        <w:rPr>
          <w:rFonts w:ascii="Times New Roman;serif" w:hAnsi="Times New Roman;serif"/>
          <w:b w:val="false"/>
          <w:color w:val="000000"/>
          <w:sz w:val="20"/>
        </w:rPr>
        <w:t xml:space="preserve">, </w:t>
      </w:r>
      <w:hyperlink r:id="rId35">
        <w:r>
          <w:rPr>
            <w:rStyle w:val="InternetLink"/>
            <w:rFonts w:ascii="Times New Roman;serif" w:hAnsi="Times New Roman;serif"/>
            <w:b w:val="false"/>
            <w:color w:val="0000FF"/>
            <w:sz w:val="20"/>
            <w:u w:val="single"/>
          </w:rPr>
          <w:t>July 26, 2024</w:t>
        </w:r>
      </w:hyperlink>
      <w:r>
        <w:rPr>
          <w:rFonts w:ascii="Times New Roman;serif" w:hAnsi="Times New Roman;serif"/>
          <w:b w:val="false"/>
          <w:color w:val="000000"/>
          <w:sz w:val="20"/>
        </w:rPr>
        <w:t xml:space="preserve">, and </w:t>
      </w:r>
      <w:hyperlink r:id="rId36">
        <w:r>
          <w:rPr>
            <w:rStyle w:val="InternetLink"/>
            <w:rFonts w:ascii="Times New Roman;serif" w:hAnsi="Times New Roman;serif"/>
            <w:b w:val="false"/>
            <w:color w:val="0000FF"/>
            <w:sz w:val="20"/>
            <w:u w:val="single"/>
          </w:rPr>
          <w:t>September 12, 2024</w:t>
        </w:r>
      </w:hyperlink>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w:t>
      </w:r>
      <w:hyperlink r:id="rId37">
        <w:r>
          <w:rPr>
            <w:rStyle w:val="InternetLink"/>
            <w:rFonts w:ascii="Times New Roman;serif" w:hAnsi="Times New Roman;serif"/>
            <w:b w:val="false"/>
            <w:color w:val="0000FF"/>
            <w:sz w:val="20"/>
            <w:u w:val="single"/>
          </w:rPr>
          <w:t>Definitive Proxy Statement on Schedule 14A</w:t>
        </w:r>
      </w:hyperlink>
      <w:r>
        <w:rPr>
          <w:color w:val="000000"/>
        </w:rPr>
        <w:t> </w:t>
      </w:r>
      <w:r>
        <w:rPr>
          <w:rFonts w:ascii="Times New Roman;serif" w:hAnsi="Times New Roman;serif"/>
          <w:b w:val="false"/>
          <w:color w:val="000000"/>
          <w:sz w:val="20"/>
        </w:rPr>
        <w:t>(but only with respect to information required by Part III of the Company’s Annual Report on Form 10-K for the fiscal year ended March 31, 2024), filed with the SEC on May 31, 2024;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description of our Common Stock referenced in our Registration Statement on Form 8-A, as filed with the SEC on April 28, 1961, including any amendment or report filed for the purpose of updating such description prior to the termination of the offering of the common stock registered hereby.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obtain copies of these filings, see “Available Information.”</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file with or submit to the SEC annual, quarterly and current reports, proxy statements and other information meeting the informational requirements of the Exchange Act. This information is available free of charge on our website at </w:t>
      </w:r>
      <w:r>
        <w:rPr>
          <w:rFonts w:ascii="Times New Roman;serif" w:hAnsi="Times New Roman;serif"/>
          <w:b w:val="false"/>
          <w:i/>
          <w:color w:val="000000"/>
          <w:sz w:val="20"/>
        </w:rPr>
        <w:t xml:space="preserve">www.capitalsouthwest.com </w:t>
      </w:r>
      <w:r>
        <w:rPr>
          <w:rFonts w:ascii="Times New Roman;serif" w:hAnsi="Times New Roman;serif"/>
          <w:b w:val="false"/>
          <w:color w:val="000000"/>
          <w:sz w:val="20"/>
        </w:rPr>
        <w:t>or by calling us at (214) 238-5700 or. Information contained on our website is not incorporated into this prospectus and you should not consider such information to be part of this document. The SEC maintains a website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that contains such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can request a copy of any of our SEC filings, including those incorporated by reference herein, at no cost, by writing or telephoning us at the following address or telephone number: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8333 Douglas Avenue, Suite 1100,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 238-5700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1800225" cy="733425"/>
            <wp:effectExtent l="0" t="0" r="0" b="0"/>
            <wp:docPr id="1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 descr=""/>
                    <pic:cNvPicPr>
                      <a:picLocks noChangeAspect="1" noChangeArrowheads="1"/>
                    </pic:cNvPicPr>
                  </pic:nvPicPr>
                  <pic:blipFill>
                    <a:blip r:embed="rId38"/>
                    <a:stretch>
                      <a:fillRect/>
                    </a:stretch>
                  </pic:blipFill>
                  <pic:spPr bwMode="auto">
                    <a:xfrm>
                      <a:off x="0" y="0"/>
                      <a:ext cx="1800225" cy="733425"/>
                    </a:xfrm>
                    <a:prstGeom prst="rect">
                      <a:avLst/>
                    </a:prstGeom>
                  </pic:spPr>
                </pic:pic>
              </a:graphicData>
            </a:graphic>
          </wp:inline>
        </w:drawing>
      </w:r>
      <w:bookmarkStart w:id="2" w:name="i-3"/>
      <w:bookmarkEnd w:id="2"/>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 Notes due 2031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PRELIMINARY PROSPECTUS SUPPLEMENT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September ,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7812" w:type="dxa"/>
        <w:jc w:val="center"/>
        <w:tblInd w:w="0" w:type="dxa"/>
        <w:tblLayout w:type="fixed"/>
        <w:tblCellMar>
          <w:top w:w="28" w:type="dxa"/>
          <w:left w:w="28" w:type="dxa"/>
          <w:bottom w:w="28" w:type="dxa"/>
          <w:right w:w="28" w:type="dxa"/>
        </w:tblCellMar>
      </w:tblPr>
      <w:tblGrid>
        <w:gridCol w:w="932"/>
        <w:gridCol w:w="823"/>
        <w:gridCol w:w="825"/>
        <w:gridCol w:w="959"/>
        <w:gridCol w:w="959"/>
        <w:gridCol w:w="961"/>
        <w:gridCol w:w="187"/>
        <w:gridCol w:w="187"/>
        <w:gridCol w:w="188"/>
        <w:gridCol w:w="517"/>
        <w:gridCol w:w="517"/>
        <w:gridCol w:w="757"/>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7812"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2"/>
              </w:rPr>
            </w:pPr>
            <w:r>
              <w:rPr>
                <w:rFonts w:ascii="Times New Roman;serif" w:hAnsi="Times New Roman;serif"/>
                <w:b/>
                <w:i/>
                <w:color w:val="000000"/>
                <w:sz w:val="22"/>
              </w:rPr>
              <w:t>Active Bookrunners</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Deutsche Bank Securities</w:t>
            </w:r>
          </w:p>
        </w:tc>
        <w:tc>
          <w:tcPr>
            <w:tcW w:w="28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Huntington Capital Markets</w:t>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ING</w:t>
            </w:r>
          </w:p>
        </w:tc>
        <w:tc>
          <w:tcPr>
            <w:tcW w:w="17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Morgan Stanley</w:t>
            </w:r>
          </w:p>
        </w:tc>
      </w:tr>
      <w:tr>
        <w:trPr/>
        <w:tc>
          <w:tcPr>
            <w:tcW w:w="545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RBC Capital Markets</w:t>
            </w:r>
          </w:p>
        </w:tc>
        <w:tc>
          <w:tcPr>
            <w:tcW w:w="2353"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Wells Fargo Securities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017313/000001731326000095/cswc-20260630.htm" TargetMode="External"/><Relationship Id="rId4" Type="http://schemas.openxmlformats.org/officeDocument/2006/relationships/hyperlink" Target="https://www.sec.gov/ix?doc=/Archives/edgar/data/0000017313/000001731326000035/cswc-20260331.htm" TargetMode="External"/><Relationship Id="rId5" Type="http://schemas.openxmlformats.org/officeDocument/2006/relationships/hyperlink" Target="https://www.sec.gov/ix?doc=/Archives/edgar/data/0000017313/000001731326000095/cswc-20260630.htm" TargetMode="External"/><Relationship Id="rId6" Type="http://schemas.openxmlformats.org/officeDocument/2006/relationships/hyperlink" Target="https://www.sec.gov/ix?doc=/Archives/edgar/data/0000017313/000001731326000023/cswc-20260416.htm" TargetMode="External"/><Relationship Id="rId7" Type="http://schemas.openxmlformats.org/officeDocument/2006/relationships/hyperlink" Target="https://www.sec.gov/ix?doc=/Archives/edgar/data/0000017313/000001731326000036/cswc-20260519.htm" TargetMode="External"/><Relationship Id="rId8" Type="http://schemas.openxmlformats.org/officeDocument/2006/relationships/hyperlink" Target="https://www.sec.gov/ix?doc=/Archives/edgar/data/0000017313/000001731326000082/cswc-20260716.htm" TargetMode="External"/><Relationship Id="rId9" Type="http://schemas.openxmlformats.org/officeDocument/2006/relationships/hyperlink" Target="https://www.sec.gov/ix?doc=/Archives/edgar/data/0000017313/000001731326000082/cswc-20260716.htm" TargetMode="External"/><Relationship Id="rId10" Type="http://schemas.openxmlformats.org/officeDocument/2006/relationships/hyperlink" Target="https://www.sec.gov/ix?doc=/Archives/edgar/data/0000017313/000001731326000084/cswc-20260722.htm" TargetMode="External"/><Relationship Id="rId11" Type="http://schemas.openxmlformats.org/officeDocument/2006/relationships/hyperlink" Target="https://www.sec.gov/ix?doc=/Archives/edgar/data/0000017313/000001731326000106/cswc-20260807.htm" TargetMode="External"/><Relationship Id="rId12" Type="http://schemas.openxmlformats.org/officeDocument/2006/relationships/hyperlink" Target="https://www.sec.gov/ix?doc=/Archives/edgar/data/0000017313/000001731326000106/cswc-20260807.htm" TargetMode="External"/><Relationship Id="rId13" Type="http://schemas.openxmlformats.org/officeDocument/2006/relationships/hyperlink" Target="https://www.sec.gov/ix?doc=/Archives/edgar/data/0000017313/000001731326000133/cswc-20260901.htm" TargetMode="External"/><Relationship Id="rId14" Type="http://schemas.openxmlformats.org/officeDocument/2006/relationships/hyperlink" Target="https://www.sec.gov/ix?doc=/Archives/edgar/data/0000017313/000001731326000136/cswc-20260902.htm" TargetMode="External"/><Relationship Id="rId15" Type="http://schemas.openxmlformats.org/officeDocument/2006/relationships/hyperlink" Target="https://www.sec.gov/ix?doc=/Archives/edgar/data/0000017313/000001731326000136/cswc-20260902.htm" TargetMode="External"/><Relationship Id="rId16" Type="http://schemas.openxmlformats.org/officeDocument/2006/relationships/hyperlink" Target="https://www.sec.gov/ix?doc=/Archives/edgar/data/0000017313/000001731326000042/cswc-20260527.htm" TargetMode="External"/><Relationship Id="rId17" Type="http://schemas.openxmlformats.org/officeDocument/2006/relationships/image" Target="media/image2.jpeg"/><Relationship Id="rId18" Type="http://schemas.openxmlformats.org/officeDocument/2006/relationships/hyperlink" Target="https://www.sec.gov/ix?doc=/Archives/edgar/data/17313/000001731324000022/cswc-20240331.htm" TargetMode="External"/><Relationship Id="rId19" Type="http://schemas.openxmlformats.org/officeDocument/2006/relationships/hyperlink" Target="https://www.sec.gov/ix?doc=/Archives/edgar/data/17313/000001731324000058/cswc-20240630.htm" TargetMode="External"/><Relationship Id="rId20" Type="http://schemas.openxmlformats.org/officeDocument/2006/relationships/hyperlink" Target="https://www.sec.gov/ix?doc=/Archives/edgar/data/17313/000001731324000022/cswc-20240331.htm" TargetMode="External"/><Relationship Id="rId21" Type="http://schemas.openxmlformats.org/officeDocument/2006/relationships/hyperlink" Target="https://www.sec.gov/ix?doc=/Archives/edgar/data/17313/000001731324000022/cswc-20240331.htm" TargetMode="External"/><Relationship Id="rId22" Type="http://schemas.openxmlformats.org/officeDocument/2006/relationships/hyperlink" Target="https://www.sec.gov/ix?doc=/Archives/edgar/data/17313/000001731324000058/cswc-20240630.htm" TargetMode="External"/><Relationship Id="rId23" Type="http://schemas.openxmlformats.org/officeDocument/2006/relationships/hyperlink" Target="https://www.sec.gov/ix?doc=/Archives/edgar/data/17313/000001731324000022/cswc-20240331.htm" TargetMode="External"/><Relationship Id="rId24" Type="http://schemas.openxmlformats.org/officeDocument/2006/relationships/hyperlink" Target="https://www.sec.gov/ix?doc=/Archives/edgar/data/17313/000001731324000022/cswc-20240331.htmhttps://www.sec.gov/ix?doc=/Archives/edgar/data/17313/000001731324000022/cswc-20240331.htm" TargetMode="External"/><Relationship Id="rId25" Type="http://schemas.openxmlformats.org/officeDocument/2006/relationships/hyperlink" Target="https://www.sec.gov/ix?doc=/Archives/edgar/data/17313/000001731324000034/cswc-20240531.htm" TargetMode="External"/><Relationship Id="rId26" Type="http://schemas.openxmlformats.org/officeDocument/2006/relationships/hyperlink" Target="https://www.sec.gov/ix?doc=/Archives/edgar/data/17313/000001731324000034/cswc-20240531.htm" TargetMode="External"/><Relationship Id="rId27" Type="http://schemas.openxmlformats.org/officeDocument/2006/relationships/hyperlink" Target="https://www.sec.gov/ix?doc=/Archives/edgar/data/17313/000001731324000034/cswc-20240531.htm" TargetMode="External"/><Relationship Id="rId28" Type="http://schemas.openxmlformats.org/officeDocument/2006/relationships/hyperlink" Target="https://www.sec.gov/ix?doc=/Archives/edgar/data/17313/000001731324000022/cswc-20240331.htm" TargetMode="External"/><Relationship Id="rId29" Type="http://schemas.openxmlformats.org/officeDocument/2006/relationships/hyperlink" Target="https://www.sec.gov/Archives/edgar/data/17313/000001731324000022/cswc-descriptionofsecuriti.htm" TargetMode="External"/><Relationship Id="rId30" Type="http://schemas.openxmlformats.org/officeDocument/2006/relationships/hyperlink" Target="https://www.sec.gov/ix?doc=/Archives/edgar/data/17313/000001731324000022/cswc-20240331.htm" TargetMode="External"/><Relationship Id="rId31" Type="http://schemas.openxmlformats.org/officeDocument/2006/relationships/hyperlink" Target="https://www.sec.gov/ix?doc=/Archives/edgar/data/17313/000001731324000022/cswc-20240331.htm" TargetMode="External"/><Relationship Id="rId32" Type="http://schemas.openxmlformats.org/officeDocument/2006/relationships/hyperlink" Target="https://www.sec.gov/ix?doc=/Archives/edgar/data/17313/000001731324000058/cswc-20240630.htm" TargetMode="External"/><Relationship Id="rId33" Type="http://schemas.openxmlformats.org/officeDocument/2006/relationships/hyperlink" Target="https://www.sec.gov/ix?doc=/Archives/edgar/data/0000017313/000001731324000023/cswc-20240521.htm" TargetMode="External"/><Relationship Id="rId34" Type="http://schemas.openxmlformats.org/officeDocument/2006/relationships/hyperlink" Target="https://www.sec.gov/ix?doc=/Archives/edgar/data/0000017313/000001731324000049/cswc-20240717.htm" TargetMode="External"/><Relationship Id="rId35" Type="http://schemas.openxmlformats.org/officeDocument/2006/relationships/hyperlink" Target="https://www.sec.gov/ix?doc=/Archives/edgar/data/0000017313/000001731324000051/cswc-20240725.htm" TargetMode="External"/><Relationship Id="rId36" Type="http://schemas.openxmlformats.org/officeDocument/2006/relationships/hyperlink" Target="https://www.sec.gov/ix?doc=/Archives/edgar/data/17313/000001731324000078/cswc-20240912.htm" TargetMode="External"/><Relationship Id="rId37" Type="http://schemas.openxmlformats.org/officeDocument/2006/relationships/hyperlink" Target="https://www.sec.gov/ix?doc=/Archives/edgar/data/17313/000001731324000034/cswc-20240531.htm" TargetMode="External"/><Relationship Id="rId38" Type="http://schemas.openxmlformats.org/officeDocument/2006/relationships/image" Target="media/image3.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65402</Words>
  <Characters>348023</Characters>
  <CharactersWithSpaces>410753</CharactersWithSpaces>
  <Paragraphs>5223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