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July 22,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CAPITAL SOUTHWEST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908" w:type="dxa"/>
        <w:jc w:val="center"/>
        <w:tblInd w:w="0" w:type="dxa"/>
        <w:tblLayout w:type="fixed"/>
        <w:tblCellMar>
          <w:top w:w="28" w:type="dxa"/>
          <w:left w:w="28" w:type="dxa"/>
          <w:bottom w:w="28" w:type="dxa"/>
          <w:right w:w="28" w:type="dxa"/>
        </w:tblCellMar>
      </w:tblPr>
      <w:tblGrid>
        <w:gridCol w:w="1342"/>
        <w:gridCol w:w="1184"/>
        <w:gridCol w:w="1193"/>
        <w:gridCol w:w="762"/>
        <w:gridCol w:w="762"/>
        <w:gridCol w:w="770"/>
        <w:gridCol w:w="845"/>
        <w:gridCol w:w="845"/>
        <w:gridCol w:w="1205"/>
      </w:tblGrid>
      <w:tr>
        <w:trPr/>
        <w:tc>
          <w:tcPr>
            <w:tcW w:w="134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814-00061</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75-1072796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8333 Douglas Avenue, Suite 1100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Dallas, Texas 75225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(214) 238-5700</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101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3"/>
        <w:gridCol w:w="3043"/>
        <w:gridCol w:w="304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64" w:type="dxa"/>
        <w:jc w:val="center"/>
        <w:tblInd w:w="0" w:type="dxa"/>
        <w:tblLayout w:type="fixed"/>
        <w:tblCellMar>
          <w:top w:w="28" w:type="dxa"/>
          <w:left w:w="28" w:type="dxa"/>
          <w:bottom w:w="28" w:type="dxa"/>
          <w:right w:w="28" w:type="dxa"/>
        </w:tblCellMar>
      </w:tblPr>
      <w:tblGrid>
        <w:gridCol w:w="1323"/>
        <w:gridCol w:w="1165"/>
        <w:gridCol w:w="1172"/>
        <w:gridCol w:w="539"/>
        <w:gridCol w:w="539"/>
        <w:gridCol w:w="541"/>
        <w:gridCol w:w="1138"/>
        <w:gridCol w:w="1138"/>
        <w:gridCol w:w="1609"/>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$0.25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CSWC</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Southwest Corporation (the “Company”) held its 2026 Annual Meeting of Shareholders (the “Annual Meeting”) on July 22, 2026. Shareholders of record at the close of business on May 26, 2026 (the “Record Date”) were entitled to vote at the Annual Meeting. As of the Record Date, there were 62,140,726 shares of common stock outstanding and entitled to vote. A quorum consisting of 44,997,407 shares of common stock of the Company were present or represented by proxy at the Annual Meeting.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five proposals were voted on at the Annual Meeting: the election of six directors to serve until the 2027 Annual Meeting of Shareholders or until their respective successors are duly elected and qualified (Proposal 1); the approval of, on an advisory basis, the compensation of the Company’s named executive officers (Proposal 2); the approval of, on an advisory basis, the frequency of the advisory vote on executive compensation (Proposal 3); the ratification of the appointment of RSM US LLP as the Company’s independent registered public accounting firm for the fiscal year ending March 31, 2027 (Proposal 5); and the approval of the adjournment of the Annual Meeting to solicit additional proxies to approve an amendment to the Company’s Amended and Restated Articles of Incorporation to increase the number of authorized shares of common stock (the “Charter Amendment”) (Proposal 6). The final voting results for each of the foregoing proposals submitted to a vote of shareholders at the Annual Meeting are set forth below.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Proposal 1.</w:t>
      </w:r>
      <w:r>
        <w:rPr>
          <w:color w:val="000000"/>
        </w:rPr>
        <w:t xml:space="preserve"> </w:t>
      </w:r>
      <w:r>
        <w:rPr>
          <w:rFonts w:ascii="Times New Roman;serif" w:hAnsi="Times New Roman;serif"/>
          <w:b w:val="false"/>
          <w:color w:val="000000"/>
          <w:sz w:val="20"/>
        </w:rPr>
        <w:t>The following six (6) directors were elected to serve until the 2027 Annual Meeting of Shareholders or until their respective successors are duly elected and qualified by the following vote:</w:t>
      </w:r>
    </w:p>
    <w:p>
      <w:pPr>
        <w:pStyle w:val="TextBody"/>
        <w:bidi w:val="0"/>
        <w:spacing w:before="0" w:after="0"/>
        <w:jc w:val="both"/>
        <w:rPr/>
      </w:pPr>
      <w:r>
        <w:rPr/>
      </w:r>
    </w:p>
    <w:tbl>
      <w:tblPr>
        <w:tblW w:w="7039" w:type="dxa"/>
        <w:jc w:val="left"/>
        <w:tblInd w:w="0" w:type="dxa"/>
        <w:tblLayout w:type="fixed"/>
        <w:tblCellMar>
          <w:top w:w="28" w:type="dxa"/>
          <w:left w:w="28" w:type="dxa"/>
          <w:bottom w:w="28" w:type="dxa"/>
          <w:right w:w="28" w:type="dxa"/>
        </w:tblCellMar>
      </w:tblPr>
      <w:tblGrid>
        <w:gridCol w:w="782"/>
        <w:gridCol w:w="686"/>
        <w:gridCol w:w="691"/>
        <w:gridCol w:w="109"/>
        <w:gridCol w:w="109"/>
        <w:gridCol w:w="109"/>
        <w:gridCol w:w="344"/>
        <w:gridCol w:w="344"/>
        <w:gridCol w:w="348"/>
        <w:gridCol w:w="109"/>
        <w:gridCol w:w="109"/>
        <w:gridCol w:w="109"/>
        <w:gridCol w:w="434"/>
        <w:gridCol w:w="434"/>
        <w:gridCol w:w="436"/>
        <w:gridCol w:w="109"/>
        <w:gridCol w:w="109"/>
        <w:gridCol w:w="109"/>
        <w:gridCol w:w="455"/>
        <w:gridCol w:w="455"/>
        <w:gridCol w:w="649"/>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 Battist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26,378,519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17,784,867</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R. Brooks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26,249,831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17,784,867</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D. Furst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17,784,867</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Ramona Rogers-Windsor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26,373,817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17,784,867</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 Sarner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26,536,263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17,784,867</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R. Thomas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26,248,960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17,784,867</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Proposal 2.</w:t>
      </w:r>
      <w:r>
        <w:rPr>
          <w:color w:val="000000"/>
        </w:rPr>
        <w:t xml:space="preserve"> </w:t>
      </w:r>
      <w:r>
        <w:rPr>
          <w:rFonts w:ascii="Times New Roman;serif" w:hAnsi="Times New Roman;serif"/>
          <w:b w:val="false"/>
          <w:color w:val="000000"/>
          <w:sz w:val="20"/>
        </w:rPr>
        <w:t>The compensation of the Company’s named executive officers as disclosed and discussed in the Proxy Statement on Schedule 14A relating to the Annual Meeting was approved on an advisory basis by the following vote:</w:t>
      </w:r>
    </w:p>
    <w:p>
      <w:pPr>
        <w:pStyle w:val="TextBody"/>
        <w:bidi w:val="0"/>
        <w:spacing w:before="0" w:after="0"/>
        <w:jc w:val="both"/>
        <w:rPr/>
      </w:pPr>
      <w:r>
        <w:rPr/>
      </w:r>
    </w:p>
    <w:tbl>
      <w:tblPr>
        <w:tblW w:w="2997" w:type="dxa"/>
        <w:jc w:val="left"/>
        <w:tblInd w:w="0" w:type="dxa"/>
        <w:tblLayout w:type="fixed"/>
        <w:tblCellMar>
          <w:top w:w="28" w:type="dxa"/>
          <w:left w:w="28" w:type="dxa"/>
          <w:bottom w:w="28" w:type="dxa"/>
          <w:right w:w="28" w:type="dxa"/>
        </w:tblCellMar>
      </w:tblPr>
      <w:tblGrid>
        <w:gridCol w:w="574"/>
        <w:gridCol w:w="504"/>
        <w:gridCol w:w="511"/>
        <w:gridCol w:w="109"/>
        <w:gridCol w:w="109"/>
        <w:gridCol w:w="109"/>
        <w:gridCol w:w="316"/>
        <w:gridCol w:w="316"/>
        <w:gridCol w:w="449"/>
      </w:tblGrid>
      <w:tr>
        <w:trPr/>
        <w:tc>
          <w:tcPr>
            <w:tcW w:w="57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22,115,896</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3,404,019</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1,692,625</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17,784,867</w:t>
            </w:r>
          </w:p>
        </w:tc>
      </w:tr>
    </w:tbl>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Proposal 3.</w:t>
      </w:r>
      <w:r>
        <w:rPr>
          <w:color w:val="000000"/>
        </w:rPr>
        <w:t xml:space="preserve"> </w:t>
      </w:r>
      <w:r>
        <w:rPr>
          <w:rFonts w:ascii="Times New Roman;serif" w:hAnsi="Times New Roman;serif"/>
          <w:b w:val="false"/>
          <w:color w:val="000000"/>
          <w:sz w:val="20"/>
        </w:rPr>
        <w:t>The Company’s shareholders approved, on an advisory basis, the frequency of [one year] for future advisory votes to approve the compensation of the Company’s named executive officers by the following vote:</w:t>
      </w:r>
    </w:p>
    <w:p>
      <w:pPr>
        <w:pStyle w:val="TextBody"/>
        <w:bidi w:val="0"/>
        <w:spacing w:before="0" w:after="0"/>
        <w:jc w:val="both"/>
        <w:rPr/>
      </w:pPr>
      <w:r>
        <w:rPr/>
      </w:r>
    </w:p>
    <w:tbl>
      <w:tblPr>
        <w:tblW w:w="2601" w:type="dxa"/>
        <w:jc w:val="left"/>
        <w:tblInd w:w="0" w:type="dxa"/>
        <w:tblLayout w:type="fixed"/>
        <w:tblCellMar>
          <w:top w:w="28" w:type="dxa"/>
          <w:left w:w="28" w:type="dxa"/>
          <w:bottom w:w="28" w:type="dxa"/>
          <w:right w:w="28" w:type="dxa"/>
        </w:tblCellMar>
      </w:tblPr>
      <w:tblGrid>
        <w:gridCol w:w="503"/>
        <w:gridCol w:w="344"/>
        <w:gridCol w:w="346"/>
        <w:gridCol w:w="109"/>
        <w:gridCol w:w="109"/>
        <w:gridCol w:w="109"/>
        <w:gridCol w:w="316"/>
        <w:gridCol w:w="316"/>
        <w:gridCol w:w="449"/>
      </w:tblGrid>
      <w:tr>
        <w:trPr/>
        <w:tc>
          <w:tcPr>
            <w:tcW w:w="5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24,213,219</w:t>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809,499</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1,025,968</w:t>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1,163,854</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Proposal 5.</w:t>
      </w:r>
      <w:r>
        <w:rPr>
          <w:color w:val="000000"/>
        </w:rPr>
        <w:t xml:space="preserve"> </w:t>
      </w:r>
      <w:r>
        <w:rPr>
          <w:rFonts w:ascii="Times New Roman;serif" w:hAnsi="Times New Roman;serif"/>
          <w:b w:val="false"/>
          <w:color w:val="000000"/>
          <w:sz w:val="20"/>
        </w:rPr>
        <w:t>The ratification of the appointment of RSM US LLP as the Company’s independent registered public accounting firm for the fiscal year ending March 31, 2027 was approved by the following vote:</w:t>
      </w:r>
    </w:p>
    <w:p>
      <w:pPr>
        <w:pStyle w:val="TextBody"/>
        <w:bidi w:val="0"/>
        <w:spacing w:before="0" w:after="0"/>
        <w:jc w:val="both"/>
        <w:rPr/>
      </w:pPr>
      <w:r>
        <w:rPr/>
      </w:r>
    </w:p>
    <w:tbl>
      <w:tblPr>
        <w:tblW w:w="2667" w:type="dxa"/>
        <w:jc w:val="left"/>
        <w:tblInd w:w="0" w:type="dxa"/>
        <w:tblLayout w:type="fixed"/>
        <w:tblCellMar>
          <w:top w:w="28" w:type="dxa"/>
          <w:left w:w="28" w:type="dxa"/>
          <w:bottom w:w="28" w:type="dxa"/>
          <w:right w:w="28" w:type="dxa"/>
        </w:tblCellMar>
      </w:tblPr>
      <w:tblGrid>
        <w:gridCol w:w="455"/>
        <w:gridCol w:w="399"/>
        <w:gridCol w:w="405"/>
        <w:gridCol w:w="109"/>
        <w:gridCol w:w="109"/>
        <w:gridCol w:w="109"/>
        <w:gridCol w:w="316"/>
        <w:gridCol w:w="316"/>
        <w:gridCol w:w="449"/>
      </w:tblGrid>
      <w:tr>
        <w:trPr/>
        <w:tc>
          <w:tcPr>
            <w:tcW w:w="4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43,373,232</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582,545</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1,041,630</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Proposal 6.</w:t>
      </w:r>
      <w:r>
        <w:rPr>
          <w:color w:val="000000"/>
        </w:rPr>
        <w:t xml:space="preserve"> </w:t>
      </w:r>
      <w:r>
        <w:rPr>
          <w:rFonts w:ascii="Times New Roman;serif" w:hAnsi="Times New Roman;serif"/>
          <w:b w:val="false"/>
          <w:color w:val="000000"/>
          <w:sz w:val="20"/>
        </w:rPr>
        <w:t>The Company’s shareholders approved the adjournment of the Annual Meeting to solicit additional proxies to approve the Charter Amendment by the following vote:</w:t>
      </w:r>
    </w:p>
    <w:p>
      <w:pPr>
        <w:pStyle w:val="TextBody"/>
        <w:bidi w:val="0"/>
        <w:spacing w:before="0" w:after="0"/>
        <w:jc w:val="left"/>
        <w:rPr/>
      </w:pPr>
      <w:r>
        <w:rPr/>
      </w:r>
    </w:p>
    <w:tbl>
      <w:tblPr>
        <w:tblW w:w="2667" w:type="dxa"/>
        <w:jc w:val="left"/>
        <w:tblInd w:w="0" w:type="dxa"/>
        <w:tblLayout w:type="fixed"/>
        <w:tblCellMar>
          <w:top w:w="28" w:type="dxa"/>
          <w:left w:w="28" w:type="dxa"/>
          <w:bottom w:w="28" w:type="dxa"/>
          <w:right w:w="28" w:type="dxa"/>
        </w:tblCellMar>
      </w:tblPr>
      <w:tblGrid>
        <w:gridCol w:w="455"/>
        <w:gridCol w:w="399"/>
        <w:gridCol w:w="405"/>
        <w:gridCol w:w="109"/>
        <w:gridCol w:w="109"/>
        <w:gridCol w:w="109"/>
        <w:gridCol w:w="316"/>
        <w:gridCol w:w="316"/>
        <w:gridCol w:w="449"/>
      </w:tblGrid>
      <w:tr>
        <w:trPr/>
        <w:tc>
          <w:tcPr>
            <w:tcW w:w="4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41,539,427</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2,048,433</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1,409,547</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Accordingly, the Annual Meeting will be reconvened on September 1, 2026 at 9:00 a.m., Central Time (the “Reconvened Meeting”). The polls will remain open for voting on the proposal to approve the Charter Amendment. Shareholders may participate in the Reconvened Meeting, vote, and submit questions via live webcast by visiting www.virtualshareholdermeeting.com/CSWC2026 and entering their control number on their proxy card or voting instruction form. The record date has not changed, and only shareholders of record at the close of business day on May 26, 2026 will be entitled to vote on the proposal to approve the Charter Amendment at the Reconvened Meeting. Valid proxies submitted prior to the Annual Meeting will continue to be valid for the Reconvened Meeting, unless properly changed or revoked prior to votes being taken at the Reconvened Meeting.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22, 2026</w:t>
      </w:r>
    </w:p>
    <w:tbl>
      <w:tblPr>
        <w:tblW w:w="454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08"/>
        <w:gridCol w:w="1108"/>
        <w:gridCol w:w="15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976</Words>
  <Characters>5420</Characters>
  <CharactersWithSpaces>6290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