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 xml:space="preserve">Filed pursuant to Rule 497(a) </w:t>
      </w:r>
    </w:p>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File No. 333-282873</w:t>
      </w:r>
    </w:p>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 xml:space="preserve">Rule 482ad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[TEXT OF COMMUNICATION SENT VIA BLOOMBERG]</w:t>
      </w:r>
    </w:p>
    <w:p>
      <w:pPr>
        <w:pStyle w:val="TextBody"/>
        <w:bidi w:val="0"/>
        <w:spacing w:before="0" w:after="0"/>
        <w:jc w:val="center"/>
        <w:rPr/>
      </w:pPr>
      <w:r>
        <w:rPr/>
      </w:r>
    </w:p>
    <w:p>
      <w:pPr>
        <w:pStyle w:val="TextBody"/>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 Priced: Capital Southwest Corp (CSWC) ***</w:t>
      </w:r>
    </w:p>
    <w:p>
      <w:pPr>
        <w:pStyle w:val="TextBody"/>
        <w:bidi w:val="0"/>
        <w:spacing w:before="0" w:after="0"/>
        <w:jc w:val="left"/>
        <w:rPr/>
      </w:pPr>
      <w:r>
        <w:rPr/>
      </w:r>
    </w:p>
    <w:tbl>
      <w:tblPr>
        <w:tblW w:w="5084" w:type="dxa"/>
        <w:jc w:val="left"/>
        <w:tblInd w:w="0" w:type="dxa"/>
        <w:tblLayout w:type="fixed"/>
        <w:tblCellMar>
          <w:top w:w="28" w:type="dxa"/>
          <w:left w:w="28" w:type="dxa"/>
          <w:bottom w:w="28" w:type="dxa"/>
          <w:right w:w="28" w:type="dxa"/>
        </w:tblCellMar>
      </w:tblPr>
      <w:tblGrid>
        <w:gridCol w:w="685"/>
        <w:gridCol w:w="601"/>
        <w:gridCol w:w="604"/>
        <w:gridCol w:w="933"/>
        <w:gridCol w:w="933"/>
        <w:gridCol w:w="1328"/>
      </w:tblGrid>
      <w:tr>
        <w:trPr/>
        <w:tc>
          <w:tcPr>
            <w:tcW w:w="685"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Benchmark</w:t>
            </w:r>
          </w:p>
        </w:tc>
        <w:tc>
          <w:tcPr>
            <w:tcW w:w="319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T 4 ⅜ 08/31/31</w:t>
            </w:r>
          </w:p>
        </w:tc>
      </w:tr>
      <w:tr>
        <w:trPr/>
        <w:tc>
          <w:tcPr>
            <w:tcW w:w="189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Spread to Benchmark</w:t>
            </w:r>
          </w:p>
        </w:tc>
        <w:tc>
          <w:tcPr>
            <w:tcW w:w="319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+225bps</w:t>
            </w:r>
          </w:p>
        </w:tc>
      </w:tr>
      <w:tr>
        <w:trPr/>
        <w:tc>
          <w:tcPr>
            <w:tcW w:w="189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Benchmark Price</w:t>
            </w:r>
          </w:p>
        </w:tc>
        <w:tc>
          <w:tcPr>
            <w:tcW w:w="319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98-12¼</w:t>
            </w:r>
          </w:p>
        </w:tc>
      </w:tr>
      <w:tr>
        <w:trPr/>
        <w:tc>
          <w:tcPr>
            <w:tcW w:w="189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Benchmark Yield</w:t>
            </w:r>
          </w:p>
        </w:tc>
        <w:tc>
          <w:tcPr>
            <w:tcW w:w="319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4.744%</w:t>
            </w:r>
          </w:p>
        </w:tc>
      </w:tr>
      <w:tr>
        <w:trPr/>
        <w:tc>
          <w:tcPr>
            <w:tcW w:w="189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Re-offer Yield</w:t>
            </w:r>
          </w:p>
        </w:tc>
        <w:tc>
          <w:tcPr>
            <w:tcW w:w="319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6.994%</w:t>
            </w:r>
          </w:p>
        </w:tc>
      </w:tr>
      <w:tr>
        <w:trPr/>
        <w:tc>
          <w:tcPr>
            <w:tcW w:w="189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Re-offer Price</w:t>
            </w:r>
          </w:p>
        </w:tc>
        <w:tc>
          <w:tcPr>
            <w:tcW w:w="319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98.985</w:t>
            </w:r>
          </w:p>
        </w:tc>
      </w:tr>
      <w:tr>
        <w:trPr/>
        <w:tc>
          <w:tcPr>
            <w:tcW w:w="189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Coupon</w:t>
            </w:r>
          </w:p>
        </w:tc>
        <w:tc>
          <w:tcPr>
            <w:tcW w:w="319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6.750%</w:t>
            </w:r>
          </w:p>
        </w:tc>
      </w:tr>
      <w:tr>
        <w:trPr/>
        <w:tc>
          <w:tcPr>
            <w:tcW w:w="189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First Pay</w:t>
            </w:r>
          </w:p>
        </w:tc>
        <w:tc>
          <w:tcPr>
            <w:tcW w:w="319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Mar 15, 2027</w:t>
            </w:r>
          </w:p>
        </w:tc>
      </w:tr>
      <w:tr>
        <w:trPr/>
        <w:tc>
          <w:tcPr>
            <w:tcW w:w="189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Optional Redemption</w:t>
            </w:r>
          </w:p>
        </w:tc>
        <w:tc>
          <w:tcPr>
            <w:tcW w:w="319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Make Whole Call: T + 35 </w:t>
            </w:r>
          </w:p>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Par Call: 1 month(s) prior to maturity </w:t>
            </w:r>
          </w:p>
        </w:tc>
      </w:tr>
      <w:tr>
        <w:trPr/>
        <w:tc>
          <w:tcPr>
            <w:tcW w:w="189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Change of Control</w:t>
            </w:r>
          </w:p>
        </w:tc>
        <w:tc>
          <w:tcPr>
            <w:tcW w:w="319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Put @ 100%</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 Launch: Capital Southwest Corp (CSWC) ***</w:t>
      </w:r>
    </w:p>
    <w:tbl>
      <w:tblPr>
        <w:tblW w:w="3104" w:type="dxa"/>
        <w:jc w:val="left"/>
        <w:tblInd w:w="0" w:type="dxa"/>
        <w:tblLayout w:type="fixed"/>
        <w:tblCellMar>
          <w:top w:w="28" w:type="dxa"/>
          <w:left w:w="28" w:type="dxa"/>
          <w:bottom w:w="28" w:type="dxa"/>
          <w:right w:w="28" w:type="dxa"/>
        </w:tblCellMar>
      </w:tblPr>
      <w:tblGrid>
        <w:gridCol w:w="671"/>
        <w:gridCol w:w="593"/>
        <w:gridCol w:w="595"/>
        <w:gridCol w:w="365"/>
        <w:gridCol w:w="365"/>
        <w:gridCol w:w="515"/>
      </w:tblGrid>
      <w:tr>
        <w:trPr/>
        <w:tc>
          <w:tcPr>
            <w:tcW w:w="671"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0" w:after="160"/>
              <w:jc w:val="left"/>
              <w:rPr>
                <w:rFonts w:ascii="Times New Roman;serif" w:hAnsi="Times New Roman;serif"/>
                <w:b w:val="false"/>
                <w:color w:val="000000"/>
                <w:sz w:val="20"/>
              </w:rPr>
            </w:pPr>
            <w:r>
              <w:rPr>
                <w:rFonts w:ascii="Times New Roman;serif" w:hAnsi="Times New Roman;serif"/>
                <w:b w:val="false"/>
                <w:color w:val="000000"/>
                <w:sz w:val="20"/>
              </w:rPr>
              <w:t>Total Size</w:t>
            </w:r>
          </w:p>
        </w:tc>
        <w:tc>
          <w:tcPr>
            <w:tcW w:w="124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19" w:before="0" w:after="160"/>
              <w:jc w:val="left"/>
              <w:rPr>
                <w:rFonts w:ascii="Times New Roman;serif" w:hAnsi="Times New Roman;serif"/>
                <w:b w:val="false"/>
                <w:color w:val="000000"/>
                <w:sz w:val="20"/>
              </w:rPr>
            </w:pPr>
            <w:r>
              <w:rPr>
                <w:rFonts w:ascii="Times New Roman;serif" w:hAnsi="Times New Roman;serif"/>
                <w:b w:val="false"/>
                <w:color w:val="000000"/>
                <w:sz w:val="20"/>
              </w:rPr>
              <w:t>USD 350MM</w:t>
            </w:r>
          </w:p>
        </w:tc>
      </w:tr>
      <w:tr>
        <w:trPr/>
        <w:tc>
          <w:tcPr>
            <w:tcW w:w="18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0" w:after="160"/>
              <w:jc w:val="left"/>
              <w:rPr>
                <w:rFonts w:ascii="Times New Roman;serif" w:hAnsi="Times New Roman;serif"/>
                <w:b w:val="false"/>
                <w:color w:val="000000"/>
                <w:sz w:val="20"/>
              </w:rPr>
            </w:pPr>
            <w:r>
              <w:rPr>
                <w:rFonts w:ascii="Times New Roman;serif" w:hAnsi="Times New Roman;serif"/>
                <w:b w:val="false"/>
                <w:color w:val="000000"/>
                <w:sz w:val="20"/>
              </w:rPr>
              <w:t>Tenor</w:t>
            </w:r>
          </w:p>
        </w:tc>
        <w:tc>
          <w:tcPr>
            <w:tcW w:w="124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19" w:before="0" w:after="160"/>
              <w:jc w:val="left"/>
              <w:rPr>
                <w:rFonts w:ascii="Times New Roman;serif" w:hAnsi="Times New Roman;serif"/>
                <w:b w:val="false"/>
                <w:color w:val="000000"/>
                <w:sz w:val="20"/>
              </w:rPr>
            </w:pPr>
            <w:r>
              <w:rPr>
                <w:rFonts w:ascii="Times New Roman;serif" w:hAnsi="Times New Roman;serif"/>
                <w:b w:val="false"/>
                <w:color w:val="000000"/>
                <w:sz w:val="20"/>
              </w:rPr>
              <w:t>5 Year</w:t>
            </w:r>
          </w:p>
        </w:tc>
      </w:tr>
      <w:tr>
        <w:trPr/>
        <w:tc>
          <w:tcPr>
            <w:tcW w:w="18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0" w:after="160"/>
              <w:jc w:val="left"/>
              <w:rPr>
                <w:rFonts w:ascii="Times New Roman;serif" w:hAnsi="Times New Roman;serif"/>
                <w:b w:val="false"/>
                <w:color w:val="000000"/>
                <w:sz w:val="20"/>
              </w:rPr>
            </w:pPr>
            <w:r>
              <w:rPr>
                <w:rFonts w:ascii="Times New Roman;serif" w:hAnsi="Times New Roman;serif"/>
                <w:b w:val="false"/>
                <w:color w:val="000000"/>
                <w:sz w:val="20"/>
              </w:rPr>
              <w:t>Tranche Size</w:t>
            </w:r>
          </w:p>
        </w:tc>
        <w:tc>
          <w:tcPr>
            <w:tcW w:w="124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19" w:before="0" w:after="160"/>
              <w:jc w:val="left"/>
              <w:rPr>
                <w:rFonts w:ascii="Times New Roman;serif" w:hAnsi="Times New Roman;serif"/>
                <w:b w:val="false"/>
                <w:color w:val="000000"/>
                <w:sz w:val="20"/>
              </w:rPr>
            </w:pPr>
            <w:r>
              <w:rPr>
                <w:rFonts w:ascii="Times New Roman;serif" w:hAnsi="Times New Roman;serif"/>
                <w:b w:val="false"/>
                <w:color w:val="000000"/>
                <w:sz w:val="20"/>
              </w:rPr>
              <w:t>USD 350MM</w:t>
            </w:r>
          </w:p>
        </w:tc>
      </w:tr>
      <w:tr>
        <w:trPr/>
        <w:tc>
          <w:tcPr>
            <w:tcW w:w="185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19" w:before="0" w:after="160"/>
              <w:jc w:val="left"/>
              <w:rPr>
                <w:rFonts w:ascii="Times New Roman;serif" w:hAnsi="Times New Roman;serif"/>
                <w:b w:val="false"/>
                <w:color w:val="000000"/>
                <w:sz w:val="20"/>
              </w:rPr>
            </w:pPr>
            <w:r>
              <w:rPr>
                <w:rFonts w:ascii="Times New Roman;serif" w:hAnsi="Times New Roman;serif"/>
                <w:b w:val="false"/>
                <w:color w:val="000000"/>
                <w:sz w:val="20"/>
              </w:rPr>
              <w:t>Spread to Benchmark</w:t>
            </w:r>
          </w:p>
        </w:tc>
        <w:tc>
          <w:tcPr>
            <w:tcW w:w="124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19" w:before="0" w:after="160"/>
              <w:jc w:val="left"/>
              <w:rPr>
                <w:rFonts w:ascii="Times New Roman;serif" w:hAnsi="Times New Roman;serif"/>
                <w:b w:val="false"/>
                <w:color w:val="000000"/>
                <w:sz w:val="20"/>
              </w:rPr>
            </w:pPr>
            <w:r>
              <w:rPr>
                <w:rFonts w:ascii="Times New Roman;serif" w:hAnsi="Times New Roman;serif"/>
                <w:b w:val="false"/>
                <w:color w:val="000000"/>
                <w:sz w:val="20"/>
              </w:rPr>
              <w:t>T +225bps</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New Deal: Capital Southwest Corp (CSWC) ***</w:t>
      </w:r>
    </w:p>
    <w:p>
      <w:pPr>
        <w:pStyle w:val="TextBody"/>
        <w:bidi w:val="0"/>
        <w:spacing w:before="0" w:after="0"/>
        <w:jc w:val="left"/>
        <w:rPr/>
      </w:pPr>
      <w:r>
        <w:rPr/>
      </w:r>
    </w:p>
    <w:tbl>
      <w:tblPr>
        <w:tblW w:w="5715" w:type="dxa"/>
        <w:jc w:val="left"/>
        <w:tblInd w:w="0" w:type="dxa"/>
        <w:tblLayout w:type="fixed"/>
        <w:tblCellMar>
          <w:top w:w="28" w:type="dxa"/>
          <w:left w:w="28" w:type="dxa"/>
          <w:bottom w:w="28" w:type="dxa"/>
          <w:right w:w="28" w:type="dxa"/>
        </w:tblCellMar>
      </w:tblPr>
      <w:tblGrid>
        <w:gridCol w:w="723"/>
        <w:gridCol w:w="633"/>
        <w:gridCol w:w="639"/>
        <w:gridCol w:w="1089"/>
        <w:gridCol w:w="1089"/>
        <w:gridCol w:w="1542"/>
      </w:tblGrid>
      <w:tr>
        <w:trPr/>
        <w:tc>
          <w:tcPr>
            <w:tcW w:w="72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op w:val="single" w:sz="8" w:space="0" w:color="000000"/>
              <w:left w:val="single" w:sz="8" w:space="0" w:color="000000"/>
              <w:bottom w:val="single" w:sz="8"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Issuer/Ticker</w:t>
            </w:r>
          </w:p>
        </w:tc>
        <w:tc>
          <w:tcPr>
            <w:tcW w:w="3720" w:type="dxa"/>
            <w:gridSpan w:val="3"/>
            <w:tcBorders>
              <w:top w:val="single" w:sz="8" w:space="0" w:color="000000"/>
              <w:left w:val="single" w:sz="8" w:space="0" w:color="000000"/>
              <w:right w:val="single" w:sz="8"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Southwest Corporation (CSWC)</w:t>
            </w:r>
          </w:p>
        </w:tc>
      </w:tr>
      <w:tr>
        <w:trPr/>
        <w:tc>
          <w:tcPr>
            <w:tcW w:w="1995" w:type="dxa"/>
            <w:gridSpan w:val="3"/>
            <w:vMerge w:val="restart"/>
            <w:tcBorders>
              <w:left w:val="single" w:sz="8" w:space="0" w:color="000000"/>
            </w:tcBorders>
            <w:tcMar>
              <w:top w:w="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Ratings*</w:t>
            </w:r>
          </w:p>
        </w:tc>
        <w:tc>
          <w:tcPr>
            <w:tcW w:w="3720" w:type="dxa"/>
            <w:gridSpan w:val="3"/>
            <w:tcBorders>
              <w:top w:val="single" w:sz="8" w:space="0" w:color="000000"/>
              <w:left w:val="single" w:sz="8" w:space="0" w:color="000000"/>
              <w:right w:val="single" w:sz="8"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Moody's: Baa3 (Stable)</w:t>
            </w:r>
          </w:p>
        </w:tc>
      </w:tr>
      <w:tr>
        <w:trPr/>
        <w:tc>
          <w:tcPr>
            <w:tcW w:w="1995" w:type="dxa"/>
            <w:gridSpan w:val="3"/>
            <w:vMerge w:val="continue"/>
            <w:tcBorders>
              <w:left w:val="single" w:sz="8" w:space="0" w:color="000000"/>
            </w:tcBorders>
            <w:tcMar>
              <w:top w:w="0" w:type="dxa"/>
              <w:left w:w="75" w:type="dxa"/>
              <w:bottom w:w="0" w:type="dxa"/>
              <w:right w:w="0" w:type="dxa"/>
            </w:tcMar>
            <w:vAlign w:val="center"/>
          </w:tcPr>
          <w:p>
            <w:pPr>
              <w:pStyle w:val="Normal"/>
              <w:bidi w:val="0"/>
              <w:jc w:val="left"/>
              <w:rPr/>
            </w:pPr>
            <w:r>
              <w:rPr/>
            </w:r>
          </w:p>
        </w:tc>
        <w:tc>
          <w:tcPr>
            <w:tcW w:w="3720" w:type="dxa"/>
            <w:gridSpan w:val="3"/>
            <w:tcBorders>
              <w:top w:val="single" w:sz="8" w:space="0" w:color="000000"/>
              <w:left w:val="single" w:sz="8" w:space="0" w:color="000000"/>
              <w:right w:val="single" w:sz="8"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Fitch: BBB- (Stable)</w:t>
            </w:r>
          </w:p>
        </w:tc>
      </w:tr>
      <w:tr>
        <w:trPr/>
        <w:tc>
          <w:tcPr>
            <w:tcW w:w="1995" w:type="dxa"/>
            <w:gridSpan w:val="3"/>
            <w:tcBorders>
              <w:top w:val="single" w:sz="8" w:space="0" w:color="000000"/>
              <w:left w:val="single" w:sz="8"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Format</w:t>
            </w:r>
          </w:p>
        </w:tc>
        <w:tc>
          <w:tcPr>
            <w:tcW w:w="3720" w:type="dxa"/>
            <w:gridSpan w:val="3"/>
            <w:tcBorders>
              <w:top w:val="single" w:sz="8" w:space="0" w:color="000000"/>
              <w:left w:val="single" w:sz="8" w:space="0" w:color="000000"/>
              <w:right w:val="single" w:sz="8"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 Registered</w:t>
            </w:r>
          </w:p>
        </w:tc>
      </w:tr>
      <w:tr>
        <w:trPr/>
        <w:tc>
          <w:tcPr>
            <w:tcW w:w="1995" w:type="dxa"/>
            <w:gridSpan w:val="3"/>
            <w:tcBorders>
              <w:top w:val="single" w:sz="8" w:space="0" w:color="000000"/>
              <w:left w:val="single" w:sz="8"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Ranking</w:t>
            </w:r>
          </w:p>
        </w:tc>
        <w:tc>
          <w:tcPr>
            <w:tcW w:w="3720" w:type="dxa"/>
            <w:gridSpan w:val="3"/>
            <w:tcBorders>
              <w:top w:val="single" w:sz="8" w:space="0" w:color="000000"/>
              <w:left w:val="single" w:sz="8" w:space="0" w:color="000000"/>
              <w:right w:val="single" w:sz="8"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Unsecured</w:t>
            </w:r>
          </w:p>
        </w:tc>
      </w:tr>
      <w:tr>
        <w:trPr/>
        <w:tc>
          <w:tcPr>
            <w:tcW w:w="1995" w:type="dxa"/>
            <w:gridSpan w:val="3"/>
            <w:tcBorders>
              <w:top w:val="single" w:sz="8" w:space="0" w:color="000000"/>
              <w:left w:val="single" w:sz="8"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Tenor</w:t>
            </w:r>
          </w:p>
        </w:tc>
        <w:tc>
          <w:tcPr>
            <w:tcW w:w="3720" w:type="dxa"/>
            <w:gridSpan w:val="3"/>
            <w:tcBorders>
              <w:top w:val="single" w:sz="8" w:space="0" w:color="000000"/>
              <w:left w:val="single" w:sz="8" w:space="0" w:color="000000"/>
              <w:right w:val="single" w:sz="8"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5-Year</w:t>
            </w:r>
          </w:p>
        </w:tc>
      </w:tr>
      <w:tr>
        <w:trPr/>
        <w:tc>
          <w:tcPr>
            <w:tcW w:w="1995" w:type="dxa"/>
            <w:gridSpan w:val="3"/>
            <w:tcBorders>
              <w:top w:val="single" w:sz="8" w:space="0" w:color="000000"/>
              <w:left w:val="single" w:sz="8"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Size</w:t>
            </w:r>
          </w:p>
        </w:tc>
        <w:tc>
          <w:tcPr>
            <w:tcW w:w="3720" w:type="dxa"/>
            <w:gridSpan w:val="3"/>
            <w:tcBorders>
              <w:top w:val="single" w:sz="8" w:space="0" w:color="000000"/>
              <w:left w:val="single" w:sz="8" w:space="0" w:color="000000"/>
              <w:right w:val="single" w:sz="8"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$300mm</w:t>
            </w:r>
          </w:p>
        </w:tc>
      </w:tr>
      <w:tr>
        <w:trPr/>
        <w:tc>
          <w:tcPr>
            <w:tcW w:w="1995" w:type="dxa"/>
            <w:gridSpan w:val="3"/>
            <w:tcBorders>
              <w:top w:val="single" w:sz="8" w:space="0" w:color="000000"/>
              <w:left w:val="single" w:sz="8"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IPTs</w:t>
            </w:r>
          </w:p>
        </w:tc>
        <w:tc>
          <w:tcPr>
            <w:tcW w:w="3720" w:type="dxa"/>
            <w:gridSpan w:val="3"/>
            <w:tcBorders>
              <w:top w:val="single" w:sz="8" w:space="0" w:color="000000"/>
              <w:left w:val="single" w:sz="8" w:space="0" w:color="000000"/>
              <w:right w:val="single" w:sz="8"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T+245bps Area</w:t>
            </w:r>
          </w:p>
        </w:tc>
      </w:tr>
      <w:tr>
        <w:trPr/>
        <w:tc>
          <w:tcPr>
            <w:tcW w:w="1995" w:type="dxa"/>
            <w:gridSpan w:val="3"/>
            <w:tcBorders>
              <w:top w:val="single" w:sz="8" w:space="0" w:color="000000"/>
              <w:left w:val="single" w:sz="8"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w:t>
            </w:r>
          </w:p>
        </w:tc>
        <w:tc>
          <w:tcPr>
            <w:tcW w:w="3720" w:type="dxa"/>
            <w:gridSpan w:val="3"/>
            <w:tcBorders>
              <w:top w:val="single" w:sz="8" w:space="0" w:color="000000"/>
              <w:left w:val="single" w:sz="8" w:space="0" w:color="000000"/>
              <w:right w:val="single" w:sz="8"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T+3 (September 15, 2026)</w:t>
            </w:r>
          </w:p>
        </w:tc>
      </w:tr>
      <w:tr>
        <w:trPr/>
        <w:tc>
          <w:tcPr>
            <w:tcW w:w="1995" w:type="dxa"/>
            <w:gridSpan w:val="3"/>
            <w:tcBorders>
              <w:top w:val="single" w:sz="8" w:space="0" w:color="000000"/>
              <w:left w:val="single" w:sz="8"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Coupon Type</w:t>
            </w:r>
          </w:p>
        </w:tc>
        <w:tc>
          <w:tcPr>
            <w:tcW w:w="3720" w:type="dxa"/>
            <w:gridSpan w:val="3"/>
            <w:tcBorders>
              <w:top w:val="single" w:sz="8" w:space="0" w:color="000000"/>
              <w:left w:val="single" w:sz="8" w:space="0" w:color="000000"/>
              <w:right w:val="single" w:sz="8"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w:t>
            </w:r>
          </w:p>
        </w:tc>
      </w:tr>
      <w:tr>
        <w:trPr/>
        <w:tc>
          <w:tcPr>
            <w:tcW w:w="1995" w:type="dxa"/>
            <w:gridSpan w:val="3"/>
            <w:tcBorders>
              <w:top w:val="single" w:sz="8" w:space="0" w:color="000000"/>
              <w:left w:val="single" w:sz="8"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Maturity Date</w:t>
            </w:r>
          </w:p>
        </w:tc>
        <w:tc>
          <w:tcPr>
            <w:tcW w:w="3720" w:type="dxa"/>
            <w:gridSpan w:val="3"/>
            <w:tcBorders>
              <w:top w:val="single" w:sz="8" w:space="0" w:color="000000"/>
              <w:left w:val="single" w:sz="8" w:space="0" w:color="000000"/>
              <w:right w:val="single" w:sz="8"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15, 2031</w:t>
            </w:r>
          </w:p>
        </w:tc>
      </w:tr>
      <w:tr>
        <w:trPr/>
        <w:tc>
          <w:tcPr>
            <w:tcW w:w="1995" w:type="dxa"/>
            <w:gridSpan w:val="3"/>
            <w:tcBorders>
              <w:top w:val="single" w:sz="8" w:space="0" w:color="000000"/>
              <w:left w:val="single" w:sz="8"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of Control</w:t>
            </w:r>
          </w:p>
        </w:tc>
        <w:tc>
          <w:tcPr>
            <w:tcW w:w="3720" w:type="dxa"/>
            <w:gridSpan w:val="3"/>
            <w:tcBorders>
              <w:top w:val="single" w:sz="8" w:space="0" w:color="000000"/>
              <w:left w:val="single" w:sz="8" w:space="0" w:color="000000"/>
              <w:right w:val="single" w:sz="8"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Yes, 100% (See Red)</w:t>
            </w:r>
          </w:p>
        </w:tc>
      </w:tr>
      <w:tr>
        <w:trPr/>
        <w:tc>
          <w:tcPr>
            <w:tcW w:w="1995" w:type="dxa"/>
            <w:gridSpan w:val="3"/>
            <w:tcBorders>
              <w:top w:val="single" w:sz="8" w:space="0" w:color="000000"/>
              <w:left w:val="single" w:sz="8" w:space="0" w:color="000000"/>
              <w:bottom w:val="single" w:sz="8"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Active Book Runner(s)</w:t>
            </w:r>
          </w:p>
        </w:tc>
        <w:tc>
          <w:tcPr>
            <w:tcW w:w="3720" w:type="dxa"/>
            <w:gridSpan w:val="3"/>
            <w:tcBorders>
              <w:top w:val="single" w:sz="8" w:space="0" w:color="000000"/>
              <w:left w:val="single" w:sz="8" w:space="0" w:color="000000"/>
              <w:bottom w:val="single" w:sz="8" w:space="0" w:color="000000"/>
              <w:right w:val="single" w:sz="8" w:space="0" w:color="000000"/>
            </w:tcBorders>
            <w:tcMar>
              <w:top w:w="30" w:type="dxa"/>
              <w:left w:w="75"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DB (B&amp;D), HBAN, ING, MS, RBCCM, WFS</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350520"/>
                <wp:effectExtent l="0" t="0" r="0" b="0"/>
                <wp:wrapNone/>
                <wp:docPr id="1" name="Frame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160"/>
                        <w:jc w:val="left"/>
                        <w:rPr/>
                      </w:pPr>
                      <w:r>
                        <w:rPr/>
                      </w:r>
                    </w:p>
                  </w:txbxContent>
                </v:textbox>
                <w10:wrap type="none"/>
              </v:rect>
            </w:pict>
          </mc:Fallback>
        </mc:AlternateContent>
      </w:r>
    </w:p>
    <w:tbl>
      <w:tblPr>
        <w:tblW w:w="7244" w:type="dxa"/>
        <w:jc w:val="left"/>
        <w:tblInd w:w="0" w:type="dxa"/>
        <w:tblLayout w:type="fixed"/>
        <w:tblCellMar>
          <w:top w:w="28" w:type="dxa"/>
          <w:left w:w="28" w:type="dxa"/>
          <w:bottom w:w="28" w:type="dxa"/>
          <w:right w:w="28" w:type="dxa"/>
        </w:tblCellMar>
      </w:tblPr>
      <w:tblGrid>
        <w:gridCol w:w="629"/>
        <w:gridCol w:w="554"/>
        <w:gridCol w:w="557"/>
        <w:gridCol w:w="1611"/>
        <w:gridCol w:w="1611"/>
        <w:gridCol w:w="2282"/>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2282"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op w:val="single" w:sz="8" w:space="0" w:color="000000"/>
              <w:left w:val="single" w:sz="8"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 of Proceeds</w:t>
            </w:r>
          </w:p>
        </w:tc>
        <w:tc>
          <w:tcPr>
            <w:tcW w:w="5504" w:type="dxa"/>
            <w:gridSpan w:val="3"/>
            <w:tcBorders>
              <w:top w:val="single" w:sz="8" w:space="0" w:color="000000"/>
              <w:left w:val="single" w:sz="8" w:space="0" w:color="000000"/>
              <w:right w:val="single" w:sz="8"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 outstanding indebtedness</w:t>
            </w:r>
          </w:p>
        </w:tc>
      </w:tr>
      <w:tr>
        <w:trPr/>
        <w:tc>
          <w:tcPr>
            <w:tcW w:w="1740" w:type="dxa"/>
            <w:gridSpan w:val="3"/>
            <w:tcBorders>
              <w:top w:val="single" w:sz="8" w:space="0" w:color="000000"/>
              <w:left w:val="single" w:sz="8" w:space="0" w:color="000000"/>
              <w:bottom w:val="single" w:sz="8"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w:t>
            </w:r>
          </w:p>
        </w:tc>
        <w:tc>
          <w:tcPr>
            <w:tcW w:w="550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Direct link: </w:t>
            </w:r>
            <w:r>
              <w:rPr>
                <w:rFonts w:ascii="Times New Roman;serif" w:hAnsi="Times New Roman;serif"/>
                <w:b w:val="false"/>
                <w:color w:val="0563C1"/>
                <w:sz w:val="20"/>
                <w:u w:val="single"/>
              </w:rPr>
              <w:t>www.netroadshow.com/nrs/home/#!/?show=d3ce73e8</w:t>
            </w:r>
          </w:p>
          <w:p>
            <w:pPr>
              <w:pStyle w:val="TableContents"/>
              <w:bidi w:val="0"/>
              <w:spacing w:lineRule="auto" w:line="288" w:before="0" w:after="0"/>
              <w:jc w:val="left"/>
              <w:rPr/>
            </w:pPr>
            <w:r>
              <w:rPr>
                <w:rFonts w:ascii="Times New Roman;serif" w:hAnsi="Times New Roman;serif"/>
                <w:b w:val="false"/>
                <w:color w:val="000000"/>
                <w:sz w:val="20"/>
              </w:rPr>
              <w:t xml:space="preserve">Link: </w:t>
            </w:r>
            <w:r>
              <w:rPr>
                <w:rFonts w:ascii="Times New Roman;serif" w:hAnsi="Times New Roman;serif"/>
                <w:b w:val="false"/>
                <w:color w:val="0563C1"/>
                <w:sz w:val="20"/>
                <w:u w:val="single"/>
              </w:rPr>
              <w:t>www.netroadshow.com</w:t>
            </w:r>
            <w:r>
              <w:rPr>
                <w:color w:val="000000"/>
              </w:rPr>
              <w:t xml:space="preserve"> </w:t>
            </w:r>
            <w:r>
              <w:rPr>
                <w:rFonts w:ascii="Times New Roman;serif" w:hAnsi="Times New Roman;serif"/>
                <w:b w:val="false"/>
                <w:color w:val="000000"/>
                <w:sz w:val="20"/>
              </w:rPr>
              <w:t xml:space="preserve">| Entry Code: </w:t>
            </w:r>
            <w:r>
              <w:rPr>
                <w:rFonts w:ascii="Times New Roman;serif" w:hAnsi="Times New Roman;serif"/>
                <w:b/>
                <w:color w:val="000000"/>
                <w:sz w:val="20"/>
              </w:rPr>
              <w:t>CSWC2026</w:t>
            </w:r>
          </w:p>
        </w:tc>
      </w:tr>
      <w:tr>
        <w:trPr/>
        <w:tc>
          <w:tcPr>
            <w:tcW w:w="1740" w:type="dxa"/>
            <w:gridSpan w:val="3"/>
            <w:vMerge w:val="restart"/>
            <w:tcBorders>
              <w:left w:val="single" w:sz="8" w:space="0" w:color="000000"/>
            </w:tcBorders>
            <w:tcMar>
              <w:top w:w="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 Redemption</w:t>
            </w:r>
          </w:p>
        </w:tc>
        <w:tc>
          <w:tcPr>
            <w:tcW w:w="5504" w:type="dxa"/>
            <w:gridSpan w:val="3"/>
            <w:tcBorders>
              <w:top w:val="single" w:sz="8" w:space="0" w:color="000000"/>
              <w:left w:val="single" w:sz="8" w:space="0" w:color="000000"/>
              <w:right w:val="single" w:sz="8"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Make Whole Call</w:t>
            </w:r>
          </w:p>
        </w:tc>
      </w:tr>
      <w:tr>
        <w:trPr/>
        <w:tc>
          <w:tcPr>
            <w:tcW w:w="1740" w:type="dxa"/>
            <w:gridSpan w:val="3"/>
            <w:vMerge w:val="continue"/>
            <w:tcBorders>
              <w:left w:val="single" w:sz="8" w:space="0" w:color="000000"/>
            </w:tcBorders>
            <w:tcMar>
              <w:top w:w="0" w:type="dxa"/>
              <w:left w:w="75" w:type="dxa"/>
              <w:bottom w:w="0" w:type="dxa"/>
              <w:right w:w="0" w:type="dxa"/>
            </w:tcMar>
            <w:vAlign w:val="center"/>
          </w:tcPr>
          <w:p>
            <w:pPr>
              <w:pStyle w:val="Normal"/>
              <w:bidi w:val="0"/>
              <w:jc w:val="left"/>
              <w:rPr/>
            </w:pPr>
            <w:r>
              <w:rPr/>
            </w:r>
          </w:p>
        </w:tc>
        <w:tc>
          <w:tcPr>
            <w:tcW w:w="5504" w:type="dxa"/>
            <w:gridSpan w:val="3"/>
            <w:tcBorders>
              <w:top w:val="single" w:sz="8" w:space="0" w:color="000000"/>
              <w:left w:val="single" w:sz="8" w:space="0" w:color="000000"/>
              <w:right w:val="single" w:sz="8"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1-Month Par Call</w:t>
            </w:r>
          </w:p>
        </w:tc>
      </w:tr>
      <w:tr>
        <w:trPr/>
        <w:tc>
          <w:tcPr>
            <w:tcW w:w="1740" w:type="dxa"/>
            <w:gridSpan w:val="3"/>
            <w:tcBorders>
              <w:top w:val="single" w:sz="8" w:space="0" w:color="000000"/>
              <w:left w:val="single" w:sz="8"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Denominations</w:t>
            </w:r>
          </w:p>
        </w:tc>
        <w:tc>
          <w:tcPr>
            <w:tcW w:w="5504" w:type="dxa"/>
            <w:gridSpan w:val="3"/>
            <w:tcBorders>
              <w:top w:val="single" w:sz="8" w:space="0" w:color="000000"/>
              <w:left w:val="single" w:sz="8" w:space="0" w:color="000000"/>
              <w:right w:val="single" w:sz="8"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2,000 x 1,000</w:t>
            </w:r>
          </w:p>
        </w:tc>
      </w:tr>
      <w:tr>
        <w:trPr/>
        <w:tc>
          <w:tcPr>
            <w:tcW w:w="1740" w:type="dxa"/>
            <w:gridSpan w:val="3"/>
            <w:tcBorders>
              <w:top w:val="single" w:sz="8" w:space="0" w:color="000000"/>
              <w:left w:val="single" w:sz="8"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CUSIP / ISIN</w:t>
            </w:r>
          </w:p>
        </w:tc>
        <w:tc>
          <w:tcPr>
            <w:tcW w:w="5504" w:type="dxa"/>
            <w:gridSpan w:val="3"/>
            <w:tcBorders>
              <w:top w:val="single" w:sz="8" w:space="0" w:color="000000"/>
              <w:left w:val="single" w:sz="8" w:space="0" w:color="000000"/>
              <w:right w:val="single" w:sz="8"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140501AG2 / US140501AG26</w:t>
            </w:r>
          </w:p>
        </w:tc>
      </w:tr>
      <w:tr>
        <w:trPr/>
        <w:tc>
          <w:tcPr>
            <w:tcW w:w="1740" w:type="dxa"/>
            <w:gridSpan w:val="3"/>
            <w:tcBorders>
              <w:top w:val="single" w:sz="8" w:space="0" w:color="000000"/>
              <w:left w:val="single" w:sz="8"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Timing</w:t>
            </w:r>
          </w:p>
        </w:tc>
        <w:tc>
          <w:tcPr>
            <w:tcW w:w="5504" w:type="dxa"/>
            <w:gridSpan w:val="3"/>
            <w:tcBorders>
              <w:top w:val="single" w:sz="8" w:space="0" w:color="000000"/>
              <w:left w:val="single" w:sz="8" w:space="0" w:color="000000"/>
              <w:right w:val="single" w:sz="8"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Today's Business</w:t>
            </w:r>
          </w:p>
        </w:tc>
      </w:tr>
      <w:tr>
        <w:trPr/>
        <w:tc>
          <w:tcPr>
            <w:tcW w:w="1740" w:type="dxa"/>
            <w:gridSpan w:val="3"/>
            <w:tcBorders>
              <w:top w:val="single" w:sz="8" w:space="0" w:color="000000"/>
              <w:left w:val="single" w:sz="8" w:space="0" w:color="000000"/>
              <w:bottom w:val="single" w:sz="8"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into Canada</w:t>
            </w:r>
          </w:p>
        </w:tc>
        <w:tc>
          <w:tcPr>
            <w:tcW w:w="5504" w:type="dxa"/>
            <w:gridSpan w:val="3"/>
            <w:tcBorders>
              <w:top w:val="single" w:sz="8" w:space="0" w:color="000000"/>
              <w:left w:val="single" w:sz="8" w:space="0" w:color="000000"/>
              <w:bottom w:val="single" w:sz="8" w:space="0" w:color="000000"/>
              <w:right w:val="single" w:sz="8" w:space="0" w:color="000000"/>
            </w:tcBorders>
            <w:tcMar>
              <w:top w:w="30" w:type="dxa"/>
              <w:left w:w="75"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Yes – via Exemption</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Note: A securities rating is not a recommendation to buy, sell or hold securities and may be subject to revision or withdrawal at any time. The ratings are subject to revision or withdrawal at any time by Moody’s or Fitch. Each of the security ratings above should be evaluated independently of any other security rating.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Under Rule 15c6-1 of the Securities Exchange Act of 1934, trades in the secondary market generally are required to settle in one business day, unless the parties to such trade expressly agree otherwise at the time of the trade. Accordingly, purchasers who wish to trade the Notes prior to the date of delivery of the Notes will be required, by virtue of the fact that the Notes initially will settle in three business days (T+3), to specify alternative settlement arrangements to prevent a failed settlement.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Investors are advised to carefully consider the investment objectives, risks, charges and expenses of Capital Southwest Corporation before investing. A shelf registration statement relating to these securities is on file with the Securities and Exchange Commission (the “SEC”) for the offering to which this communication relates. Before you invest, you should read the preliminary prospectus supplement relating to this offering, together with the accompanying prospectus, filed with the SEC and other documents Capital Southwest Corporation has filed with the SEC for more complete information about Capital Southwest Corporation and this offering. The information in the preliminary prospectus supplement and the accompanying prospectus, and in this announcement, is not complete and may be changed.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0"/>
        </w:rPr>
        <w:t xml:space="preserve">The offering may be made only by means of a preliminary prospectus supplement and an accompanying prospectus. You may obtain these documents for free by visiting EDGAR on the SEC website at </w:t>
      </w:r>
      <w:r>
        <w:rPr>
          <w:rFonts w:ascii="Times New Roman;serif" w:hAnsi="Times New Roman;serif"/>
          <w:b w:val="false"/>
          <w:color w:val="0563C1"/>
          <w:sz w:val="20"/>
          <w:u w:val="single"/>
        </w:rPr>
        <w:t>www.sec.gov</w:t>
      </w:r>
      <w:r>
        <w:rPr>
          <w:rFonts w:ascii="Times New Roman;serif" w:hAnsi="Times New Roman;serif"/>
          <w:b w:val="false"/>
          <w:color w:val="000000"/>
          <w:sz w:val="20"/>
        </w:rPr>
        <w:t>. Alternatively, the issuer, any underwriter or any dealer participating in the offering will arrange to send you the preliminary prospectus supplement and the accompanying prospectus if you request them by calling Deutsche Bank Securities Inc. toll-free at +1-800-503-4611, Huntington Securities, Inc. toll-free at +1 (800) 824-5652, ING Financial Markets LLC toll-free at +1 (877) 446-4930, Morgan Stanley &amp; Co. LLC toll-free at 1-866-718-1649, RBC Capital Markets, LLC toll-free at +1 (866) 375-6829, or Wells Fargo Securities, LLC toll-free at +1 (800) 645-3751</w:t>
        <w:b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preliminary prospectus supplement, the accompanying prospectus and this announcement do not constitute offers to sell or the solicitation of offers to buy nor will there be any sale of the securities referred to in this announcement in any state or jurisdiction in which such offer, solicitation or sale would be unlawful prior to the registration or qualification under the securities laws of such state or jurisdiction.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ANY DISCLAIMERS OR OTHER NOTICES THAT MAY APPEAR AFTER THIS MESSAGE ARE NOT APPLICABLE TO THIS COMMUNICATION AND SHOULD BE DISREGARDED. SUCH DISCLAIMERS OR OTHER NOTICES WERE AUTOMATICALLY GENERATED AS A RESULT OF THIS COMMUNICATION BEING SENT VIA BLOOMBERG OR ANOTHER EMAIL SYSTEM.</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350520"/>
                <wp:effectExtent l="0" t="0" r="0" b="0"/>
                <wp:wrapNone/>
                <wp:docPr id="2" name="Frame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16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683</Words>
  <Characters>3789</Characters>
  <CharactersWithSpaces>4401</CharactersWithSpaces>
  <Paragraphs>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