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
        <w:spacing w:after="0"/>
        <w:rPr>
          <w:sz w:val="20"/>
          <w:szCs w:val="20"/>
          <w:color w:val="auto"/>
        </w:rPr>
      </w:pPr>
      <w:r>
        <w:rPr>
          <w:rFonts w:ascii="Arial" w:cs="Arial" w:eastAsia="Arial" w:hAnsi="Arial"/>
          <w:sz w:val="13"/>
          <w:szCs w:val="13"/>
          <w:b w:val="1"/>
          <w:bCs w:val="1"/>
          <w:color w:val="auto"/>
        </w:rPr>
        <w:t>UNITED STATES</w:t>
      </w:r>
    </w:p>
    <w:p>
      <w:pPr>
        <w:spacing w:after="0" w:line="3" w:lineRule="exact"/>
        <w:rPr>
          <w:sz w:val="24"/>
          <w:szCs w:val="24"/>
          <w:color w:val="auto"/>
        </w:rPr>
      </w:pPr>
    </w:p>
    <w:p>
      <w:pPr>
        <w:jc w:val="center"/>
        <w:ind w:right="-207"/>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207"/>
        <w:spacing w:after="0"/>
        <w:rPr>
          <w:sz w:val="20"/>
          <w:szCs w:val="20"/>
          <w:color w:val="auto"/>
        </w:rPr>
      </w:pPr>
      <w:r>
        <w:rPr>
          <w:rFonts w:ascii="Arial" w:cs="Arial" w:eastAsia="Arial" w:hAnsi="Arial"/>
          <w:sz w:val="13"/>
          <w:szCs w:val="13"/>
          <w:color w:val="auto"/>
        </w:rPr>
        <w:t>Washington, D.C. 20549</w:t>
      </w:r>
    </w:p>
    <w:p>
      <w:pPr>
        <w:spacing w:after="0" w:line="26" w:lineRule="exact"/>
        <w:rPr>
          <w:sz w:val="24"/>
          <w:szCs w:val="24"/>
          <w:color w:val="auto"/>
        </w:rPr>
      </w:pPr>
    </w:p>
    <w:p>
      <w:pPr>
        <w:jc w:val="center"/>
        <w:ind w:right="-207"/>
        <w:spacing w:after="0"/>
        <w:rPr>
          <w:sz w:val="20"/>
          <w:szCs w:val="20"/>
          <w:color w:val="auto"/>
        </w:rPr>
      </w:pPr>
      <w:r>
        <w:rPr>
          <w:rFonts w:ascii="Arial" w:cs="Arial" w:eastAsia="Arial" w:hAnsi="Arial"/>
          <w:sz w:val="13"/>
          <w:szCs w:val="13"/>
          <w:b w:val="1"/>
          <w:bCs w:val="1"/>
          <w:color w:val="auto"/>
        </w:rPr>
        <w:t>FORM 10-Q</w:t>
      </w:r>
    </w:p>
    <w:p>
      <w:pPr>
        <w:spacing w:after="0" w:line="170" w:lineRule="exact"/>
        <w:rPr>
          <w:sz w:val="24"/>
          <w:szCs w:val="24"/>
          <w:color w:val="auto"/>
        </w:rPr>
      </w:pPr>
    </w:p>
    <w:p>
      <w:pPr>
        <w:ind w:left="8"/>
        <w:spacing w:after="0"/>
        <w:rPr>
          <w:sz w:val="20"/>
          <w:szCs w:val="20"/>
          <w:color w:val="auto"/>
        </w:rPr>
      </w:pPr>
      <w:r>
        <w:rPr>
          <w:rFonts w:ascii="Arial" w:cs="Arial" w:eastAsia="Arial" w:hAnsi="Arial"/>
          <w:sz w:val="11"/>
          <w:szCs w:val="11"/>
          <w:color w:val="auto"/>
        </w:rPr>
        <w:t>(Mark One)</w:t>
      </w:r>
    </w:p>
    <w:p>
      <w:pPr>
        <w:spacing w:after="0" w:line="152" w:lineRule="exact"/>
        <w:rPr>
          <w:sz w:val="24"/>
          <w:szCs w:val="24"/>
          <w:color w:val="auto"/>
        </w:rPr>
      </w:pPr>
    </w:p>
    <w:p>
      <w:pPr>
        <w:ind w:left="8" w:right="4800" w:hanging="8"/>
        <w:spacing w:after="0" w:line="495" w:lineRule="auto"/>
        <w:tabs>
          <w:tab w:leader="none" w:pos="214"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 xml:space="preserve">QUARTERLY REPORT PURSUANT TO SECTION 13 OR 15(d) OF THE SECURITIES EXCHANGE ACT OF 1934 For the quarterly period ended </w:t>
      </w:r>
      <w:r>
        <w:rPr>
          <w:rFonts w:ascii="Arial" w:cs="Arial" w:eastAsia="Arial" w:hAnsi="Arial"/>
          <w:sz w:val="13"/>
          <w:szCs w:val="13"/>
          <w:b w:val="1"/>
          <w:bCs w:val="1"/>
          <w:color w:val="auto"/>
        </w:rPr>
        <w:t>June 30, 2021</w:t>
      </w:r>
    </w:p>
    <w:p>
      <w:pPr>
        <w:jc w:val="center"/>
        <w:ind w:right="-207"/>
        <w:spacing w:after="0"/>
        <w:rPr>
          <w:sz w:val="20"/>
          <w:szCs w:val="20"/>
          <w:color w:val="auto"/>
        </w:rPr>
      </w:pPr>
      <w:r>
        <w:rPr>
          <w:rFonts w:ascii="Arial" w:cs="Arial" w:eastAsia="Arial" w:hAnsi="Arial"/>
          <w:sz w:val="13"/>
          <w:szCs w:val="13"/>
          <w:b w:val="1"/>
          <w:bCs w:val="1"/>
          <w:color w:val="auto"/>
        </w:rPr>
        <w:t>OR</w:t>
      </w:r>
    </w:p>
    <w:p>
      <w:pPr>
        <w:spacing w:after="0" w:line="269" w:lineRule="exact"/>
        <w:rPr>
          <w:sz w:val="24"/>
          <w:szCs w:val="24"/>
          <w:color w:val="auto"/>
        </w:rPr>
      </w:pPr>
    </w:p>
    <w:p>
      <w:pPr>
        <w:ind w:left="8" w:right="4860" w:hanging="8"/>
        <w:spacing w:after="0" w:line="488" w:lineRule="auto"/>
        <w:tabs>
          <w:tab w:leader="none" w:pos="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TRANSITION REPORT PURSUANT TO SECTION 13 OR 15(d) OF THE SECURITIES EXCHANGE ACT OF 1934 For the transition period from ……………..to ……………..</w:t>
      </w:r>
    </w:p>
    <w:p>
      <w:pPr>
        <w:jc w:val="center"/>
        <w:ind w:right="-207"/>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814-00061</w:t>
      </w:r>
    </w:p>
    <w:p>
      <w:pPr>
        <w:spacing w:after="0" w:line="160" w:lineRule="exact"/>
        <w:rPr>
          <w:sz w:val="24"/>
          <w:szCs w:val="24"/>
          <w:color w:val="auto"/>
        </w:rPr>
      </w:pPr>
    </w:p>
    <w:p>
      <w:pPr>
        <w:jc w:val="center"/>
        <w:ind w:right="-207"/>
        <w:spacing w:after="0"/>
        <w:rPr>
          <w:sz w:val="20"/>
          <w:szCs w:val="20"/>
          <w:color w:val="auto"/>
        </w:rPr>
      </w:pPr>
      <w:r>
        <w:rPr>
          <w:rFonts w:ascii="Arial" w:cs="Arial" w:eastAsia="Arial" w:hAnsi="Arial"/>
          <w:sz w:val="16"/>
          <w:szCs w:val="16"/>
          <w:b w:val="1"/>
          <w:bCs w:val="1"/>
          <w:color w:val="auto"/>
        </w:rPr>
        <w:t>CAPITAL SOUTHWEST CORPORATION</w:t>
      </w:r>
    </w:p>
    <w:p>
      <w:pPr>
        <w:spacing w:after="0" w:line="23" w:lineRule="exact"/>
        <w:rPr>
          <w:sz w:val="24"/>
          <w:szCs w:val="24"/>
          <w:color w:val="auto"/>
        </w:rPr>
      </w:pPr>
    </w:p>
    <w:p>
      <w:pPr>
        <w:jc w:val="center"/>
        <w:ind w:right="-207"/>
        <w:spacing w:after="0"/>
        <w:rPr>
          <w:sz w:val="20"/>
          <w:szCs w:val="20"/>
          <w:color w:val="auto"/>
        </w:rPr>
      </w:pPr>
      <w:r>
        <w:rPr>
          <w:rFonts w:ascii="Arial" w:cs="Arial" w:eastAsia="Arial" w:hAnsi="Arial"/>
          <w:sz w:val="10"/>
          <w:szCs w:val="10"/>
          <w:color w:val="auto"/>
        </w:rPr>
        <w:t>(Exact name of registrant as specified in its charter)</w:t>
      </w:r>
    </w:p>
    <w:p>
      <w:pPr>
        <w:sectPr>
          <w:pgSz w:w="11900" w:h="16838" w:orient="portrait"/>
          <w:cols w:equalWidth="0" w:num="1">
            <w:col w:w="11088"/>
          </w:cols>
          <w:pgMar w:left="292" w:top="949" w:right="519" w:bottom="1440" w:gutter="0" w:footer="0" w:header="0"/>
        </w:sectPr>
      </w:pPr>
    </w:p>
    <w:p>
      <w:pPr>
        <w:spacing w:after="0" w:line="8" w:lineRule="exact"/>
        <w:rPr>
          <w:sz w:val="24"/>
          <w:szCs w:val="24"/>
          <w:color w:val="auto"/>
        </w:rPr>
      </w:pPr>
    </w:p>
    <w:p>
      <w:pPr>
        <w:ind w:left="2668"/>
        <w:spacing w:after="0"/>
        <w:rPr>
          <w:sz w:val="20"/>
          <w:szCs w:val="20"/>
          <w:color w:val="auto"/>
        </w:rPr>
      </w:pPr>
      <w:r>
        <w:rPr>
          <w:rFonts w:ascii="Arial" w:cs="Arial" w:eastAsia="Arial" w:hAnsi="Arial"/>
          <w:sz w:val="10"/>
          <w:szCs w:val="10"/>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75-1072796</w:t>
      </w:r>
    </w:p>
    <w:p>
      <w:pPr>
        <w:spacing w:after="0" w:line="53" w:lineRule="exact"/>
        <w:rPr>
          <w:sz w:val="24"/>
          <w:szCs w:val="24"/>
          <w:color w:val="auto"/>
        </w:rPr>
      </w:pPr>
    </w:p>
    <w:p>
      <w:pPr>
        <w:sectPr>
          <w:pgSz w:w="11900" w:h="16838" w:orient="portrait"/>
          <w:cols w:equalWidth="0" w:num="2">
            <w:col w:w="7568" w:space="720"/>
            <w:col w:w="2800"/>
          </w:cols>
          <w:pgMar w:left="292" w:top="949" w:right="519" w:bottom="1440" w:gutter="0" w:footer="0" w:header="0"/>
          <w:type w:val="continuous"/>
        </w:sectPr>
      </w:pPr>
    </w:p>
    <w:p>
      <w:pPr>
        <w:jc w:val="center"/>
        <w:ind w:right="1912"/>
        <w:spacing w:after="0"/>
        <w:rPr>
          <w:sz w:val="20"/>
          <w:szCs w:val="20"/>
          <w:color w:val="auto"/>
        </w:rPr>
      </w:pPr>
      <w:r>
        <w:rPr>
          <w:rFonts w:ascii="Arial" w:cs="Arial" w:eastAsia="Arial" w:hAnsi="Arial"/>
          <w:sz w:val="8"/>
          <w:szCs w:val="8"/>
          <w:color w:val="auto"/>
        </w:rPr>
        <w:t>(State or other jurisdiction of incorporation</w:t>
      </w:r>
    </w:p>
    <w:p>
      <w:pPr>
        <w:spacing w:after="0" w:line="4" w:lineRule="exact"/>
        <w:rPr>
          <w:sz w:val="24"/>
          <w:szCs w:val="24"/>
          <w:color w:val="auto"/>
        </w:rPr>
      </w:pPr>
    </w:p>
    <w:p>
      <w:pPr>
        <w:jc w:val="center"/>
        <w:ind w:right="1892"/>
        <w:spacing w:after="0"/>
        <w:rPr>
          <w:sz w:val="20"/>
          <w:szCs w:val="20"/>
          <w:color w:val="auto"/>
        </w:rPr>
      </w:pPr>
      <w:r>
        <w:rPr>
          <w:rFonts w:ascii="Arial" w:cs="Arial" w:eastAsia="Arial" w:hAnsi="Arial"/>
          <w:sz w:val="10"/>
          <w:szCs w:val="10"/>
          <w:color w:val="auto"/>
        </w:rPr>
        <w:t>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8"/>
          <w:szCs w:val="8"/>
          <w:color w:val="auto"/>
        </w:rPr>
        <w:t>(I.R.S. Employer</w:t>
      </w:r>
    </w:p>
    <w:p>
      <w:pPr>
        <w:spacing w:after="0" w:line="6" w:lineRule="exact"/>
        <w:rPr>
          <w:sz w:val="24"/>
          <w:szCs w:val="24"/>
          <w:color w:val="auto"/>
        </w:rPr>
      </w:pPr>
    </w:p>
    <w:p>
      <w:pPr>
        <w:spacing w:after="0"/>
        <w:rPr>
          <w:sz w:val="20"/>
          <w:szCs w:val="20"/>
          <w:color w:val="auto"/>
        </w:rPr>
      </w:pPr>
      <w:r>
        <w:rPr>
          <w:rFonts w:ascii="Arial" w:cs="Arial" w:eastAsia="Arial" w:hAnsi="Arial"/>
          <w:sz w:val="8"/>
          <w:szCs w:val="8"/>
          <w:color w:val="auto"/>
        </w:rPr>
        <w:t>Identification No.)</w:t>
      </w:r>
    </w:p>
    <w:p>
      <w:pPr>
        <w:spacing w:after="0" w:line="221" w:lineRule="exact"/>
        <w:rPr>
          <w:sz w:val="24"/>
          <w:szCs w:val="24"/>
          <w:color w:val="auto"/>
        </w:rPr>
      </w:pPr>
    </w:p>
    <w:p>
      <w:pPr>
        <w:sectPr>
          <w:pgSz w:w="11900" w:h="16838" w:orient="portrait"/>
          <w:cols w:equalWidth="0" w:num="2">
            <w:col w:w="7528" w:space="720"/>
            <w:col w:w="2840"/>
          </w:cols>
          <w:pgMar w:left="292" w:top="949" w:right="519" w:bottom="1440" w:gutter="0" w:footer="0" w:header="0"/>
          <w:type w:val="continuous"/>
        </w:sectPr>
      </w:pPr>
    </w:p>
    <w:p>
      <w:pPr>
        <w:spacing w:after="0" w:line="42" w:lineRule="exact"/>
        <w:rPr>
          <w:sz w:val="24"/>
          <w:szCs w:val="24"/>
          <w:color w:val="auto"/>
        </w:rPr>
      </w:pPr>
    </w:p>
    <w:p>
      <w:pPr>
        <w:ind w:left="1248"/>
        <w:spacing w:after="0"/>
        <w:rPr>
          <w:sz w:val="20"/>
          <w:szCs w:val="20"/>
          <w:color w:val="auto"/>
        </w:rPr>
      </w:pPr>
      <w:r>
        <w:rPr>
          <w:rFonts w:ascii="Arial" w:cs="Arial" w:eastAsia="Arial" w:hAnsi="Arial"/>
          <w:sz w:val="10"/>
          <w:szCs w:val="10"/>
          <w:b w:val="1"/>
          <w:bCs w:val="1"/>
          <w:color w:val="auto"/>
        </w:rPr>
        <w:t>5400 Lyndon B Johnson Freeway, Suite 1300, Dallas, Texas</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75240</w:t>
      </w:r>
    </w:p>
    <w:p>
      <w:pPr>
        <w:spacing w:after="0" w:line="53" w:lineRule="exact"/>
        <w:rPr>
          <w:sz w:val="24"/>
          <w:szCs w:val="24"/>
          <w:color w:val="auto"/>
        </w:rPr>
      </w:pPr>
    </w:p>
    <w:p>
      <w:pPr>
        <w:sectPr>
          <w:pgSz w:w="11900" w:h="16838" w:orient="portrait"/>
          <w:cols w:equalWidth="0" w:num="2">
            <w:col w:w="7748" w:space="720"/>
            <w:col w:w="2620"/>
          </w:cols>
          <w:pgMar w:left="292" w:top="949" w:right="519" w:bottom="1440" w:gutter="0" w:footer="0" w:header="0"/>
          <w:type w:val="continuous"/>
        </w:sectPr>
      </w:pPr>
    </w:p>
    <w:p>
      <w:pPr>
        <w:ind w:left="2068"/>
        <w:spacing w:after="0"/>
        <w:rPr>
          <w:sz w:val="20"/>
          <w:szCs w:val="20"/>
          <w:color w:val="auto"/>
        </w:rPr>
      </w:pPr>
      <w:r>
        <w:rPr>
          <w:rFonts w:ascii="Arial" w:cs="Arial" w:eastAsia="Arial" w:hAnsi="Arial"/>
          <w:sz w:val="8"/>
          <w:szCs w:val="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(Zip Code)</w:t>
      </w:r>
    </w:p>
    <w:p>
      <w:pPr>
        <w:spacing w:after="0" w:line="200" w:lineRule="exact"/>
        <w:rPr>
          <w:sz w:val="24"/>
          <w:szCs w:val="24"/>
          <w:color w:val="auto"/>
        </w:rPr>
      </w:pPr>
    </w:p>
    <w:p>
      <w:pPr>
        <w:sectPr>
          <w:pgSz w:w="11900" w:h="16838" w:orient="portrait"/>
          <w:cols w:equalWidth="0" w:num="2">
            <w:col w:w="7688" w:space="720"/>
            <w:col w:w="2680"/>
          </w:cols>
          <w:pgMar w:left="292" w:top="949" w:right="519" w:bottom="1440" w:gutter="0" w:footer="0" w:header="0"/>
          <w:type w:val="continuous"/>
        </w:sectPr>
      </w:pPr>
    </w:p>
    <w:p>
      <w:pPr>
        <w:spacing w:after="0" w:line="35" w:lineRule="exact"/>
        <w:rPr>
          <w:sz w:val="24"/>
          <w:szCs w:val="24"/>
          <w:color w:val="auto"/>
        </w:rPr>
      </w:pPr>
    </w:p>
    <w:p>
      <w:pPr>
        <w:jc w:val="center"/>
        <w:ind w:right="-207"/>
        <w:spacing w:after="0"/>
        <w:rPr>
          <w:sz w:val="20"/>
          <w:szCs w:val="20"/>
          <w:color w:val="auto"/>
        </w:rPr>
      </w:pPr>
      <w:r>
        <w:rPr>
          <w:rFonts w:ascii="Arial" w:cs="Arial" w:eastAsia="Arial" w:hAnsi="Arial"/>
          <w:sz w:val="10"/>
          <w:szCs w:val="10"/>
          <w:b w:val="1"/>
          <w:bCs w:val="1"/>
          <w:color w:val="auto"/>
        </w:rPr>
        <w:t xml:space="preserve">Registrant's telephone number, including area code: </w:t>
      </w:r>
      <w:r>
        <w:rPr>
          <w:rFonts w:ascii="Arial" w:cs="Arial" w:eastAsia="Arial" w:hAnsi="Arial"/>
          <w:sz w:val="8"/>
          <w:szCs w:val="8"/>
          <w:b w:val="1"/>
          <w:bCs w:val="1"/>
          <w:color w:val="auto"/>
        </w:rPr>
        <w:t>(</w:t>
      </w:r>
      <w:r>
        <w:rPr>
          <w:rFonts w:ascii="Arial" w:cs="Arial" w:eastAsia="Arial" w:hAnsi="Arial"/>
          <w:sz w:val="10"/>
          <w:szCs w:val="10"/>
          <w:b w:val="1"/>
          <w:bCs w:val="1"/>
          <w:color w:val="auto"/>
        </w:rPr>
        <w:t>214) 238-5700</w:t>
      </w:r>
    </w:p>
    <w:p>
      <w:pPr>
        <w:spacing w:after="0" w:line="69" w:lineRule="exact"/>
        <w:rPr>
          <w:sz w:val="24"/>
          <w:szCs w:val="24"/>
          <w:color w:val="auto"/>
        </w:rPr>
      </w:pPr>
    </w:p>
    <w:p>
      <w:pPr>
        <w:jc w:val="center"/>
        <w:ind w:right="-207"/>
        <w:spacing w:after="0"/>
        <w:rPr>
          <w:sz w:val="20"/>
          <w:szCs w:val="20"/>
          <w:color w:val="auto"/>
        </w:rPr>
      </w:pPr>
      <w:r>
        <w:rPr>
          <w:rFonts w:ascii="Arial" w:cs="Arial" w:eastAsia="Arial" w:hAnsi="Arial"/>
          <w:sz w:val="11"/>
          <w:szCs w:val="11"/>
          <w:color w:val="auto"/>
        </w:rPr>
        <w:t>Securities registered pursuant to Section 12(b) of the Act:</w:t>
      </w:r>
    </w:p>
    <w:p>
      <w:pPr>
        <w:sectPr>
          <w:pgSz w:w="11900" w:h="16838" w:orient="portrait"/>
          <w:cols w:equalWidth="0" w:num="1">
            <w:col w:w="11088"/>
          </w:cols>
          <w:pgMar w:left="292" w:top="949" w:right="519" w:bottom="1440" w:gutter="0" w:footer="0" w:header="0"/>
          <w:type w:val="continuous"/>
        </w:sectPr>
      </w:pPr>
    </w:p>
    <w:p>
      <w:pPr>
        <w:spacing w:after="0" w:line="162" w:lineRule="exact"/>
        <w:rPr>
          <w:sz w:val="24"/>
          <w:szCs w:val="24"/>
          <w:color w:val="auto"/>
        </w:rPr>
      </w:pPr>
    </w:p>
    <w:p>
      <w:pPr>
        <w:jc w:val="center"/>
        <w:ind w:right="32"/>
        <w:spacing w:after="0"/>
        <w:rPr>
          <w:sz w:val="20"/>
          <w:szCs w:val="20"/>
          <w:color w:val="auto"/>
        </w:rPr>
      </w:pPr>
      <w:r>
        <w:rPr>
          <w:rFonts w:ascii="Arial" w:cs="Arial" w:eastAsia="Arial" w:hAnsi="Arial"/>
          <w:sz w:val="11"/>
          <w:szCs w:val="11"/>
          <w:color w:val="auto"/>
        </w:rPr>
        <w:t>Title of Each Class</w:t>
      </w:r>
    </w:p>
    <w:p>
      <w:pPr>
        <w:spacing w:after="0" w:line="14" w:lineRule="exact"/>
        <w:rPr>
          <w:sz w:val="24"/>
          <w:szCs w:val="24"/>
          <w:color w:val="auto"/>
        </w:rPr>
      </w:pPr>
    </w:p>
    <w:p>
      <w:pPr>
        <w:jc w:val="center"/>
        <w:ind w:right="32"/>
        <w:spacing w:after="0"/>
        <w:rPr>
          <w:sz w:val="20"/>
          <w:szCs w:val="20"/>
          <w:color w:val="auto"/>
        </w:rPr>
      </w:pPr>
      <w:r>
        <w:rPr>
          <w:rFonts w:ascii="Arial" w:cs="Arial" w:eastAsia="Arial" w:hAnsi="Arial"/>
          <w:sz w:val="9"/>
          <w:szCs w:val="9"/>
          <w:b w:val="1"/>
          <w:bCs w:val="1"/>
          <w:color w:val="auto"/>
        </w:rPr>
        <w:t>Common Stock, $0.25 par value per share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360"/>
        <w:spacing w:after="0"/>
        <w:rPr>
          <w:sz w:val="20"/>
          <w:szCs w:val="20"/>
          <w:color w:val="auto"/>
        </w:rPr>
      </w:pPr>
      <w:r>
        <w:rPr>
          <w:rFonts w:ascii="Arial" w:cs="Arial" w:eastAsia="Arial" w:hAnsi="Arial"/>
          <w:sz w:val="9"/>
          <w:szCs w:val="9"/>
          <w:color w:val="auto"/>
        </w:rPr>
        <w:t>Trading Symbol(s)</w:t>
      </w:r>
    </w:p>
    <w:p>
      <w:pPr>
        <w:spacing w:after="0" w:line="37" w:lineRule="exact"/>
        <w:rPr>
          <w:sz w:val="24"/>
          <w:szCs w:val="24"/>
          <w:color w:val="auto"/>
        </w:rPr>
      </w:pPr>
    </w:p>
    <w:p>
      <w:pPr>
        <w:jc w:val="center"/>
        <w:ind w:right="1360"/>
        <w:spacing w:after="0"/>
        <w:rPr>
          <w:sz w:val="20"/>
          <w:szCs w:val="20"/>
          <w:color w:val="auto"/>
        </w:rPr>
      </w:pPr>
      <w:r>
        <w:rPr>
          <w:rFonts w:ascii="Arial" w:cs="Arial" w:eastAsia="Arial" w:hAnsi="Arial"/>
          <w:sz w:val="11"/>
          <w:szCs w:val="11"/>
          <w:b w:val="1"/>
          <w:bCs w:val="1"/>
          <w:color w:val="auto"/>
        </w:rPr>
        <w:t>CSWC</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120"/>
        <w:spacing w:after="0"/>
        <w:rPr>
          <w:sz w:val="20"/>
          <w:szCs w:val="20"/>
          <w:color w:val="auto"/>
        </w:rPr>
      </w:pPr>
      <w:r>
        <w:rPr>
          <w:rFonts w:ascii="Arial" w:cs="Arial" w:eastAsia="Arial" w:hAnsi="Arial"/>
          <w:sz w:val="9"/>
          <w:szCs w:val="9"/>
          <w:color w:val="auto"/>
        </w:rPr>
        <w:t>Name of Each Exchange on Which Registered</w:t>
      </w:r>
    </w:p>
    <w:p>
      <w:pPr>
        <w:spacing w:after="0" w:line="37" w:lineRule="exact"/>
        <w:rPr>
          <w:sz w:val="24"/>
          <w:szCs w:val="24"/>
          <w:color w:val="auto"/>
        </w:rPr>
      </w:pPr>
    </w:p>
    <w:p>
      <w:pPr>
        <w:jc w:val="center"/>
        <w:ind w:right="1120"/>
        <w:spacing w:after="0"/>
        <w:rPr>
          <w:sz w:val="20"/>
          <w:szCs w:val="20"/>
          <w:color w:val="auto"/>
        </w:rPr>
      </w:pPr>
      <w:r>
        <w:rPr>
          <w:rFonts w:ascii="Arial" w:cs="Arial" w:eastAsia="Arial" w:hAnsi="Arial"/>
          <w:sz w:val="11"/>
          <w:szCs w:val="11"/>
          <w:b w:val="1"/>
          <w:bCs w:val="1"/>
          <w:color w:val="auto"/>
        </w:rPr>
        <w:t>The Nasdaq Global Select Market</w:t>
      </w:r>
    </w:p>
    <w:p>
      <w:pPr>
        <w:spacing w:after="0" w:line="200" w:lineRule="exact"/>
        <w:rPr>
          <w:sz w:val="24"/>
          <w:szCs w:val="24"/>
          <w:color w:val="auto"/>
        </w:rPr>
      </w:pPr>
    </w:p>
    <w:p>
      <w:pPr>
        <w:sectPr>
          <w:pgSz w:w="11900" w:h="16838" w:orient="portrait"/>
          <w:cols w:equalWidth="0" w:num="3">
            <w:col w:w="4368" w:space="720"/>
            <w:col w:w="2160" w:space="720"/>
            <w:col w:w="3120"/>
          </w:cols>
          <w:pgMar w:left="292" w:top="949" w:right="519" w:bottom="1440" w:gutter="0" w:footer="0" w:header="0"/>
          <w:type w:val="continuous"/>
        </w:sectPr>
      </w:pPr>
    </w:p>
    <w:p>
      <w:pPr>
        <w:spacing w:after="0" w:line="28" w:lineRule="exact"/>
        <w:rPr>
          <w:sz w:val="24"/>
          <w:szCs w:val="24"/>
          <w:color w:val="auto"/>
        </w:rPr>
      </w:pPr>
    </w:p>
    <w:p>
      <w:pPr>
        <w:ind w:left="8" w:right="40"/>
        <w:spacing w:after="0" w:line="248" w:lineRule="auto"/>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b w:val="1"/>
          <w:bCs w:val="1"/>
          <w:color w:val="auto"/>
        </w:rPr>
        <w:t>X</w:t>
      </w:r>
      <w:r>
        <w:rPr>
          <w:rFonts w:ascii="Arial" w:cs="Arial" w:eastAsia="Arial" w:hAnsi="Arial"/>
          <w:sz w:val="13"/>
          <w:szCs w:val="13"/>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3893820</wp:posOffset>
            </wp:positionH>
            <wp:positionV relativeFrom="paragraph">
              <wp:posOffset>-20955</wp:posOffset>
            </wp:positionV>
            <wp:extent cx="977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 cy="57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-20955</wp:posOffset>
            </wp:positionV>
            <wp:extent cx="120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21"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 during the preceding 12</w:t>
      </w:r>
    </w:p>
    <w:p>
      <w:pPr>
        <w:spacing w:after="0" w:line="39" w:lineRule="exact"/>
        <w:rPr>
          <w:sz w:val="24"/>
          <w:szCs w:val="24"/>
          <w:color w:val="auto"/>
        </w:rPr>
      </w:pPr>
    </w:p>
    <w:p>
      <w:pPr>
        <w:ind w:left="8"/>
        <w:spacing w:after="0"/>
        <w:tabs>
          <w:tab w:leader="none" w:pos="4848" w:val="left"/>
        </w:tabs>
        <w:rPr>
          <w:sz w:val="20"/>
          <w:szCs w:val="20"/>
          <w:color w:val="auto"/>
        </w:rPr>
      </w:pPr>
      <w:r>
        <w:rPr>
          <w:rFonts w:ascii="Arial" w:cs="Arial" w:eastAsia="Arial" w:hAnsi="Arial"/>
          <w:sz w:val="12"/>
          <w:szCs w:val="12"/>
          <w:color w:val="auto"/>
        </w:rPr>
        <w:t>months (or for such shorter period that the registrant was required to submit such files). Yes</w:t>
      </w:r>
      <w:r>
        <w:rPr>
          <w:sz w:val="20"/>
          <w:szCs w:val="20"/>
          <w:color w:val="auto"/>
        </w:rPr>
        <w:tab/>
      </w: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-10160</wp:posOffset>
            </wp:positionV>
            <wp:extent cx="1200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-10160</wp:posOffset>
            </wp:positionV>
            <wp:extent cx="1200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38" w:lineRule="exact"/>
        <w:rPr>
          <w:sz w:val="24"/>
          <w:szCs w:val="24"/>
          <w:color w:val="auto"/>
        </w:rPr>
      </w:pPr>
    </w:p>
    <w:p>
      <w:pPr>
        <w:ind w:left="8"/>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ind w:left="48"/>
        <w:spacing w:after="0" w:line="150" w:lineRule="exact"/>
        <w:tabs>
          <w:tab w:leader="none" w:pos="2088" w:val="left"/>
          <w:tab w:leader="none" w:pos="2428" w:val="left"/>
          <w:tab w:leader="none" w:pos="4368" w:val="left"/>
          <w:tab w:leader="none" w:pos="4728" w:val="left"/>
          <w:tab w:leader="none" w:pos="6688" w:val="left"/>
          <w:tab w:leader="none" w:pos="7048" w:val="left"/>
          <w:tab w:leader="none" w:pos="8708" w:val="left"/>
          <w:tab w:leader="none" w:pos="9088" w:val="left"/>
          <w:tab w:leader="none" w:pos="10928"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Arial" w:cs="Arial" w:eastAsia="Arial" w:hAnsi="Arial"/>
          <w:sz w:val="12"/>
          <w:szCs w:val="12"/>
          <w:color w:val="auto"/>
        </w:rPr>
        <w:t>x</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38" w:lineRule="exact"/>
        <w:rPr>
          <w:sz w:val="24"/>
          <w:szCs w:val="24"/>
          <w:color w:val="auto"/>
        </w:rPr>
      </w:pPr>
    </w:p>
    <w:p>
      <w:pPr>
        <w:ind w:left="8" w:right="16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32" w:lineRule="exact"/>
        <w:rPr>
          <w:sz w:val="24"/>
          <w:szCs w:val="24"/>
          <w:color w:val="auto"/>
        </w:rPr>
      </w:pPr>
    </w:p>
    <w:p>
      <w:pPr>
        <w:ind w:left="8"/>
        <w:spacing w:after="0"/>
        <w:tabs>
          <w:tab w:leader="none" w:pos="6168"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w:t>
      </w:r>
      <w:r>
        <w:rPr>
          <w:sz w:val="20"/>
          <w:szCs w:val="20"/>
          <w:color w:val="auto"/>
        </w:rPr>
        <w:tab/>
      </w:r>
      <w:r>
        <w:rPr>
          <w:rFonts w:ascii="Arial" w:cs="Arial" w:eastAsia="Arial" w:hAnsi="Arial"/>
          <w:sz w:val="12"/>
          <w:szCs w:val="12"/>
          <w:color w:val="auto"/>
        </w:rPr>
        <w:t xml:space="preserve">No </w:t>
      </w:r>
      <w:r>
        <w:rPr>
          <w:rFonts w:ascii="Arial" w:cs="Arial" w:eastAsia="Arial" w:hAnsi="Arial"/>
          <w:sz w:val="12"/>
          <w:szCs w:val="12"/>
          <w:b w:val="1"/>
          <w:bCs w:val="1"/>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-1270</wp:posOffset>
            </wp:positionV>
            <wp:extent cx="1200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52" w:lineRule="exact"/>
        <w:rPr>
          <w:sz w:val="24"/>
          <w:szCs w:val="24"/>
          <w:color w:val="auto"/>
        </w:rPr>
      </w:pPr>
    </w:p>
    <w:p>
      <w:pPr>
        <w:ind w:left="8"/>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157" w:lineRule="exact"/>
        <w:rPr>
          <w:sz w:val="24"/>
          <w:szCs w:val="24"/>
          <w:color w:val="auto"/>
        </w:rPr>
      </w:pPr>
    </w:p>
    <w:p>
      <w:pPr>
        <w:jc w:val="center"/>
        <w:ind w:right="-207"/>
        <w:spacing w:after="0"/>
        <w:rPr>
          <w:sz w:val="20"/>
          <w:szCs w:val="20"/>
          <w:color w:val="auto"/>
        </w:rPr>
      </w:pPr>
      <w:r>
        <w:rPr>
          <w:rFonts w:ascii="Arial" w:cs="Arial" w:eastAsia="Arial" w:hAnsi="Arial"/>
          <w:sz w:val="13"/>
          <w:szCs w:val="13"/>
          <w:color w:val="auto"/>
        </w:rPr>
        <w:t>22,199,952 shares of Common Stock, $0.25 value per share, as of July 30, 2021.</w:t>
      </w:r>
    </w:p>
    <w:p>
      <w:pPr>
        <w:sectPr>
          <w:pgSz w:w="11900" w:h="16838" w:orient="portrait"/>
          <w:cols w:equalWidth="0" w:num="1">
            <w:col w:w="11088"/>
          </w:cols>
          <w:pgMar w:left="292" w:top="949" w:right="519" w:bottom="1440" w:gutter="0" w:footer="0" w:header="0"/>
          <w:type w:val="continuous"/>
        </w:sectPr>
      </w:pPr>
    </w:p>
    <w:bookmarkStart w:id="1" w:name="page2"/>
    <w:bookmarkEnd w:id="1"/>
    <w:p>
      <w:pPr>
        <w:spacing w:after="0" w:line="324" w:lineRule="exact"/>
        <w:rPr>
          <w:sz w:val="20"/>
          <w:szCs w:val="20"/>
          <w:color w:val="auto"/>
        </w:rPr>
      </w:pPr>
    </w:p>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PART I</w:t>
        </w:r>
      </w:hyperlink>
    </w:p>
    <w:p>
      <w:pPr>
        <w:spacing w:after="0" w:line="186" w:lineRule="exact"/>
        <w:rPr>
          <w:sz w:val="20"/>
          <w:szCs w:val="20"/>
          <w:color w:val="auto"/>
        </w:rPr>
      </w:pPr>
    </w:p>
    <w:p>
      <w:pPr>
        <w:ind w:left="16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rFonts w:ascii="Arial" w:cs="Arial" w:eastAsia="Arial" w:hAnsi="Arial"/>
          <w:sz w:val="12"/>
          <w:szCs w:val="12"/>
          <w:u w:val="single" w:color="auto"/>
          <w:color w:val="0000FF"/>
        </w:rPr>
      </w:pPr>
      <w:hyperlink w:anchor="page70">
        <w:r>
          <w:rPr>
            <w:rFonts w:ascii="Arial" w:cs="Arial" w:eastAsia="Arial" w:hAnsi="Arial"/>
            <w:sz w:val="12"/>
            <w:szCs w:val="12"/>
            <w:u w:val="single" w:color="auto"/>
            <w:color w:val="0000FF"/>
          </w:rPr>
          <w:t>Item 2.</w:t>
        </w:r>
      </w:hyperlink>
    </w:p>
    <w:p>
      <w:pPr>
        <w:spacing w:after="0" w:line="42" w:lineRule="exact"/>
        <w:rPr>
          <w:sz w:val="20"/>
          <w:szCs w:val="20"/>
          <w:color w:val="auto"/>
        </w:rPr>
      </w:pPr>
    </w:p>
    <w:p>
      <w:pPr>
        <w:ind w:left="160"/>
        <w:spacing w:after="0"/>
        <w:rPr>
          <w:rFonts w:ascii="Arial" w:cs="Arial" w:eastAsia="Arial" w:hAnsi="Arial"/>
          <w:sz w:val="12"/>
          <w:szCs w:val="12"/>
          <w:u w:val="single" w:color="auto"/>
          <w:color w:val="0000FF"/>
        </w:rPr>
      </w:pPr>
      <w:hyperlink w:anchor="page85">
        <w:r>
          <w:rPr>
            <w:rFonts w:ascii="Arial" w:cs="Arial" w:eastAsia="Arial" w:hAnsi="Arial"/>
            <w:sz w:val="12"/>
            <w:szCs w:val="12"/>
            <w:u w:val="single" w:color="auto"/>
            <w:color w:val="0000FF"/>
          </w:rPr>
          <w:t>Item 3.</w:t>
        </w:r>
      </w:hyperlink>
    </w:p>
    <w:p>
      <w:pPr>
        <w:spacing w:after="0" w:line="42" w:lineRule="exact"/>
        <w:rPr>
          <w:sz w:val="20"/>
          <w:szCs w:val="20"/>
          <w:color w:val="auto"/>
        </w:rPr>
      </w:pPr>
    </w:p>
    <w:p>
      <w:pPr>
        <w:ind w:left="160"/>
        <w:spacing w:after="0"/>
        <w:rPr>
          <w:rFonts w:ascii="Arial" w:cs="Arial" w:eastAsia="Arial" w:hAnsi="Arial"/>
          <w:sz w:val="12"/>
          <w:szCs w:val="12"/>
          <w:u w:val="single" w:color="auto"/>
          <w:color w:val="0000FF"/>
        </w:rPr>
      </w:pPr>
      <w:hyperlink w:anchor="page86">
        <w:r>
          <w:rPr>
            <w:rFonts w:ascii="Arial" w:cs="Arial" w:eastAsia="Arial" w:hAnsi="Arial"/>
            <w:sz w:val="12"/>
            <w:szCs w:val="12"/>
            <w:u w:val="single" w:color="auto"/>
            <w:color w:val="0000FF"/>
          </w:rPr>
          <w:t>Item 4.</w:t>
        </w:r>
      </w:hyperlink>
    </w:p>
    <w:p>
      <w:pPr>
        <w:spacing w:after="0" w:line="213" w:lineRule="exact"/>
        <w:rPr>
          <w:sz w:val="20"/>
          <w:szCs w:val="20"/>
          <w:color w:val="auto"/>
        </w:rPr>
      </w:pPr>
    </w:p>
    <w:p>
      <w:pPr>
        <w:spacing w:after="0"/>
        <w:rPr>
          <w:rFonts w:ascii="Arial" w:cs="Arial" w:eastAsia="Arial" w:hAnsi="Arial"/>
          <w:sz w:val="12"/>
          <w:szCs w:val="12"/>
          <w:u w:val="single" w:color="auto"/>
          <w:color w:val="0000FF"/>
        </w:rPr>
      </w:pPr>
      <w:hyperlink w:anchor="page87">
        <w:r>
          <w:rPr>
            <w:rFonts w:ascii="Arial" w:cs="Arial" w:eastAsia="Arial" w:hAnsi="Arial"/>
            <w:sz w:val="12"/>
            <w:szCs w:val="12"/>
            <w:u w:val="single" w:color="auto"/>
            <w:color w:val="0000FF"/>
          </w:rPr>
          <w:t>PART II</w:t>
        </w:r>
      </w:hyperlink>
    </w:p>
    <w:p>
      <w:pPr>
        <w:spacing w:after="0" w:line="186" w:lineRule="exact"/>
        <w:rPr>
          <w:sz w:val="20"/>
          <w:szCs w:val="20"/>
          <w:color w:val="auto"/>
        </w:rPr>
      </w:pPr>
    </w:p>
    <w:p>
      <w:pPr>
        <w:ind w:left="160"/>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Item 1.</w:t>
        </w:r>
      </w:hyperlink>
    </w:p>
    <w:p>
      <w:pPr>
        <w:spacing w:after="0" w:line="42" w:lineRule="exact"/>
        <w:rPr>
          <w:sz w:val="20"/>
          <w:szCs w:val="20"/>
          <w:color w:val="auto"/>
        </w:rPr>
      </w:pPr>
    </w:p>
    <w:p>
      <w:pPr>
        <w:ind w:left="160"/>
        <w:spacing w:after="0"/>
        <w:rPr>
          <w:rFonts w:ascii="Arial" w:cs="Arial" w:eastAsia="Arial" w:hAnsi="Arial"/>
          <w:sz w:val="11"/>
          <w:szCs w:val="11"/>
          <w:u w:val="single" w:color="auto"/>
          <w:color w:val="0000FF"/>
        </w:rPr>
      </w:pPr>
      <w:hyperlink w:anchor="page88">
        <w:r>
          <w:rPr>
            <w:rFonts w:ascii="Arial" w:cs="Arial" w:eastAsia="Arial" w:hAnsi="Arial"/>
            <w:sz w:val="11"/>
            <w:szCs w:val="11"/>
            <w:u w:val="single" w:color="auto"/>
            <w:color w:val="0000FF"/>
          </w:rPr>
          <w:t>Item1A.</w:t>
        </w:r>
      </w:hyperlink>
    </w:p>
    <w:p>
      <w:pPr>
        <w:spacing w:after="0" w:line="54" w:lineRule="exact"/>
        <w:rPr>
          <w:sz w:val="20"/>
          <w:szCs w:val="20"/>
          <w:color w:val="auto"/>
        </w:rPr>
      </w:pPr>
    </w:p>
    <w:p>
      <w:pPr>
        <w:ind w:left="160"/>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Item 2.</w:t>
        </w:r>
      </w:hyperlink>
    </w:p>
    <w:p>
      <w:pPr>
        <w:spacing w:after="0" w:line="42" w:lineRule="exact"/>
        <w:rPr>
          <w:sz w:val="20"/>
          <w:szCs w:val="20"/>
          <w:color w:val="auto"/>
        </w:rPr>
      </w:pPr>
    </w:p>
    <w:p>
      <w:pPr>
        <w:ind w:left="160"/>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Item 3.</w:t>
        </w:r>
      </w:hyperlink>
    </w:p>
    <w:p>
      <w:pPr>
        <w:spacing w:after="0" w:line="42" w:lineRule="exact"/>
        <w:rPr>
          <w:sz w:val="20"/>
          <w:szCs w:val="20"/>
          <w:color w:val="auto"/>
        </w:rPr>
      </w:pPr>
    </w:p>
    <w:p>
      <w:pPr>
        <w:ind w:left="160"/>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Item 4.</w:t>
        </w:r>
      </w:hyperlink>
    </w:p>
    <w:p>
      <w:pPr>
        <w:spacing w:after="0" w:line="42" w:lineRule="exact"/>
        <w:rPr>
          <w:sz w:val="20"/>
          <w:szCs w:val="20"/>
          <w:color w:val="auto"/>
        </w:rPr>
      </w:pPr>
    </w:p>
    <w:p>
      <w:pPr>
        <w:ind w:left="160"/>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Item 5.</w:t>
        </w:r>
      </w:hyperlink>
    </w:p>
    <w:p>
      <w:pPr>
        <w:spacing w:after="0" w:line="42" w:lineRule="exact"/>
        <w:rPr>
          <w:sz w:val="20"/>
          <w:szCs w:val="20"/>
          <w:color w:val="auto"/>
        </w:rPr>
      </w:pPr>
    </w:p>
    <w:p>
      <w:pPr>
        <w:ind w:left="160"/>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Item 6.</w:t>
        </w:r>
      </w:hyperlink>
    </w:p>
    <w:p>
      <w:pPr>
        <w:spacing w:after="0" w:line="213" w:lineRule="exact"/>
        <w:rPr>
          <w:sz w:val="20"/>
          <w:szCs w:val="20"/>
          <w:color w:val="auto"/>
        </w:rPr>
      </w:pPr>
    </w:p>
    <w:p>
      <w:pPr>
        <w:spacing w:after="0"/>
        <w:rPr>
          <w:rFonts w:ascii="Arial" w:cs="Arial" w:eastAsia="Arial" w:hAnsi="Arial"/>
          <w:sz w:val="11"/>
          <w:szCs w:val="11"/>
          <w:u w:val="single" w:color="auto"/>
          <w:color w:val="0000FF"/>
        </w:rPr>
      </w:pPr>
      <w:hyperlink w:anchor="page89">
        <w:r>
          <w:rPr>
            <w:rFonts w:ascii="Arial" w:cs="Arial" w:eastAsia="Arial" w:hAnsi="Arial"/>
            <w:sz w:val="11"/>
            <w:szCs w:val="11"/>
            <w:u w:val="single" w:color="auto"/>
            <w:color w:val="0000FF"/>
          </w:rPr>
          <w:t>Signatures</w:t>
        </w:r>
      </w:hyperlink>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Arial" w:cs="Arial" w:eastAsia="Arial" w:hAnsi="Arial"/>
          <w:sz w:val="12"/>
          <w:szCs w:val="12"/>
          <w:color w:val="auto"/>
        </w:rPr>
        <w:t>TABLE OF CONTENTS</w:t>
      </w:r>
    </w:p>
    <w:p>
      <w:pPr>
        <w:spacing w:after="0" w:line="186" w:lineRule="exact"/>
        <w:rPr>
          <w:sz w:val="20"/>
          <w:szCs w:val="20"/>
          <w:color w:val="auto"/>
        </w:rPr>
      </w:pPr>
    </w:p>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FINANCIAL INFORMATION</w:t>
        </w:r>
      </w:hyperlink>
    </w:p>
    <w:p>
      <w:pPr>
        <w:spacing w:after="0" w:line="213" w:lineRule="exact"/>
        <w:rPr>
          <w:sz w:val="20"/>
          <w:szCs w:val="20"/>
          <w:color w:val="auto"/>
        </w:rPr>
      </w:pPr>
    </w:p>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Consolidated Financial Statements</w:t>
        </w:r>
      </w:hyperlink>
    </w:p>
    <w:p>
      <w:pPr>
        <w:spacing w:after="0" w:line="42" w:lineRule="exact"/>
        <w:rPr>
          <w:sz w:val="20"/>
          <w:szCs w:val="20"/>
          <w:color w:val="auto"/>
        </w:rPr>
      </w:pPr>
    </w:p>
    <w:p>
      <w:pPr>
        <w:ind w:left="80" w:right="3140"/>
        <w:spacing w:after="0" w:line="341" w:lineRule="auto"/>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Consolidated Statements of Assets and Liabilities as of June 30, 2021 (Unaudited) and March 31, 2021</w:t>
        </w:r>
      </w:hyperlink>
      <w:r>
        <w:rPr>
          <w:rFonts w:ascii="Arial" w:cs="Arial" w:eastAsia="Arial" w:hAnsi="Arial"/>
          <w:sz w:val="11"/>
          <w:szCs w:val="11"/>
          <w:u w:val="single" w:color="auto"/>
          <w:color w:val="0000FF"/>
        </w:rPr>
        <w:t xml:space="preserve"> </w:t>
      </w:r>
      <w:hyperlink w:anchor="page3">
        <w:r>
          <w:rPr>
            <w:rFonts w:ascii="Arial" w:cs="Arial" w:eastAsia="Arial" w:hAnsi="Arial"/>
            <w:sz w:val="11"/>
            <w:szCs w:val="11"/>
            <w:u w:val="single" w:color="auto"/>
            <w:color w:val="0000FF"/>
          </w:rPr>
          <w:t>Consolidated Statements of Operations (Unaudited) for the three months ended June 30, 2021 and 2020</w:t>
        </w:r>
      </w:hyperlink>
      <w:r>
        <w:rPr>
          <w:rFonts w:ascii="Arial" w:cs="Arial" w:eastAsia="Arial" w:hAnsi="Arial"/>
          <w:sz w:val="11"/>
          <w:szCs w:val="11"/>
          <w:u w:val="single" w:color="auto"/>
          <w:color w:val="0000FF"/>
        </w:rPr>
        <w:t xml:space="preserve"> </w:t>
      </w:r>
      <w:hyperlink w:anchor="page4">
        <w:r>
          <w:rPr>
            <w:rFonts w:ascii="Arial" w:cs="Arial" w:eastAsia="Arial" w:hAnsi="Arial"/>
            <w:sz w:val="11"/>
            <w:szCs w:val="11"/>
            <w:u w:val="single" w:color="auto"/>
            <w:color w:val="0000FF"/>
          </w:rPr>
          <w:t>Consolidated Statements of Changes in Net Assets (Unaudited) for the three months ended June 30, 2021 and 2020</w:t>
        </w:r>
      </w:hyperlink>
      <w:r>
        <w:rPr>
          <w:rFonts w:ascii="Arial" w:cs="Arial" w:eastAsia="Arial" w:hAnsi="Arial"/>
          <w:sz w:val="11"/>
          <w:szCs w:val="11"/>
          <w:u w:val="single" w:color="auto"/>
          <w:color w:val="0000FF"/>
        </w:rPr>
        <w:t xml:space="preserve"> </w:t>
      </w:r>
      <w:hyperlink w:anchor="page5">
        <w:r>
          <w:rPr>
            <w:rFonts w:ascii="Arial" w:cs="Arial" w:eastAsia="Arial" w:hAnsi="Arial"/>
            <w:sz w:val="11"/>
            <w:szCs w:val="11"/>
            <w:u w:val="single" w:color="auto"/>
            <w:color w:val="0000FF"/>
          </w:rPr>
          <w:t>Consolidated Statements of Cash Flows (Unaudited) for the three months ended June 30, 2021 and 2020</w:t>
        </w:r>
      </w:hyperlink>
      <w:r>
        <w:rPr>
          <w:rFonts w:ascii="Arial" w:cs="Arial" w:eastAsia="Arial" w:hAnsi="Arial"/>
          <w:sz w:val="11"/>
          <w:szCs w:val="11"/>
          <w:u w:val="single" w:color="auto"/>
          <w:color w:val="0000FF"/>
        </w:rPr>
        <w:t xml:space="preserve"> </w:t>
      </w:r>
      <w:hyperlink w:anchor="page6">
        <w:r>
          <w:rPr>
            <w:rFonts w:ascii="Arial" w:cs="Arial" w:eastAsia="Arial" w:hAnsi="Arial"/>
            <w:sz w:val="11"/>
            <w:szCs w:val="11"/>
            <w:u w:val="single" w:color="auto"/>
            <w:color w:val="0000FF"/>
          </w:rPr>
          <w:t>Consolidated Schedule of Investments as of June 30, 2021 (Unaudited) and March 31, 2021</w:t>
        </w:r>
      </w:hyperlink>
    </w:p>
    <w:p>
      <w:pPr>
        <w:spacing w:after="0" w:line="1" w:lineRule="exact"/>
        <w:rPr>
          <w:rFonts w:ascii="Arial" w:cs="Arial" w:eastAsia="Arial" w:hAnsi="Arial"/>
          <w:sz w:val="11"/>
          <w:szCs w:val="11"/>
          <w:u w:val="single" w:color="auto"/>
          <w:color w:val="0000FF"/>
        </w:rPr>
      </w:pPr>
    </w:p>
    <w:p>
      <w:pPr>
        <w:spacing w:after="0"/>
        <w:rPr>
          <w:rFonts w:ascii="Arial" w:cs="Arial" w:eastAsia="Arial" w:hAnsi="Arial"/>
          <w:sz w:val="12"/>
          <w:szCs w:val="12"/>
          <w:u w:val="single" w:color="auto"/>
          <w:color w:val="0000FF"/>
        </w:rPr>
      </w:pPr>
      <w:hyperlink w:anchor="page27">
        <w:r>
          <w:rPr>
            <w:rFonts w:ascii="Arial" w:cs="Arial" w:eastAsia="Arial" w:hAnsi="Arial"/>
            <w:sz w:val="12"/>
            <w:szCs w:val="12"/>
            <w:u w:val="single" w:color="auto"/>
            <w:color w:val="0000FF"/>
          </w:rPr>
          <w:t>Notes to Consolidated Financial Statements (Unaudited)</w:t>
        </w:r>
      </w:hyperlink>
    </w:p>
    <w:p>
      <w:pPr>
        <w:spacing w:after="0" w:line="42" w:lineRule="exact"/>
        <w:rPr>
          <w:rFonts w:ascii="Arial" w:cs="Arial" w:eastAsia="Arial" w:hAnsi="Arial"/>
          <w:sz w:val="11"/>
          <w:szCs w:val="11"/>
          <w:u w:val="single" w:color="auto"/>
          <w:color w:val="0000FF"/>
        </w:rPr>
      </w:pPr>
    </w:p>
    <w:p>
      <w:pPr>
        <w:ind w:right="2840"/>
        <w:spacing w:after="0" w:line="313" w:lineRule="auto"/>
        <w:rPr>
          <w:rFonts w:ascii="Arial" w:cs="Arial" w:eastAsia="Arial" w:hAnsi="Arial"/>
          <w:sz w:val="12"/>
          <w:szCs w:val="12"/>
          <w:u w:val="single" w:color="auto"/>
          <w:color w:val="0000FF"/>
        </w:rPr>
      </w:pPr>
      <w:hyperlink w:anchor="page68">
        <w:r>
          <w:rPr>
            <w:rFonts w:ascii="Arial" w:cs="Arial" w:eastAsia="Arial" w:hAnsi="Arial"/>
            <w:sz w:val="12"/>
            <w:szCs w:val="12"/>
            <w:u w:val="single" w:color="auto"/>
            <w:color w:val="0000FF"/>
          </w:rPr>
          <w:t>Consolidated Schedule of Investments in and Advances to Affiliates (Unaudited) for the three months ended June 30, 2021</w:t>
        </w:r>
      </w:hyperlink>
      <w:r>
        <w:rPr>
          <w:rFonts w:ascii="Arial" w:cs="Arial" w:eastAsia="Arial" w:hAnsi="Arial"/>
          <w:sz w:val="12"/>
          <w:szCs w:val="12"/>
          <w:u w:val="single" w:color="auto"/>
          <w:color w:val="0000FF"/>
        </w:rPr>
        <w:t xml:space="preserve"> </w:t>
      </w:r>
      <w:hyperlink w:anchor="page70">
        <w:r>
          <w:rPr>
            <w:rFonts w:ascii="Arial" w:cs="Arial" w:eastAsia="Arial" w:hAnsi="Arial"/>
            <w:sz w:val="12"/>
            <w:szCs w:val="12"/>
            <w:u w:val="single" w:color="auto"/>
            <w:color w:val="0000FF"/>
          </w:rPr>
          <w:t>Management's Discussion and Analysis of Financial Condition and Results of Operations</w:t>
        </w:r>
      </w:hyperlink>
      <w:r>
        <w:rPr>
          <w:rFonts w:ascii="Arial" w:cs="Arial" w:eastAsia="Arial" w:hAnsi="Arial"/>
          <w:sz w:val="12"/>
          <w:szCs w:val="12"/>
          <w:u w:val="single" w:color="auto"/>
          <w:color w:val="0000FF"/>
        </w:rPr>
        <w:t xml:space="preserve"> </w:t>
      </w:r>
      <w:hyperlink w:anchor="page85">
        <w:r>
          <w:rPr>
            <w:rFonts w:ascii="Arial" w:cs="Arial" w:eastAsia="Arial" w:hAnsi="Arial"/>
            <w:sz w:val="12"/>
            <w:szCs w:val="12"/>
            <w:u w:val="single" w:color="auto"/>
            <w:color w:val="0000FF"/>
          </w:rPr>
          <w:t>Quantitative and Qualitative Disclosures About Market Risk</w:t>
        </w:r>
      </w:hyperlink>
    </w:p>
    <w:p>
      <w:pPr>
        <w:spacing w:after="0"/>
        <w:rPr>
          <w:rFonts w:ascii="Arial" w:cs="Arial" w:eastAsia="Arial" w:hAnsi="Arial"/>
          <w:sz w:val="12"/>
          <w:szCs w:val="12"/>
          <w:u w:val="single" w:color="auto"/>
          <w:color w:val="0000FF"/>
        </w:rPr>
      </w:pPr>
      <w:hyperlink w:anchor="page86">
        <w:r>
          <w:rPr>
            <w:rFonts w:ascii="Arial" w:cs="Arial" w:eastAsia="Arial" w:hAnsi="Arial"/>
            <w:sz w:val="12"/>
            <w:szCs w:val="12"/>
            <w:u w:val="single" w:color="auto"/>
            <w:color w:val="0000FF"/>
          </w:rPr>
          <w:t>Controls and Procedures</w:t>
        </w:r>
      </w:hyperlink>
    </w:p>
    <w:p>
      <w:pPr>
        <w:spacing w:after="0" w:line="186" w:lineRule="exact"/>
        <w:rPr>
          <w:rFonts w:ascii="Arial" w:cs="Arial" w:eastAsia="Arial" w:hAnsi="Arial"/>
          <w:sz w:val="12"/>
          <w:szCs w:val="12"/>
          <w:u w:val="single" w:color="auto"/>
          <w:color w:val="0000FF"/>
        </w:rPr>
      </w:pPr>
    </w:p>
    <w:p>
      <w:pPr>
        <w:spacing w:after="0"/>
        <w:rPr>
          <w:rFonts w:ascii="Arial" w:cs="Arial" w:eastAsia="Arial" w:hAnsi="Arial"/>
          <w:sz w:val="12"/>
          <w:szCs w:val="12"/>
          <w:u w:val="single" w:color="auto"/>
          <w:color w:val="0000FF"/>
        </w:rPr>
      </w:pPr>
      <w:hyperlink w:anchor="page87">
        <w:r>
          <w:rPr>
            <w:rFonts w:ascii="Arial" w:cs="Arial" w:eastAsia="Arial" w:hAnsi="Arial"/>
            <w:sz w:val="12"/>
            <w:szCs w:val="12"/>
            <w:u w:val="single" w:color="auto"/>
            <w:color w:val="0000FF"/>
          </w:rPr>
          <w:t>OTHER INFORMATION</w:t>
        </w:r>
      </w:hyperlink>
    </w:p>
    <w:p>
      <w:pPr>
        <w:spacing w:after="0" w:line="213" w:lineRule="exact"/>
        <w:rPr>
          <w:rFonts w:ascii="Arial" w:cs="Arial" w:eastAsia="Arial" w:hAnsi="Arial"/>
          <w:sz w:val="12"/>
          <w:szCs w:val="12"/>
          <w:u w:val="single" w:color="auto"/>
          <w:color w:val="0000FF"/>
        </w:rPr>
      </w:pPr>
    </w:p>
    <w:p>
      <w:pPr>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Legal Proceedings</w:t>
        </w:r>
      </w:hyperlink>
    </w:p>
    <w:p>
      <w:pPr>
        <w:spacing w:after="0" w:line="42" w:lineRule="exact"/>
        <w:rPr>
          <w:rFonts w:ascii="Arial" w:cs="Arial" w:eastAsia="Arial" w:hAnsi="Arial"/>
          <w:sz w:val="12"/>
          <w:szCs w:val="12"/>
          <w:u w:val="single" w:color="auto"/>
          <w:color w:val="0000FF"/>
        </w:rPr>
      </w:pPr>
    </w:p>
    <w:p>
      <w:pPr>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Risk Factors</w:t>
        </w:r>
      </w:hyperlink>
    </w:p>
    <w:p>
      <w:pPr>
        <w:spacing w:after="0" w:line="42" w:lineRule="exact"/>
        <w:rPr>
          <w:rFonts w:ascii="Arial" w:cs="Arial" w:eastAsia="Arial" w:hAnsi="Arial"/>
          <w:sz w:val="12"/>
          <w:szCs w:val="12"/>
          <w:u w:val="single" w:color="auto"/>
          <w:color w:val="0000FF"/>
        </w:rPr>
      </w:pPr>
    </w:p>
    <w:p>
      <w:pPr>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Unregistered Sales of Equity Securities and Use of Proceeds</w:t>
        </w:r>
      </w:hyperlink>
    </w:p>
    <w:p>
      <w:pPr>
        <w:spacing w:after="0" w:line="42" w:lineRule="exact"/>
        <w:rPr>
          <w:rFonts w:ascii="Arial" w:cs="Arial" w:eastAsia="Arial" w:hAnsi="Arial"/>
          <w:sz w:val="12"/>
          <w:szCs w:val="12"/>
          <w:u w:val="single" w:color="auto"/>
          <w:color w:val="0000FF"/>
        </w:rPr>
      </w:pPr>
    </w:p>
    <w:p>
      <w:pPr>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Defaults Upon Senior Securities</w:t>
        </w:r>
      </w:hyperlink>
    </w:p>
    <w:p>
      <w:pPr>
        <w:spacing w:after="0" w:line="42" w:lineRule="exact"/>
        <w:rPr>
          <w:rFonts w:ascii="Arial" w:cs="Arial" w:eastAsia="Arial" w:hAnsi="Arial"/>
          <w:sz w:val="12"/>
          <w:szCs w:val="12"/>
          <w:u w:val="single" w:color="auto"/>
          <w:color w:val="0000FF"/>
        </w:rPr>
      </w:pPr>
    </w:p>
    <w:p>
      <w:pPr>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Mine Safety Disclosures</w:t>
        </w:r>
      </w:hyperlink>
    </w:p>
    <w:p>
      <w:pPr>
        <w:spacing w:after="0" w:line="42" w:lineRule="exact"/>
        <w:rPr>
          <w:rFonts w:ascii="Arial" w:cs="Arial" w:eastAsia="Arial" w:hAnsi="Arial"/>
          <w:sz w:val="12"/>
          <w:szCs w:val="12"/>
          <w:u w:val="single" w:color="auto"/>
          <w:color w:val="0000FF"/>
        </w:rPr>
      </w:pPr>
    </w:p>
    <w:p>
      <w:pPr>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Other Information</w:t>
        </w:r>
      </w:hyperlink>
    </w:p>
    <w:p>
      <w:pPr>
        <w:spacing w:after="0" w:line="42" w:lineRule="exact"/>
        <w:rPr>
          <w:rFonts w:ascii="Arial" w:cs="Arial" w:eastAsia="Arial" w:hAnsi="Arial"/>
          <w:sz w:val="12"/>
          <w:szCs w:val="12"/>
          <w:u w:val="single" w:color="auto"/>
          <w:color w:val="0000FF"/>
        </w:rPr>
      </w:pPr>
    </w:p>
    <w:p>
      <w:pPr>
        <w:spacing w:after="0"/>
        <w:rPr>
          <w:rFonts w:ascii="Arial" w:cs="Arial" w:eastAsia="Arial" w:hAnsi="Arial"/>
          <w:sz w:val="12"/>
          <w:szCs w:val="12"/>
          <w:u w:val="single" w:color="auto"/>
          <w:color w:val="0000FF"/>
        </w:rPr>
      </w:pPr>
      <w:hyperlink w:anchor="page88">
        <w:r>
          <w:rPr>
            <w:rFonts w:ascii="Arial" w:cs="Arial" w:eastAsia="Arial" w:hAnsi="Arial"/>
            <w:sz w:val="12"/>
            <w:szCs w:val="12"/>
            <w:u w:val="single" w:color="auto"/>
            <w:color w:val="0000FF"/>
          </w:rPr>
          <w:t>Exhibits</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br w:type="column"/>
      </w:r>
    </w:p>
    <w:p>
      <w:pPr>
        <w:spacing w:after="0" w:line="151" w:lineRule="exact"/>
        <w:rPr>
          <w:rFonts w:ascii="Arial" w:cs="Arial" w:eastAsia="Arial" w:hAnsi="Arial"/>
          <w:sz w:val="12"/>
          <w:szCs w:val="12"/>
          <w:u w:val="single" w:color="auto"/>
          <w:color w:val="0000FF"/>
        </w:rPr>
      </w:pPr>
    </w:p>
    <w:p>
      <w:pPr>
        <w:spacing w:after="0"/>
        <w:rPr>
          <w:sz w:val="20"/>
          <w:szCs w:val="20"/>
          <w:color w:val="auto"/>
        </w:rPr>
      </w:pPr>
      <w:r>
        <w:rPr>
          <w:rFonts w:ascii="Arial" w:cs="Arial" w:eastAsia="Arial" w:hAnsi="Arial"/>
          <w:sz w:val="12"/>
          <w:szCs w:val="12"/>
          <w:color w:val="auto"/>
        </w:rPr>
        <w:t>Page</w:t>
      </w:r>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-142875</wp:posOffset>
            </wp:positionH>
            <wp:positionV relativeFrom="paragraph">
              <wp:posOffset>9525</wp:posOffset>
            </wp:positionV>
            <wp:extent cx="4400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0055" cy="5715"/>
                    </a:xfrm>
                    <a:prstGeom prst="rect">
                      <a:avLst/>
                    </a:prstGeom>
                    <a:noFill/>
                  </pic:spPr>
                </pic:pic>
              </a:graphicData>
            </a:graphic>
          </wp:anchor>
        </w:drawing>
      </w:r>
    </w:p>
    <w:p>
      <w:pPr>
        <w:spacing w:after="0" w:line="328"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3">
        <w:r>
          <w:rPr>
            <w:rFonts w:ascii="Arial" w:cs="Arial" w:eastAsia="Arial" w:hAnsi="Arial"/>
            <w:sz w:val="12"/>
            <w:szCs w:val="12"/>
            <w:color w:val="0000FF"/>
          </w:rPr>
          <w:t>3</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3">
        <w:r>
          <w:rPr>
            <w:rFonts w:ascii="Arial" w:cs="Arial" w:eastAsia="Arial" w:hAnsi="Arial"/>
            <w:sz w:val="12"/>
            <w:szCs w:val="12"/>
            <w:color w:val="0000FF"/>
          </w:rPr>
          <w:t>3</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3">
        <w:r>
          <w:rPr>
            <w:rFonts w:ascii="Arial" w:cs="Arial" w:eastAsia="Arial" w:hAnsi="Arial"/>
            <w:sz w:val="12"/>
            <w:szCs w:val="12"/>
            <w:color w:val="0000FF"/>
          </w:rPr>
          <w:t>4</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4">
        <w:r>
          <w:rPr>
            <w:rFonts w:ascii="Arial" w:cs="Arial" w:eastAsia="Arial" w:hAnsi="Arial"/>
            <w:sz w:val="12"/>
            <w:szCs w:val="12"/>
            <w:color w:val="0000FF"/>
          </w:rPr>
          <w:t>5</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5">
        <w:r>
          <w:rPr>
            <w:rFonts w:ascii="Arial" w:cs="Arial" w:eastAsia="Arial" w:hAnsi="Arial"/>
            <w:sz w:val="12"/>
            <w:szCs w:val="12"/>
            <w:color w:val="0000FF"/>
          </w:rPr>
          <w:t>6</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6">
        <w:r>
          <w:rPr>
            <w:rFonts w:ascii="Arial" w:cs="Arial" w:eastAsia="Arial" w:hAnsi="Arial"/>
            <w:sz w:val="12"/>
            <w:szCs w:val="12"/>
            <w:color w:val="0000FF"/>
          </w:rPr>
          <w:t>7</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27">
        <w:r>
          <w:rPr>
            <w:rFonts w:ascii="Arial" w:cs="Arial" w:eastAsia="Arial" w:hAnsi="Arial"/>
            <w:sz w:val="12"/>
            <w:szCs w:val="12"/>
            <w:color w:val="0000FF"/>
          </w:rPr>
          <w:t>28</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68">
        <w:r>
          <w:rPr>
            <w:rFonts w:ascii="Arial" w:cs="Arial" w:eastAsia="Arial" w:hAnsi="Arial"/>
            <w:sz w:val="12"/>
            <w:szCs w:val="12"/>
            <w:color w:val="0000FF"/>
          </w:rPr>
          <w:t>69</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70">
        <w:r>
          <w:rPr>
            <w:rFonts w:ascii="Arial" w:cs="Arial" w:eastAsia="Arial" w:hAnsi="Arial"/>
            <w:sz w:val="12"/>
            <w:szCs w:val="12"/>
            <w:color w:val="0000FF"/>
          </w:rPr>
          <w:t>71</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85">
        <w:r>
          <w:rPr>
            <w:rFonts w:ascii="Arial" w:cs="Arial" w:eastAsia="Arial" w:hAnsi="Arial"/>
            <w:sz w:val="12"/>
            <w:szCs w:val="12"/>
            <w:color w:val="0000FF"/>
          </w:rPr>
          <w:t>86</w:t>
        </w:r>
      </w:hyperlink>
    </w:p>
    <w:p>
      <w:pPr>
        <w:spacing w:after="0" w:line="42" w:lineRule="exact"/>
        <w:rPr>
          <w:rFonts w:ascii="Arial" w:cs="Arial" w:eastAsia="Arial" w:hAnsi="Arial"/>
          <w:sz w:val="12"/>
          <w:szCs w:val="12"/>
          <w:u w:val="single" w:color="auto"/>
          <w:color w:val="0000FF"/>
        </w:rPr>
      </w:pPr>
    </w:p>
    <w:p>
      <w:pPr>
        <w:jc w:val="right"/>
        <w:spacing w:after="0"/>
        <w:rPr>
          <w:rFonts w:ascii="Arial" w:cs="Arial" w:eastAsia="Arial" w:hAnsi="Arial"/>
          <w:sz w:val="12"/>
          <w:szCs w:val="12"/>
          <w:color w:val="0000FF"/>
        </w:rPr>
      </w:pPr>
      <w:hyperlink w:anchor="page86">
        <w:r>
          <w:rPr>
            <w:rFonts w:ascii="Arial" w:cs="Arial" w:eastAsia="Arial" w:hAnsi="Arial"/>
            <w:sz w:val="12"/>
            <w:szCs w:val="12"/>
            <w:color w:val="0000FF"/>
          </w:rPr>
          <w:t>87</w:t>
        </w:r>
      </w:hyperlink>
    </w:p>
    <w:p>
      <w:pPr>
        <w:spacing w:after="0" w:line="200" w:lineRule="exact"/>
        <w:rPr>
          <w:rFonts w:ascii="Arial" w:cs="Arial" w:eastAsia="Arial" w:hAnsi="Arial"/>
          <w:sz w:val="12"/>
          <w:szCs w:val="12"/>
          <w:u w:val="single" w:color="auto"/>
          <w:color w:val="0000FF"/>
        </w:rPr>
      </w:pPr>
    </w:p>
    <w:p>
      <w:pPr>
        <w:spacing w:after="0" w:line="337" w:lineRule="exact"/>
        <w:rPr>
          <w:rFonts w:ascii="Arial" w:cs="Arial" w:eastAsia="Arial" w:hAnsi="Arial"/>
          <w:sz w:val="12"/>
          <w:szCs w:val="12"/>
          <w:u w:val="single" w:color="auto"/>
          <w:color w:val="0000FF"/>
        </w:rPr>
      </w:pPr>
    </w:p>
    <w:p>
      <w:pPr>
        <w:ind w:left="340"/>
        <w:spacing w:after="0"/>
        <w:rPr>
          <w:rFonts w:ascii="Arial" w:cs="Arial" w:eastAsia="Arial" w:hAnsi="Arial"/>
          <w:sz w:val="10"/>
          <w:szCs w:val="10"/>
          <w:color w:val="0000FF"/>
        </w:rPr>
      </w:pPr>
      <w:hyperlink w:anchor="page88">
        <w:r>
          <w:rPr>
            <w:rFonts w:ascii="Arial" w:cs="Arial" w:eastAsia="Arial" w:hAnsi="Arial"/>
            <w:sz w:val="10"/>
            <w:szCs w:val="10"/>
            <w:color w:val="0000FF"/>
          </w:rPr>
          <w:t>88</w:t>
        </w:r>
      </w:hyperlink>
    </w:p>
    <w:p>
      <w:pPr>
        <w:spacing w:after="0" w:line="65" w:lineRule="exact"/>
        <w:rPr>
          <w:rFonts w:ascii="Arial" w:cs="Arial" w:eastAsia="Arial" w:hAnsi="Arial"/>
          <w:sz w:val="12"/>
          <w:szCs w:val="12"/>
          <w:u w:val="single" w:color="auto"/>
          <w:color w:val="0000FF"/>
        </w:rPr>
      </w:pPr>
    </w:p>
    <w:p>
      <w:pPr>
        <w:ind w:left="340"/>
        <w:spacing w:after="0"/>
        <w:rPr>
          <w:rFonts w:ascii="Arial" w:cs="Arial" w:eastAsia="Arial" w:hAnsi="Arial"/>
          <w:sz w:val="10"/>
          <w:szCs w:val="10"/>
          <w:color w:val="0000FF"/>
        </w:rPr>
      </w:pPr>
      <w:hyperlink w:anchor="page88">
        <w:r>
          <w:rPr>
            <w:rFonts w:ascii="Arial" w:cs="Arial" w:eastAsia="Arial" w:hAnsi="Arial"/>
            <w:sz w:val="10"/>
            <w:szCs w:val="10"/>
            <w:color w:val="0000FF"/>
          </w:rPr>
          <w:t>88</w:t>
        </w:r>
      </w:hyperlink>
    </w:p>
    <w:p>
      <w:pPr>
        <w:spacing w:after="0" w:line="65" w:lineRule="exact"/>
        <w:rPr>
          <w:rFonts w:ascii="Arial" w:cs="Arial" w:eastAsia="Arial" w:hAnsi="Arial"/>
          <w:sz w:val="12"/>
          <w:szCs w:val="12"/>
          <w:u w:val="single" w:color="auto"/>
          <w:color w:val="0000FF"/>
        </w:rPr>
      </w:pPr>
    </w:p>
    <w:p>
      <w:pPr>
        <w:ind w:left="340"/>
        <w:spacing w:after="0"/>
        <w:rPr>
          <w:rFonts w:ascii="Arial" w:cs="Arial" w:eastAsia="Arial" w:hAnsi="Arial"/>
          <w:sz w:val="10"/>
          <w:szCs w:val="10"/>
          <w:color w:val="0000FF"/>
        </w:rPr>
      </w:pPr>
      <w:hyperlink w:anchor="page88">
        <w:r>
          <w:rPr>
            <w:rFonts w:ascii="Arial" w:cs="Arial" w:eastAsia="Arial" w:hAnsi="Arial"/>
            <w:sz w:val="10"/>
            <w:szCs w:val="10"/>
            <w:color w:val="0000FF"/>
          </w:rPr>
          <w:t>88</w:t>
        </w:r>
      </w:hyperlink>
    </w:p>
    <w:p>
      <w:pPr>
        <w:spacing w:after="0" w:line="65" w:lineRule="exact"/>
        <w:rPr>
          <w:rFonts w:ascii="Arial" w:cs="Arial" w:eastAsia="Arial" w:hAnsi="Arial"/>
          <w:sz w:val="12"/>
          <w:szCs w:val="12"/>
          <w:u w:val="single" w:color="auto"/>
          <w:color w:val="0000FF"/>
        </w:rPr>
      </w:pPr>
    </w:p>
    <w:p>
      <w:pPr>
        <w:ind w:left="340"/>
        <w:spacing w:after="0"/>
        <w:rPr>
          <w:rFonts w:ascii="Arial" w:cs="Arial" w:eastAsia="Arial" w:hAnsi="Arial"/>
          <w:sz w:val="10"/>
          <w:szCs w:val="10"/>
          <w:color w:val="0000FF"/>
        </w:rPr>
      </w:pPr>
      <w:hyperlink w:anchor="page88">
        <w:r>
          <w:rPr>
            <w:rFonts w:ascii="Arial" w:cs="Arial" w:eastAsia="Arial" w:hAnsi="Arial"/>
            <w:sz w:val="10"/>
            <w:szCs w:val="10"/>
            <w:color w:val="0000FF"/>
          </w:rPr>
          <w:t>88</w:t>
        </w:r>
      </w:hyperlink>
    </w:p>
    <w:p>
      <w:pPr>
        <w:spacing w:after="0" w:line="65" w:lineRule="exact"/>
        <w:rPr>
          <w:rFonts w:ascii="Arial" w:cs="Arial" w:eastAsia="Arial" w:hAnsi="Arial"/>
          <w:sz w:val="12"/>
          <w:szCs w:val="12"/>
          <w:u w:val="single" w:color="auto"/>
          <w:color w:val="0000FF"/>
        </w:rPr>
      </w:pPr>
    </w:p>
    <w:p>
      <w:pPr>
        <w:ind w:left="340"/>
        <w:spacing w:after="0"/>
        <w:rPr>
          <w:rFonts w:ascii="Arial" w:cs="Arial" w:eastAsia="Arial" w:hAnsi="Arial"/>
          <w:sz w:val="10"/>
          <w:szCs w:val="10"/>
          <w:color w:val="0000FF"/>
        </w:rPr>
      </w:pPr>
      <w:hyperlink w:anchor="page88">
        <w:r>
          <w:rPr>
            <w:rFonts w:ascii="Arial" w:cs="Arial" w:eastAsia="Arial" w:hAnsi="Arial"/>
            <w:sz w:val="10"/>
            <w:szCs w:val="10"/>
            <w:color w:val="0000FF"/>
          </w:rPr>
          <w:t>88</w:t>
        </w:r>
      </w:hyperlink>
    </w:p>
    <w:p>
      <w:pPr>
        <w:spacing w:after="0" w:line="65" w:lineRule="exact"/>
        <w:rPr>
          <w:rFonts w:ascii="Arial" w:cs="Arial" w:eastAsia="Arial" w:hAnsi="Arial"/>
          <w:sz w:val="12"/>
          <w:szCs w:val="12"/>
          <w:u w:val="single" w:color="auto"/>
          <w:color w:val="0000FF"/>
        </w:rPr>
      </w:pPr>
    </w:p>
    <w:p>
      <w:pPr>
        <w:ind w:left="340"/>
        <w:spacing w:after="0"/>
        <w:rPr>
          <w:rFonts w:ascii="Arial" w:cs="Arial" w:eastAsia="Arial" w:hAnsi="Arial"/>
          <w:sz w:val="10"/>
          <w:szCs w:val="10"/>
          <w:color w:val="0000FF"/>
        </w:rPr>
      </w:pPr>
      <w:hyperlink w:anchor="page88">
        <w:r>
          <w:rPr>
            <w:rFonts w:ascii="Arial" w:cs="Arial" w:eastAsia="Arial" w:hAnsi="Arial"/>
            <w:sz w:val="10"/>
            <w:szCs w:val="10"/>
            <w:color w:val="0000FF"/>
          </w:rPr>
          <w:t>88</w:t>
        </w:r>
      </w:hyperlink>
    </w:p>
    <w:p>
      <w:pPr>
        <w:spacing w:after="0" w:line="65" w:lineRule="exact"/>
        <w:rPr>
          <w:rFonts w:ascii="Arial" w:cs="Arial" w:eastAsia="Arial" w:hAnsi="Arial"/>
          <w:sz w:val="12"/>
          <w:szCs w:val="12"/>
          <w:u w:val="single" w:color="auto"/>
          <w:color w:val="0000FF"/>
        </w:rPr>
      </w:pPr>
    </w:p>
    <w:p>
      <w:pPr>
        <w:ind w:left="340"/>
        <w:spacing w:after="0"/>
        <w:rPr>
          <w:rFonts w:ascii="Arial" w:cs="Arial" w:eastAsia="Arial" w:hAnsi="Arial"/>
          <w:sz w:val="10"/>
          <w:szCs w:val="10"/>
          <w:color w:val="0000FF"/>
        </w:rPr>
      </w:pPr>
      <w:hyperlink w:anchor="page88">
        <w:r>
          <w:rPr>
            <w:rFonts w:ascii="Arial" w:cs="Arial" w:eastAsia="Arial" w:hAnsi="Arial"/>
            <w:sz w:val="10"/>
            <w:szCs w:val="10"/>
            <w:color w:val="0000FF"/>
          </w:rPr>
          <w:t>89</w:t>
        </w:r>
      </w:hyperlink>
    </w:p>
    <w:p>
      <w:pPr>
        <w:spacing w:after="0" w:line="236" w:lineRule="exact"/>
        <w:rPr>
          <w:rFonts w:ascii="Arial" w:cs="Arial" w:eastAsia="Arial" w:hAnsi="Arial"/>
          <w:sz w:val="12"/>
          <w:szCs w:val="12"/>
          <w:u w:val="single" w:color="auto"/>
          <w:color w:val="0000FF"/>
        </w:rPr>
      </w:pPr>
    </w:p>
    <w:p>
      <w:pPr>
        <w:ind w:left="340"/>
        <w:spacing w:after="0"/>
        <w:rPr>
          <w:rFonts w:ascii="Arial" w:cs="Arial" w:eastAsia="Arial" w:hAnsi="Arial"/>
          <w:sz w:val="10"/>
          <w:szCs w:val="10"/>
          <w:color w:val="0000FF"/>
        </w:rPr>
      </w:pPr>
      <w:hyperlink w:anchor="page89">
        <w:r>
          <w:rPr>
            <w:rFonts w:ascii="Arial" w:cs="Arial" w:eastAsia="Arial" w:hAnsi="Arial"/>
            <w:sz w:val="10"/>
            <w:szCs w:val="10"/>
            <w:color w:val="0000FF"/>
          </w:rPr>
          <w:t>90</w:t>
        </w:r>
      </w:hyperlink>
    </w:p>
    <w:p>
      <w:pPr>
        <w:sectPr>
          <w:pgSz w:w="11900" w:h="16838" w:orient="portrait"/>
          <w:cols w:equalWidth="0" w:num="3">
            <w:col w:w="600" w:space="720"/>
            <w:col w:w="8740" w:space="720"/>
            <w:col w:w="460"/>
          </w:cols>
          <w:pgMar w:left="340" w:top="887" w:right="319" w:bottom="1440" w:gutter="0" w:footer="0" w:header="0"/>
        </w:sectPr>
      </w:pPr>
    </w:p>
    <w:bookmarkStart w:id="2" w:name="page3"/>
    <w:bookmarkEnd w:id="2"/>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 FINANCIAL INFORMATION</w:t>
      </w:r>
    </w:p>
    <w:p>
      <w:pPr>
        <w:spacing w:after="0" w:line="39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Consolidated Financial Statements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ASSETS AND LIABILITIES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(In thousands, except shares and per share data)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400" w:type="dxa"/>
            <w:vAlign w:val="bottom"/>
          </w:tcPr>
          <w:p>
            <w:pPr>
              <w:spacing w:after="0"/>
              <w:rPr>
                <w:sz w:val="10"/>
                <w:szCs w:val="10"/>
                <w:color w:val="auto"/>
              </w:rPr>
            </w:pPr>
          </w:p>
        </w:tc>
        <w:tc>
          <w:tcPr>
            <w:tcW w:w="960" w:type="dxa"/>
            <w:vAlign w:val="bottom"/>
          </w:tcPr>
          <w:p>
            <w:pPr>
              <w:jc w:val="center"/>
              <w:ind w:left="405"/>
              <w:spacing w:after="0"/>
              <w:rPr>
                <w:sz w:val="20"/>
                <w:szCs w:val="20"/>
                <w:color w:val="auto"/>
              </w:rPr>
            </w:pPr>
            <w:r>
              <w:rPr>
                <w:rFonts w:ascii="Arial" w:cs="Arial" w:eastAsia="Arial" w:hAnsi="Arial"/>
                <w:sz w:val="10"/>
                <w:szCs w:val="10"/>
                <w:b w:val="1"/>
                <w:bCs w:val="1"/>
                <w:color w:val="auto"/>
                <w:w w:val="84"/>
              </w:rPr>
              <w:t>June 30,</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right"/>
              <w:ind w:right="441"/>
              <w:spacing w:after="0"/>
              <w:rPr>
                <w:sz w:val="20"/>
                <w:szCs w:val="20"/>
                <w:color w:val="auto"/>
              </w:rPr>
            </w:pPr>
            <w:r>
              <w:rPr>
                <w:rFonts w:ascii="Arial" w:cs="Arial" w:eastAsia="Arial" w:hAnsi="Arial"/>
                <w:sz w:val="10"/>
                <w:szCs w:val="10"/>
                <w:b w:val="1"/>
                <w:bCs w:val="1"/>
                <w:color w:val="auto"/>
              </w:rPr>
              <w:t>March 31,</w:t>
            </w:r>
          </w:p>
        </w:tc>
      </w:tr>
      <w:tr>
        <w:trPr>
          <w:trHeight w:val="130"/>
        </w:trPr>
        <w:tc>
          <w:tcPr>
            <w:tcW w:w="8400" w:type="dxa"/>
            <w:vAlign w:val="bottom"/>
          </w:tcPr>
          <w:p>
            <w:pPr>
              <w:spacing w:after="0"/>
              <w:rPr>
                <w:sz w:val="11"/>
                <w:szCs w:val="11"/>
                <w:color w:val="auto"/>
              </w:rPr>
            </w:pPr>
          </w:p>
        </w:tc>
        <w:tc>
          <w:tcPr>
            <w:tcW w:w="960" w:type="dxa"/>
            <w:vAlign w:val="bottom"/>
            <w:tcBorders>
              <w:bottom w:val="single" w:sz="8" w:color="auto"/>
            </w:tcBorders>
          </w:tcPr>
          <w:p>
            <w:pPr>
              <w:jc w:val="center"/>
              <w:ind w:left="385"/>
              <w:spacing w:after="0"/>
              <w:rPr>
                <w:sz w:val="20"/>
                <w:szCs w:val="20"/>
                <w:color w:val="auto"/>
              </w:rPr>
            </w:pPr>
            <w:r>
              <w:rPr>
                <w:rFonts w:ascii="Arial" w:cs="Arial" w:eastAsia="Arial" w:hAnsi="Arial"/>
                <w:sz w:val="10"/>
                <w:szCs w:val="10"/>
                <w:b w:val="1"/>
                <w:bCs w:val="1"/>
                <w:color w:val="auto"/>
                <w:w w:val="89"/>
              </w:rPr>
              <w:t>2021</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2021</w:t>
            </w:r>
          </w:p>
        </w:tc>
      </w:tr>
      <w:tr>
        <w:trPr>
          <w:trHeight w:val="118"/>
        </w:trPr>
        <w:tc>
          <w:tcPr>
            <w:tcW w:w="8400" w:type="dxa"/>
            <w:vAlign w:val="bottom"/>
          </w:tcPr>
          <w:p>
            <w:pPr>
              <w:spacing w:after="0"/>
              <w:rPr>
                <w:sz w:val="10"/>
                <w:szCs w:val="10"/>
                <w:color w:val="auto"/>
              </w:rPr>
            </w:pPr>
          </w:p>
        </w:tc>
        <w:tc>
          <w:tcPr>
            <w:tcW w:w="960" w:type="dxa"/>
            <w:vAlign w:val="bottom"/>
          </w:tcPr>
          <w:p>
            <w:pPr>
              <w:jc w:val="center"/>
              <w:ind w:left="405"/>
              <w:spacing w:after="0"/>
              <w:rPr>
                <w:sz w:val="20"/>
                <w:szCs w:val="20"/>
                <w:color w:val="auto"/>
              </w:rPr>
            </w:pPr>
            <w:r>
              <w:rPr>
                <w:rFonts w:ascii="Arial" w:cs="Arial" w:eastAsia="Arial" w:hAnsi="Arial"/>
                <w:sz w:val="10"/>
                <w:szCs w:val="10"/>
                <w:b w:val="1"/>
                <w:bCs w:val="1"/>
                <w:color w:val="auto"/>
                <w:w w:val="89"/>
              </w:rPr>
              <w:t>(Unaudited)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4"/>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Investments at fair value:</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Non-control/Non-affiliate investments (Cost: $639,438 and $540,556, respectively)</w:t>
            </w:r>
          </w:p>
        </w:tc>
        <w:tc>
          <w:tcPr>
            <w:tcW w:w="960" w:type="dxa"/>
            <w:vAlign w:val="bottom"/>
            <w:shd w:val="clear" w:color="auto" w:fill="CCEEFF"/>
          </w:tcPr>
          <w:p>
            <w:pPr>
              <w:jc w:val="right"/>
              <w:ind w:right="825"/>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651,940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546,028</w:t>
            </w:r>
          </w:p>
        </w:tc>
      </w:tr>
      <w:tr>
        <w:trPr>
          <w:trHeight w:val="153"/>
        </w:trPr>
        <w:tc>
          <w:tcPr>
            <w:tcW w:w="8400" w:type="dxa"/>
            <w:vAlign w:val="bottom"/>
          </w:tcPr>
          <w:p>
            <w:pPr>
              <w:ind w:left="140"/>
              <w:spacing w:after="0"/>
              <w:rPr>
                <w:sz w:val="20"/>
                <w:szCs w:val="20"/>
                <w:color w:val="auto"/>
              </w:rPr>
            </w:pPr>
            <w:r>
              <w:rPr>
                <w:rFonts w:ascii="Arial" w:cs="Arial" w:eastAsia="Arial" w:hAnsi="Arial"/>
                <w:sz w:val="12"/>
                <w:szCs w:val="12"/>
                <w:color w:val="auto"/>
              </w:rPr>
              <w:t>Affiliate investments (Cost: $90,848 and $90,201, respectively)</w:t>
            </w:r>
          </w:p>
        </w:tc>
        <w:tc>
          <w:tcPr>
            <w:tcW w:w="9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85,435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85,246</w:t>
            </w: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Control investments (Cost: $76,000 and $72,800, respectively)</w:t>
            </w:r>
          </w:p>
        </w:tc>
        <w:tc>
          <w:tcPr>
            <w:tcW w:w="9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61,272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57,158</w:t>
            </w:r>
          </w:p>
        </w:tc>
      </w:tr>
      <w:tr>
        <w:trPr>
          <w:trHeight w:val="142"/>
        </w:trPr>
        <w:tc>
          <w:tcPr>
            <w:tcW w:w="8400" w:type="dxa"/>
            <w:vAlign w:val="bottom"/>
          </w:tcPr>
          <w:p>
            <w:pPr>
              <w:ind w:left="140"/>
              <w:spacing w:after="0"/>
              <w:rPr>
                <w:sz w:val="20"/>
                <w:szCs w:val="20"/>
                <w:color w:val="auto"/>
              </w:rPr>
            </w:pPr>
            <w:r>
              <w:rPr>
                <w:rFonts w:ascii="Arial" w:cs="Arial" w:eastAsia="Arial" w:hAnsi="Arial"/>
                <w:sz w:val="12"/>
                <w:szCs w:val="12"/>
                <w:color w:val="auto"/>
              </w:rPr>
              <w:t>Total investments (Cost: $806,286 and $703,557, respectively)</w:t>
            </w:r>
          </w:p>
        </w:tc>
        <w:tc>
          <w:tcPr>
            <w:tcW w:w="9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798,647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688,432</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16,543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31,613</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Receivables: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8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Dividends and interest</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11,197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10,533</w:t>
            </w:r>
          </w:p>
        </w:tc>
      </w:tr>
      <w:tr>
        <w:trPr>
          <w:trHeight w:val="153"/>
        </w:trPr>
        <w:tc>
          <w:tcPr>
            <w:tcW w:w="8400" w:type="dxa"/>
            <w:vAlign w:val="bottom"/>
          </w:tcPr>
          <w:p>
            <w:pPr>
              <w:ind w:left="80"/>
              <w:spacing w:after="0"/>
              <w:rPr>
                <w:sz w:val="20"/>
                <w:szCs w:val="20"/>
                <w:color w:val="auto"/>
              </w:rPr>
            </w:pPr>
            <w:r>
              <w:rPr>
                <w:rFonts w:ascii="Arial" w:cs="Arial" w:eastAsia="Arial" w:hAnsi="Arial"/>
                <w:sz w:val="12"/>
                <w:szCs w:val="12"/>
                <w:color w:val="auto"/>
              </w:rPr>
              <w:t>Escrow</w:t>
            </w:r>
          </w:p>
        </w:tc>
        <w:tc>
          <w:tcPr>
            <w:tcW w:w="9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1,150</w:t>
            </w:r>
          </w:p>
        </w:tc>
      </w:tr>
      <w:tr>
        <w:trPr>
          <w:trHeight w:val="153"/>
        </w:trPr>
        <w:tc>
          <w:tcPr>
            <w:tcW w:w="8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171</w:t>
            </w:r>
          </w:p>
        </w:tc>
      </w:tr>
      <w:tr>
        <w:trPr>
          <w:trHeight w:val="153"/>
        </w:trPr>
        <w:tc>
          <w:tcPr>
            <w:tcW w:w="8400" w:type="dxa"/>
            <w:vAlign w:val="bottom"/>
          </w:tcPr>
          <w:p>
            <w:pPr>
              <w:ind w:left="80"/>
              <w:spacing w:after="0"/>
              <w:rPr>
                <w:sz w:val="20"/>
                <w:szCs w:val="20"/>
                <w:color w:val="auto"/>
              </w:rPr>
            </w:pPr>
            <w:r>
              <w:rPr>
                <w:rFonts w:ascii="Arial" w:cs="Arial" w:eastAsia="Arial" w:hAnsi="Arial"/>
                <w:sz w:val="12"/>
                <w:szCs w:val="12"/>
                <w:color w:val="auto"/>
              </w:rPr>
              <w:t>Income tax receivable</w:t>
            </w:r>
          </w:p>
        </w:tc>
        <w:tc>
          <w:tcPr>
            <w:tcW w:w="9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155</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Debt issuance costs (net of accumulated amortization of $3,813 and $3,582, respectively)</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2,246</w:t>
            </w:r>
          </w:p>
        </w:tc>
      </w:tr>
      <w:tr>
        <w:trPr>
          <w:trHeight w:val="153"/>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9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1,284</w:t>
            </w:r>
          </w:p>
        </w:tc>
      </w:tr>
      <w:tr>
        <w:trPr>
          <w:trHeight w:val="158"/>
        </w:trPr>
        <w:tc>
          <w:tcPr>
            <w:tcW w:w="8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assets</w:t>
            </w:r>
          </w:p>
        </w:tc>
        <w:tc>
          <w:tcPr>
            <w:tcW w:w="96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836,048</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735,584</w:t>
            </w:r>
          </w:p>
        </w:tc>
      </w:tr>
      <w:tr>
        <w:trPr>
          <w:trHeight w:val="45"/>
        </w:trPr>
        <w:tc>
          <w:tcPr>
            <w:tcW w:w="8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October 2024 Notes (Par value: $125,000 and $125,000, respectively)</w:t>
            </w:r>
          </w:p>
        </w:tc>
        <w:tc>
          <w:tcPr>
            <w:tcW w:w="960" w:type="dxa"/>
            <w:vAlign w:val="bottom"/>
          </w:tcPr>
          <w:p>
            <w:pPr>
              <w:jc w:val="right"/>
              <w:ind w:right="825"/>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87"/>
              </w:rPr>
              <w:t>123,041</w:t>
            </w:r>
          </w:p>
        </w:tc>
        <w:tc>
          <w:tcPr>
            <w:tcW w:w="10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122,879</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January 2026 Notes (Par value: $140,000 and $140,000, respectively)</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138,504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138,425</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Credit facility</w:t>
            </w:r>
          </w:p>
        </w:tc>
        <w:tc>
          <w:tcPr>
            <w:tcW w:w="9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190,000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120,000</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11,655</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Accrued restoration plan liability</w:t>
            </w:r>
          </w:p>
        </w:tc>
        <w:tc>
          <w:tcPr>
            <w:tcW w:w="9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2,937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2,979</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Income tax payable</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w:t>
            </w:r>
          </w:p>
        </w:tc>
      </w:tr>
      <w:tr>
        <w:trPr>
          <w:trHeight w:val="153"/>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Deferred tax liability</w:t>
            </w:r>
          </w:p>
        </w:tc>
        <w:tc>
          <w:tcPr>
            <w:tcW w:w="9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3,345</w:t>
            </w:r>
          </w:p>
        </w:tc>
      </w:tr>
      <w:tr>
        <w:trPr>
          <w:trHeight w:val="142"/>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9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467,953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399,333</w:t>
            </w:r>
          </w:p>
        </w:tc>
      </w:tr>
      <w:tr>
        <w:trPr>
          <w:trHeight w:val="43"/>
        </w:trPr>
        <w:tc>
          <w:tcPr>
            <w:tcW w:w="8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Commitments and contingencies (Note 10)</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63"/>
        </w:trPr>
        <w:tc>
          <w:tcPr>
            <w:tcW w:w="8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Common stock, $0.25 par value: authorized, 40,000,000 shares; issued, 24,539,464 shares at June 30, 2021 and 23,344,836 shares at March 31, 2021</w:t>
            </w:r>
          </w:p>
        </w:tc>
        <w:tc>
          <w:tcPr>
            <w:tcW w:w="9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6,135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5,836</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384,379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356,447</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Total distributable earnings (loss)</w:t>
            </w:r>
          </w:p>
        </w:tc>
        <w:tc>
          <w:tcPr>
            <w:tcW w:w="9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(2,095)</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Treasury stock - at cost, 2,339,512 shares</w:t>
            </w:r>
          </w:p>
        </w:tc>
        <w:tc>
          <w:tcPr>
            <w:tcW w:w="9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(23,937)</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(23,937)</w:t>
            </w:r>
          </w:p>
        </w:tc>
      </w:tr>
      <w:tr>
        <w:trPr>
          <w:trHeight w:val="142"/>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net assets</w:t>
            </w:r>
          </w:p>
        </w:tc>
        <w:tc>
          <w:tcPr>
            <w:tcW w:w="9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368,095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336,251</w:t>
            </w:r>
          </w:p>
        </w:tc>
      </w:tr>
      <w:tr>
        <w:trPr>
          <w:trHeight w:val="15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 and net assets</w:t>
            </w:r>
          </w:p>
        </w:tc>
        <w:tc>
          <w:tcPr>
            <w:tcW w:w="96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836,048</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735,584</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Net asset value per share (22,199,952 shares outstanding at June 30, 2021 and 21,005,324 shares outstanding at March 31, 2021)</w:t>
            </w:r>
          </w:p>
        </w:tc>
        <w:tc>
          <w:tcPr>
            <w:tcW w:w="960" w:type="dxa"/>
            <w:vAlign w:val="bottom"/>
            <w:tcBorders>
              <w:bottom w:val="single" w:sz="8" w:color="auto"/>
            </w:tcBorders>
          </w:tcPr>
          <w:p>
            <w:pPr>
              <w:jc w:val="right"/>
              <w:ind w:right="825"/>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16.58</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16.01</w:t>
            </w:r>
          </w:p>
        </w:tc>
      </w:tr>
      <w:tr>
        <w:trPr>
          <w:trHeight w:val="20"/>
        </w:trPr>
        <w:tc>
          <w:tcPr>
            <w:tcW w:w="8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40" w:right="299" w:bottom="1440" w:gutter="0" w:footer="0" w:header="0"/>
        </w:sectPr>
      </w:pPr>
    </w:p>
    <w:bookmarkStart w:id="3" w:name="page4"/>
    <w:bookmarkEnd w:id="3"/>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(In thousands, except shares and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Three Months Ended</w:t>
            </w:r>
          </w:p>
        </w:tc>
        <w:tc>
          <w:tcPr>
            <w:tcW w:w="820" w:type="dxa"/>
            <w:vAlign w:val="bottom"/>
          </w:tcPr>
          <w:p>
            <w:pPr>
              <w:spacing w:after="0"/>
              <w:rPr>
                <w:sz w:val="10"/>
                <w:szCs w:val="10"/>
                <w:color w:val="auto"/>
              </w:rPr>
            </w:pPr>
          </w:p>
        </w:tc>
      </w:tr>
      <w:tr>
        <w:trPr>
          <w:trHeight w:val="130"/>
        </w:trPr>
        <w:tc>
          <w:tcPr>
            <w:tcW w:w="86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0"/>
                <w:szCs w:val="10"/>
                <w:b w:val="1"/>
                <w:bCs w:val="1"/>
                <w:color w:val="auto"/>
              </w:rPr>
              <w:t>June 30,</w:t>
            </w:r>
          </w:p>
        </w:tc>
        <w:tc>
          <w:tcPr>
            <w:tcW w:w="820" w:type="dxa"/>
            <w:vAlign w:val="bottom"/>
            <w:tcBorders>
              <w:bottom w:val="single" w:sz="8" w:color="auto"/>
            </w:tcBorders>
          </w:tcPr>
          <w:p>
            <w:pPr>
              <w:spacing w:after="0"/>
              <w:rPr>
                <w:sz w:val="11"/>
                <w:szCs w:val="11"/>
                <w:color w:val="auto"/>
              </w:rPr>
            </w:pPr>
          </w:p>
        </w:tc>
      </w:tr>
      <w:tr>
        <w:trPr>
          <w:trHeight w:val="118"/>
        </w:trPr>
        <w:tc>
          <w:tcPr>
            <w:tcW w:w="86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2020</w:t>
            </w:r>
          </w:p>
        </w:tc>
      </w:tr>
      <w:tr>
        <w:trPr>
          <w:trHeight w:val="134"/>
        </w:trPr>
        <w:tc>
          <w:tcPr>
            <w:tcW w:w="8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Investment income:</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3"/>
        </w:trPr>
        <w:tc>
          <w:tcPr>
            <w:tcW w:w="8620" w:type="dxa"/>
            <w:vAlign w:val="bottom"/>
          </w:tcPr>
          <w:p>
            <w:pPr>
              <w:spacing w:after="0"/>
              <w:rPr>
                <w:sz w:val="20"/>
                <w:szCs w:val="20"/>
                <w:color w:val="auto"/>
              </w:rPr>
            </w:pPr>
            <w:r>
              <w:rPr>
                <w:rFonts w:ascii="Arial" w:cs="Arial" w:eastAsia="Arial" w:hAnsi="Arial"/>
                <w:sz w:val="12"/>
                <w:szCs w:val="12"/>
                <w:color w:val="auto"/>
              </w:rPr>
              <w:t>Interest income:</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13,953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10,069</w:t>
            </w:r>
          </w:p>
        </w:tc>
      </w:tr>
      <w:tr>
        <w:trPr>
          <w:trHeight w:val="153"/>
        </w:trPr>
        <w:tc>
          <w:tcPr>
            <w:tcW w:w="86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1,648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2,576</w:t>
            </w: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620" w:type="dxa"/>
            <w:vAlign w:val="bottom"/>
          </w:tcPr>
          <w:p>
            <w:pPr>
              <w:spacing w:after="0"/>
              <w:rPr>
                <w:sz w:val="20"/>
                <w:szCs w:val="20"/>
                <w:color w:val="auto"/>
              </w:rPr>
            </w:pPr>
            <w:r>
              <w:rPr>
                <w:rFonts w:ascii="Arial" w:cs="Arial" w:eastAsia="Arial" w:hAnsi="Arial"/>
                <w:sz w:val="12"/>
                <w:szCs w:val="12"/>
                <w:color w:val="auto"/>
              </w:rPr>
              <w:t>Dividend income:</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r>
      <w:tr>
        <w:trPr>
          <w:trHeight w:val="153"/>
        </w:trPr>
        <w:tc>
          <w:tcPr>
            <w:tcW w:w="86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1,774</w:t>
            </w:r>
          </w:p>
        </w:tc>
      </w:tr>
      <w:tr>
        <w:trPr>
          <w:trHeight w:val="153"/>
        </w:trPr>
        <w:tc>
          <w:tcPr>
            <w:tcW w:w="8620" w:type="dxa"/>
            <w:vAlign w:val="bottom"/>
          </w:tcPr>
          <w:p>
            <w:pPr>
              <w:spacing w:after="0"/>
              <w:rPr>
                <w:sz w:val="20"/>
                <w:szCs w:val="20"/>
                <w:color w:val="auto"/>
              </w:rPr>
            </w:pPr>
            <w:r>
              <w:rPr>
                <w:rFonts w:ascii="Arial" w:cs="Arial" w:eastAsia="Arial" w:hAnsi="Arial"/>
                <w:sz w:val="12"/>
                <w:szCs w:val="12"/>
                <w:color w:val="auto"/>
              </w:rPr>
              <w:t>Interest income from cash and cash equivalents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8620" w:type="dxa"/>
            <w:vAlign w:val="bottom"/>
            <w:shd w:val="clear" w:color="auto" w:fill="CCEEFF"/>
          </w:tcPr>
          <w:p>
            <w:pPr>
              <w:spacing w:after="0"/>
              <w:rPr>
                <w:sz w:val="20"/>
                <w:szCs w:val="20"/>
                <w:color w:val="auto"/>
              </w:rPr>
            </w:pPr>
            <w:r>
              <w:rPr>
                <w:rFonts w:ascii="Arial" w:cs="Arial" w:eastAsia="Arial" w:hAnsi="Arial"/>
                <w:sz w:val="12"/>
                <w:szCs w:val="12"/>
                <w:color w:val="auto"/>
              </w:rPr>
              <w:t>Fees and other income</w:t>
            </w: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559</w:t>
            </w:r>
          </w:p>
        </w:tc>
      </w:tr>
      <w:tr>
        <w:trPr>
          <w:trHeight w:val="142"/>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investment income</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18,579</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15,164</w:t>
            </w:r>
          </w:p>
        </w:tc>
      </w:tr>
      <w:tr>
        <w:trPr>
          <w:trHeight w:val="133"/>
        </w:trPr>
        <w:tc>
          <w:tcPr>
            <w:tcW w:w="86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expenses:</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3"/>
        </w:trPr>
        <w:tc>
          <w:tcPr>
            <w:tcW w:w="862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1,432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1,720</w:t>
            </w: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Share-based compensation</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w:t>
            </w:r>
          </w:p>
        </w:tc>
      </w:tr>
      <w:tr>
        <w:trPr>
          <w:trHeight w:val="153"/>
        </w:trPr>
        <w:tc>
          <w:tcPr>
            <w:tcW w:w="8620" w:type="dxa"/>
            <w:vAlign w:val="bottom"/>
          </w:tcPr>
          <w:p>
            <w:pPr>
              <w:ind w:left="80"/>
              <w:spacing w:after="0"/>
              <w:rPr>
                <w:sz w:val="20"/>
                <w:szCs w:val="20"/>
                <w:color w:val="auto"/>
              </w:rPr>
            </w:pPr>
            <w:r>
              <w:rPr>
                <w:rFonts w:ascii="Arial" w:cs="Arial" w:eastAsia="Arial" w:hAnsi="Arial"/>
                <w:sz w:val="12"/>
                <w:szCs w:val="12"/>
                <w:color w:val="auto"/>
              </w:rPr>
              <w:t>Interest</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4,955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4,328</w:t>
            </w: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Professional fees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r>
      <w:tr>
        <w:trPr>
          <w:trHeight w:val="153"/>
        </w:trPr>
        <w:tc>
          <w:tcPr>
            <w:tcW w:w="86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General and administrative</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976</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765</w:t>
            </w:r>
          </w:p>
        </w:tc>
      </w:tr>
      <w:tr>
        <w:trPr>
          <w:trHeight w:val="142"/>
        </w:trPr>
        <w:tc>
          <w:tcPr>
            <w:tcW w:w="8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operating expenses</w:t>
            </w: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9,140</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7,995</w:t>
            </w:r>
          </w:p>
        </w:tc>
      </w:tr>
      <w:tr>
        <w:trPr>
          <w:trHeight w:val="142"/>
        </w:trPr>
        <w:tc>
          <w:tcPr>
            <w:tcW w:w="8620" w:type="dxa"/>
            <w:vAlign w:val="bottom"/>
          </w:tcPr>
          <w:p>
            <w:pPr>
              <w:spacing w:after="0"/>
              <w:rPr>
                <w:sz w:val="20"/>
                <w:szCs w:val="20"/>
                <w:color w:val="auto"/>
              </w:rPr>
            </w:pPr>
            <w:r>
              <w:rPr>
                <w:rFonts w:ascii="Arial" w:cs="Arial" w:eastAsia="Arial" w:hAnsi="Arial"/>
                <w:sz w:val="12"/>
                <w:szCs w:val="12"/>
                <w:color w:val="auto"/>
              </w:rPr>
              <w:t>Income before taxes</w:t>
            </w: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9,439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7,169</w:t>
            </w: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Federal income, excise and other taxes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r>
      <w:tr>
        <w:trPr>
          <w:trHeight w:val="153"/>
        </w:trPr>
        <w:tc>
          <w:tcPr>
            <w:tcW w:w="86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Deferred taxes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w:t>
            </w:r>
          </w:p>
        </w:tc>
      </w:tr>
      <w:tr>
        <w:trPr>
          <w:trHeight w:val="142"/>
        </w:trPr>
        <w:tc>
          <w:tcPr>
            <w:tcW w:w="8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income tax expense</w:t>
            </w: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w:t>
            </w:r>
          </w:p>
        </w:tc>
      </w:tr>
      <w:tr>
        <w:trPr>
          <w:trHeight w:val="158"/>
        </w:trPr>
        <w:tc>
          <w:tcPr>
            <w:tcW w:w="86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investment income</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9,043</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6,819</w:t>
            </w:r>
          </w:p>
        </w:tc>
      </w:tr>
      <w:tr>
        <w:trPr>
          <w:trHeight w:val="135"/>
        </w:trPr>
        <w:tc>
          <w:tcPr>
            <w:tcW w:w="8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Realized (loss) gain</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3"/>
        </w:trPr>
        <w:tc>
          <w:tcPr>
            <w:tcW w:w="8620" w:type="dxa"/>
            <w:vAlign w:val="bottom"/>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(952)</w:t>
            </w:r>
          </w:p>
        </w:tc>
        <w:tc>
          <w:tcPr>
            <w:tcW w:w="10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(5,547)</w:t>
            </w: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620" w:type="dxa"/>
            <w:vAlign w:val="bottom"/>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8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net realized loss on investments, net of tax</w:t>
            </w:r>
          </w:p>
        </w:tc>
        <w:tc>
          <w:tcPr>
            <w:tcW w:w="3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(952)</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(5,547)</w:t>
            </w:r>
          </w:p>
        </w:tc>
      </w:tr>
      <w:tr>
        <w:trPr>
          <w:trHeight w:val="153"/>
        </w:trPr>
        <w:tc>
          <w:tcPr>
            <w:tcW w:w="8620" w:type="dxa"/>
            <w:vAlign w:val="bottom"/>
          </w:tcPr>
          <w:p>
            <w:pPr>
              <w:spacing w:after="0"/>
              <w:rPr>
                <w:sz w:val="20"/>
                <w:szCs w:val="20"/>
                <w:color w:val="auto"/>
              </w:rPr>
            </w:pPr>
            <w:r>
              <w:rPr>
                <w:rFonts w:ascii="Arial" w:cs="Arial" w:eastAsia="Arial" w:hAnsi="Arial"/>
                <w:sz w:val="12"/>
                <w:szCs w:val="12"/>
                <w:b w:val="1"/>
                <w:bCs w:val="1"/>
                <w:color w:val="auto"/>
              </w:rPr>
              <w:t>Net unrealized appreciation (depreciation) on investments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6,905</w:t>
            </w:r>
          </w:p>
        </w:tc>
      </w:tr>
      <w:tr>
        <w:trPr>
          <w:trHeight w:val="153"/>
        </w:trPr>
        <w:tc>
          <w:tcPr>
            <w:tcW w:w="86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(458)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(2,967)</w:t>
            </w: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4,191</w:t>
            </w:r>
          </w:p>
        </w:tc>
      </w:tr>
      <w:tr>
        <w:trPr>
          <w:trHeight w:val="153"/>
        </w:trPr>
        <w:tc>
          <w:tcPr>
            <w:tcW w:w="86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Income tax (provision) benefit</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(524)</w:t>
            </w:r>
          </w:p>
        </w:tc>
      </w:tr>
      <w:tr>
        <w:trPr>
          <w:trHeight w:val="142"/>
        </w:trPr>
        <w:tc>
          <w:tcPr>
            <w:tcW w:w="8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net unrealized appreciation (depreciation) on investments, net of tax</w:t>
            </w: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7,051</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7,605</w:t>
            </w:r>
          </w:p>
        </w:tc>
      </w:tr>
      <w:tr>
        <w:trPr>
          <w:trHeight w:val="142"/>
        </w:trPr>
        <w:tc>
          <w:tcPr>
            <w:tcW w:w="86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realized and unrealized gains on investments</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6,099</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2,058</w:t>
            </w:r>
          </w:p>
        </w:tc>
      </w:tr>
      <w:tr>
        <w:trPr>
          <w:trHeight w:val="154"/>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increase in net assets from operations</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15,142</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8,877</w:t>
            </w:r>
          </w:p>
        </w:tc>
      </w:tr>
      <w:tr>
        <w:trPr>
          <w:trHeight w:val="23"/>
        </w:trPr>
        <w:tc>
          <w:tcPr>
            <w:tcW w:w="8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9"/>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Pre-tax net investment income per share - basic and diluted</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0.40</w:t>
            </w:r>
          </w:p>
        </w:tc>
      </w:tr>
      <w:tr>
        <w:trPr>
          <w:trHeight w:val="169"/>
        </w:trPr>
        <w:tc>
          <w:tcPr>
            <w:tcW w:w="86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investment income per share – basic and diluted</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0.38</w:t>
            </w:r>
          </w:p>
        </w:tc>
      </w:tr>
      <w:tr>
        <w:trPr>
          <w:trHeight w:val="169"/>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increase in net assets from operations – basic and diluted</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0.71</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0.49</w:t>
            </w:r>
          </w:p>
        </w:tc>
      </w:tr>
      <w:tr>
        <w:trPr>
          <w:trHeight w:val="153"/>
        </w:trPr>
        <w:tc>
          <w:tcPr>
            <w:tcW w:w="8620" w:type="dxa"/>
            <w:vAlign w:val="bottom"/>
          </w:tcPr>
          <w:p>
            <w:pPr>
              <w:spacing w:after="0"/>
              <w:rPr>
                <w:sz w:val="20"/>
                <w:szCs w:val="20"/>
                <w:color w:val="auto"/>
              </w:rPr>
            </w:pPr>
            <w:r>
              <w:rPr>
                <w:rFonts w:ascii="Arial" w:cs="Arial" w:eastAsia="Arial" w:hAnsi="Arial"/>
                <w:sz w:val="12"/>
                <w:szCs w:val="12"/>
                <w:b w:val="1"/>
                <w:bCs w:val="1"/>
                <w:color w:val="auto"/>
              </w:rPr>
              <w:t>Weighted average shares outstanding – basic and diluted</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21,201,884</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18,147,888</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40" w:right="299" w:bottom="1440" w:gutter="0" w:footer="0" w:header="0"/>
        </w:sectPr>
      </w:pPr>
    </w:p>
    <w:bookmarkStart w:id="4" w:name="page5"/>
    <w:bookmarkEnd w:id="4"/>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NET ASSETS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40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2020</w:t>
            </w:r>
          </w:p>
        </w:tc>
      </w:tr>
      <w:tr>
        <w:trPr>
          <w:trHeight w:val="164"/>
        </w:trPr>
        <w:tc>
          <w:tcPr>
            <w:tcW w:w="8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 March 31</w:t>
            </w: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336,251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272,222</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Operations:</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investment income</w:t>
            </w: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6,819</w:t>
            </w:r>
          </w:p>
        </w:tc>
      </w:tr>
      <w:tr>
        <w:trPr>
          <w:trHeight w:val="153"/>
        </w:trPr>
        <w:tc>
          <w:tcPr>
            <w:tcW w:w="8400" w:type="dxa"/>
            <w:vAlign w:val="bottom"/>
          </w:tcPr>
          <w:p>
            <w:pPr>
              <w:ind w:left="140"/>
              <w:spacing w:after="0"/>
              <w:rPr>
                <w:sz w:val="20"/>
                <w:szCs w:val="20"/>
                <w:color w:val="auto"/>
              </w:rPr>
            </w:pPr>
            <w:r>
              <w:rPr>
                <w:rFonts w:ascii="Arial" w:cs="Arial" w:eastAsia="Arial" w:hAnsi="Arial"/>
                <w:sz w:val="12"/>
                <w:szCs w:val="12"/>
                <w:color w:val="auto"/>
              </w:rPr>
              <w:t>Net realized (loss) gain on investments</w:t>
            </w:r>
          </w:p>
        </w:tc>
        <w:tc>
          <w:tcPr>
            <w:tcW w:w="7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(952)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(5,547)</w:t>
            </w: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unrealized appreciation (depreciation) on investments, net of tax</w:t>
            </w: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7,051</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7,605</w:t>
            </w:r>
          </w:p>
        </w:tc>
      </w:tr>
      <w:tr>
        <w:trPr>
          <w:trHeight w:val="142"/>
        </w:trPr>
        <w:tc>
          <w:tcPr>
            <w:tcW w:w="8400" w:type="dxa"/>
            <w:vAlign w:val="bottom"/>
          </w:tcPr>
          <w:p>
            <w:pPr>
              <w:spacing w:after="0"/>
              <w:rPr>
                <w:sz w:val="20"/>
                <w:szCs w:val="20"/>
                <w:color w:val="auto"/>
              </w:rPr>
            </w:pPr>
            <w:r>
              <w:rPr>
                <w:rFonts w:ascii="Arial" w:cs="Arial" w:eastAsia="Arial" w:hAnsi="Arial"/>
                <w:sz w:val="12"/>
                <w:szCs w:val="12"/>
                <w:color w:val="auto"/>
              </w:rPr>
              <w:t>Net increase in net assets from operations</w:t>
            </w:r>
          </w:p>
        </w:tc>
        <w:tc>
          <w:tcPr>
            <w:tcW w:w="7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15,142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8,877</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Dividends to shareholders ($0.53 and $0.51 per share, respectively)</w:t>
            </w: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(11,528)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(9,480)</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Capital share transactions:</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Change in restoration plan liability</w:t>
            </w: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53"/>
        </w:trPr>
        <w:tc>
          <w:tcPr>
            <w:tcW w:w="8400" w:type="dxa"/>
            <w:vAlign w:val="bottom"/>
          </w:tcPr>
          <w:p>
            <w:pPr>
              <w:ind w:left="140"/>
              <w:spacing w:after="0"/>
              <w:rPr>
                <w:sz w:val="20"/>
                <w:szCs w:val="20"/>
                <w:color w:val="auto"/>
              </w:rPr>
            </w:pPr>
            <w:r>
              <w:rPr>
                <w:rFonts w:ascii="Arial" w:cs="Arial" w:eastAsia="Arial" w:hAnsi="Arial"/>
                <w:sz w:val="12"/>
                <w:szCs w:val="12"/>
                <w:color w:val="auto"/>
              </w:rPr>
              <w:t>Issuance of common stock</w:t>
            </w:r>
          </w:p>
        </w:tc>
        <w:tc>
          <w:tcPr>
            <w:tcW w:w="7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27,686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5,622</w:t>
            </w: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Share-based compensation expense</w:t>
            </w: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w:t>
            </w:r>
          </w:p>
        </w:tc>
      </w:tr>
      <w:tr>
        <w:trPr>
          <w:trHeight w:val="15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Common stock withheld for payroll taxes upon vesting of restricted stock</w:t>
            </w: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42"/>
        </w:trPr>
        <w:tc>
          <w:tcPr>
            <w:tcW w:w="8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Increase in net assets</w:t>
            </w:r>
          </w:p>
        </w:tc>
        <w:tc>
          <w:tcPr>
            <w:tcW w:w="7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31,844</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5,637</w:t>
            </w:r>
          </w:p>
        </w:tc>
      </w:tr>
      <w:tr>
        <w:trPr>
          <w:trHeight w:val="142"/>
        </w:trPr>
        <w:tc>
          <w:tcPr>
            <w:tcW w:w="8400" w:type="dxa"/>
            <w:vAlign w:val="bottom"/>
          </w:tcPr>
          <w:p>
            <w:pPr>
              <w:spacing w:after="0"/>
              <w:rPr>
                <w:sz w:val="20"/>
                <w:szCs w:val="20"/>
                <w:color w:val="auto"/>
              </w:rPr>
            </w:pPr>
            <w:r>
              <w:rPr>
                <w:rFonts w:ascii="Arial" w:cs="Arial" w:eastAsia="Arial" w:hAnsi="Arial"/>
                <w:sz w:val="12"/>
                <w:szCs w:val="12"/>
                <w:b w:val="1"/>
                <w:bCs w:val="1"/>
                <w:color w:val="auto"/>
              </w:rPr>
              <w:t>Net assets, June 30</w:t>
            </w:r>
          </w:p>
        </w:tc>
        <w:tc>
          <w:tcPr>
            <w:tcW w:w="780" w:type="dxa"/>
            <w:vAlign w:val="bottom"/>
          </w:tcPr>
          <w:p>
            <w:pPr>
              <w:jc w:val="right"/>
              <w:ind w:right="644"/>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96"/>
              </w:rPr>
              <w:t>368,095</w:t>
            </w:r>
          </w:p>
        </w:tc>
        <w:tc>
          <w:tcPr>
            <w:tcW w:w="10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277,859</w:t>
            </w:r>
          </w:p>
        </w:tc>
      </w:tr>
    </w:tbl>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040"/>
          </w:cols>
          <w:pgMar w:left="300" w:top="140" w:right="559" w:bottom="1440" w:gutter="0" w:footer="0" w:header="0"/>
        </w:sectPr>
      </w:pPr>
    </w:p>
    <w:bookmarkStart w:id="5" w:name="page6"/>
    <w:bookmarkEnd w:id="5"/>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33"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33"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(Unaudited)</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1"/>
          <w:szCs w:val="11"/>
          <w:color w:val="auto"/>
        </w:rPr>
        <w:t>(In thousands)</w:t>
      </w:r>
    </w:p>
    <w:p>
      <w:pPr>
        <w:spacing w:after="0" w:line="10" w:lineRule="exact"/>
        <w:rPr>
          <w:sz w:val="20"/>
          <w:szCs w:val="20"/>
          <w:color w:val="auto"/>
        </w:rPr>
      </w:pPr>
    </w:p>
    <w:tbl>
      <w:tblPr>
        <w:tblLayout w:type="fixed"/>
        <w:tblInd w:w="140" w:type="dxa"/>
        <w:tblCellMar>
          <w:top w:w="0" w:type="dxa"/>
          <w:left w:w="0" w:type="dxa"/>
          <w:bottom w:w="0" w:type="dxa"/>
          <w:right w:w="0" w:type="dxa"/>
        </w:tblCellMar>
      </w:tblPr>
      <w:tr>
        <w:trPr>
          <w:trHeight w:val="123"/>
        </w:trPr>
        <w:tc>
          <w:tcPr>
            <w:tcW w:w="8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700" w:type="dxa"/>
            <w:vAlign w:val="bottom"/>
          </w:tcPr>
          <w:p>
            <w:pPr>
              <w:spacing w:after="0"/>
              <w:rPr>
                <w:sz w:val="10"/>
                <w:szCs w:val="10"/>
                <w:color w:val="auto"/>
              </w:rPr>
            </w:pPr>
          </w:p>
        </w:tc>
      </w:tr>
      <w:tr>
        <w:trPr>
          <w:trHeight w:val="129"/>
        </w:trPr>
        <w:tc>
          <w:tcPr>
            <w:tcW w:w="86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0"/>
                <w:szCs w:val="10"/>
                <w:b w:val="1"/>
                <w:bCs w:val="1"/>
                <w:color w:val="auto"/>
              </w:rPr>
              <w:t>June 30,</w:t>
            </w:r>
          </w:p>
        </w:tc>
        <w:tc>
          <w:tcPr>
            <w:tcW w:w="700" w:type="dxa"/>
            <w:vAlign w:val="bottom"/>
            <w:tcBorders>
              <w:bottom w:val="single" w:sz="8" w:color="auto"/>
            </w:tcBorders>
          </w:tcPr>
          <w:p>
            <w:pPr>
              <w:spacing w:after="0"/>
              <w:rPr>
                <w:sz w:val="11"/>
                <w:szCs w:val="11"/>
                <w:color w:val="auto"/>
              </w:rPr>
            </w:pPr>
          </w:p>
        </w:tc>
      </w:tr>
      <w:tr>
        <w:trPr>
          <w:trHeight w:val="118"/>
        </w:trPr>
        <w:tc>
          <w:tcPr>
            <w:tcW w:w="86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w w:val="98"/>
              </w:rPr>
              <w:t>2020</w:t>
            </w:r>
          </w:p>
        </w:tc>
      </w:tr>
      <w:tr>
        <w:trPr>
          <w:trHeight w:val="134"/>
        </w:trPr>
        <w:tc>
          <w:tcPr>
            <w:tcW w:w="86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Cash flows from operating activities</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3"/>
        </w:trPr>
        <w:tc>
          <w:tcPr>
            <w:tcW w:w="8680" w:type="dxa"/>
            <w:vAlign w:val="bottom"/>
          </w:tcPr>
          <w:p>
            <w:pPr>
              <w:spacing w:after="0"/>
              <w:rPr>
                <w:sz w:val="20"/>
                <w:szCs w:val="20"/>
                <w:color w:val="auto"/>
              </w:rPr>
            </w:pPr>
            <w:r>
              <w:rPr>
                <w:rFonts w:ascii="Arial" w:cs="Arial" w:eastAsia="Arial" w:hAnsi="Arial"/>
                <w:sz w:val="12"/>
                <w:szCs w:val="12"/>
                <w:color w:val="auto"/>
              </w:rPr>
              <w:t>Net increase in net assets from operations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15,142</w:t>
            </w:r>
          </w:p>
        </w:tc>
        <w:tc>
          <w:tcPr>
            <w:tcW w:w="8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8,877</w:t>
            </w:r>
          </w:p>
        </w:tc>
      </w:tr>
      <w:tr>
        <w:trPr>
          <w:trHeight w:val="153"/>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increase in net assets from operations to net cash used in operating activities: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3"/>
        </w:trPr>
        <w:tc>
          <w:tcPr>
            <w:tcW w:w="8680" w:type="dxa"/>
            <w:vAlign w:val="bottom"/>
          </w:tcPr>
          <w:p>
            <w:pPr>
              <w:ind w:left="140"/>
              <w:spacing w:after="0"/>
              <w:rPr>
                <w:sz w:val="20"/>
                <w:szCs w:val="20"/>
                <w:color w:val="auto"/>
              </w:rPr>
            </w:pPr>
            <w:r>
              <w:rPr>
                <w:rFonts w:ascii="Arial" w:cs="Arial" w:eastAsia="Arial" w:hAnsi="Arial"/>
                <w:sz w:val="12"/>
                <w:szCs w:val="12"/>
                <w:color w:val="auto"/>
              </w:rPr>
              <w:t>Purchases and originations of investments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(107,285)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(37,757)</w:t>
            </w:r>
          </w:p>
        </w:tc>
      </w:tr>
      <w:tr>
        <w:trPr>
          <w:trHeight w:val="153"/>
        </w:trPr>
        <w:tc>
          <w:tcPr>
            <w:tcW w:w="8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Proceeds from sales and repayments of debt investments in portfolio companies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4,120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7,624</w:t>
            </w:r>
          </w:p>
        </w:tc>
      </w:tr>
      <w:tr>
        <w:trPr>
          <w:trHeight w:val="153"/>
        </w:trPr>
        <w:tc>
          <w:tcPr>
            <w:tcW w:w="8680" w:type="dxa"/>
            <w:vAlign w:val="bottom"/>
          </w:tcPr>
          <w:p>
            <w:pPr>
              <w:ind w:left="140"/>
              <w:spacing w:after="0"/>
              <w:rPr>
                <w:sz w:val="20"/>
                <w:szCs w:val="20"/>
                <w:color w:val="auto"/>
              </w:rPr>
            </w:pPr>
            <w:r>
              <w:rPr>
                <w:rFonts w:ascii="Arial" w:cs="Arial" w:eastAsia="Arial" w:hAnsi="Arial"/>
                <w:sz w:val="12"/>
                <w:szCs w:val="12"/>
                <w:color w:val="auto"/>
              </w:rPr>
              <w:t>Proceeds from sales and return of capital of equity investments in portfolio companies</w:t>
            </w:r>
          </w:p>
        </w:tc>
        <w:tc>
          <w:tcPr>
            <w:tcW w:w="28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1,632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Payment of accreted original issue discounts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868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502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453</w:t>
            </w:r>
          </w:p>
        </w:tc>
      </w:tr>
      <w:tr>
        <w:trPr>
          <w:trHeight w:val="153"/>
        </w:trPr>
        <w:tc>
          <w:tcPr>
            <w:tcW w:w="8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pension benefit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53"/>
        </w:trPr>
        <w:tc>
          <w:tcPr>
            <w:tcW w:w="8680" w:type="dxa"/>
            <w:vAlign w:val="bottom"/>
          </w:tcPr>
          <w:p>
            <w:pPr>
              <w:ind w:left="140"/>
              <w:spacing w:after="0"/>
              <w:rPr>
                <w:sz w:val="20"/>
                <w:szCs w:val="20"/>
                <w:color w:val="auto"/>
              </w:rPr>
            </w:pPr>
            <w:r>
              <w:rPr>
                <w:rFonts w:ascii="Arial" w:cs="Arial" w:eastAsia="Arial" w:hAnsi="Arial"/>
                <w:sz w:val="12"/>
                <w:szCs w:val="12"/>
                <w:color w:val="auto"/>
              </w:rPr>
              <w:t>Realized loss (gain) on investments before income tax</w:t>
            </w:r>
          </w:p>
        </w:tc>
        <w:tc>
          <w:tcPr>
            <w:tcW w:w="28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1,135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5,560</w:t>
            </w:r>
          </w:p>
        </w:tc>
      </w:tr>
      <w:tr>
        <w:trPr>
          <w:trHeight w:val="153"/>
        </w:trPr>
        <w:tc>
          <w:tcPr>
            <w:tcW w:w="8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unrealized (appreciation) depreciation on investments before income tax</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(8,129)</w:t>
            </w:r>
          </w:p>
        </w:tc>
      </w:tr>
      <w:tr>
        <w:trPr>
          <w:trHeight w:val="153"/>
        </w:trPr>
        <w:tc>
          <w:tcPr>
            <w:tcW w:w="8680" w:type="dxa"/>
            <w:vAlign w:val="bottom"/>
          </w:tcPr>
          <w:p>
            <w:pPr>
              <w:ind w:left="140"/>
              <w:spacing w:after="0"/>
              <w:rPr>
                <w:sz w:val="20"/>
                <w:szCs w:val="20"/>
                <w:color w:val="auto"/>
              </w:rPr>
            </w:pPr>
            <w:r>
              <w:rPr>
                <w:rFonts w:ascii="Arial" w:cs="Arial" w:eastAsia="Arial" w:hAnsi="Arial"/>
                <w:sz w:val="12"/>
                <w:szCs w:val="12"/>
                <w:color w:val="auto"/>
              </w:rPr>
              <w:t>Accretion of discounts on investments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(688)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(519)</w:t>
            </w:r>
          </w:p>
        </w:tc>
      </w:tr>
      <w:tr>
        <w:trPr>
          <w:trHeight w:val="153"/>
        </w:trPr>
        <w:tc>
          <w:tcPr>
            <w:tcW w:w="8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Payment-in-kind interest and dividends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r>
      <w:tr>
        <w:trPr>
          <w:trHeight w:val="153"/>
        </w:trPr>
        <w:tc>
          <w:tcPr>
            <w:tcW w:w="8680" w:type="dxa"/>
            <w:vAlign w:val="bottom"/>
          </w:tcPr>
          <w:p>
            <w:pPr>
              <w:ind w:left="140"/>
              <w:spacing w:after="0"/>
              <w:rPr>
                <w:sz w:val="20"/>
                <w:szCs w:val="20"/>
                <w:color w:val="auto"/>
              </w:rPr>
            </w:pPr>
            <w:r>
              <w:rPr>
                <w:rFonts w:ascii="Arial" w:cs="Arial" w:eastAsia="Arial" w:hAnsi="Arial"/>
                <w:sz w:val="12"/>
                <w:szCs w:val="12"/>
                <w:color w:val="auto"/>
              </w:rPr>
              <w:t>Share-based compensation expense</w:t>
            </w:r>
          </w:p>
        </w:tc>
        <w:tc>
          <w:tcPr>
            <w:tcW w:w="28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1,076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612</w:t>
            </w:r>
          </w:p>
        </w:tc>
      </w:tr>
      <w:tr>
        <w:trPr>
          <w:trHeight w:val="153"/>
        </w:trPr>
        <w:tc>
          <w:tcPr>
            <w:tcW w:w="8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income taxes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631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w:t>
            </w:r>
          </w:p>
        </w:tc>
      </w:tr>
      <w:tr>
        <w:trPr>
          <w:trHeight w:val="153"/>
        </w:trPr>
        <w:tc>
          <w:tcPr>
            <w:tcW w:w="8680" w:type="dxa"/>
            <w:vAlign w:val="bottom"/>
          </w:tcPr>
          <w:p>
            <w:pPr>
              <w:ind w:left="140"/>
              <w:spacing w:after="0"/>
              <w:rPr>
                <w:sz w:val="20"/>
                <w:szCs w:val="20"/>
                <w:color w:val="auto"/>
              </w:rPr>
            </w:pPr>
            <w:r>
              <w:rPr>
                <w:rFonts w:ascii="Arial" w:cs="Arial" w:eastAsia="Arial" w:hAnsi="Arial"/>
                <w:sz w:val="12"/>
                <w:szCs w:val="12"/>
                <w:color w:val="auto"/>
              </w:rPr>
              <w:t>Changes in other assets and liabilities: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8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(Increase) decrease in dividend and interest receivable</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w:t>
            </w:r>
          </w:p>
        </w:tc>
      </w:tr>
      <w:tr>
        <w:trPr>
          <w:trHeight w:val="153"/>
        </w:trPr>
        <w:tc>
          <w:tcPr>
            <w:tcW w:w="8680" w:type="dxa"/>
            <w:vAlign w:val="bottom"/>
          </w:tcPr>
          <w:p>
            <w:pPr>
              <w:ind w:left="220"/>
              <w:spacing w:after="0"/>
              <w:rPr>
                <w:sz w:val="20"/>
                <w:szCs w:val="20"/>
                <w:color w:val="auto"/>
              </w:rPr>
            </w:pPr>
            <w:r>
              <w:rPr>
                <w:rFonts w:ascii="Arial" w:cs="Arial" w:eastAsia="Arial" w:hAnsi="Arial"/>
                <w:sz w:val="12"/>
                <w:szCs w:val="12"/>
                <w:color w:val="auto"/>
              </w:rPr>
              <w:t>Decrease in escrow receivables</w:t>
            </w:r>
          </w:p>
        </w:tc>
        <w:tc>
          <w:tcPr>
            <w:tcW w:w="28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209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493</w:t>
            </w:r>
          </w:p>
        </w:tc>
      </w:tr>
      <w:tr>
        <w:trPr>
          <w:trHeight w:val="153"/>
        </w:trPr>
        <w:tc>
          <w:tcPr>
            <w:tcW w:w="8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Decrease (increase) in tax receivable</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r>
      <w:tr>
        <w:trPr>
          <w:trHeight w:val="153"/>
        </w:trPr>
        <w:tc>
          <w:tcPr>
            <w:tcW w:w="8680" w:type="dxa"/>
            <w:vAlign w:val="bottom"/>
          </w:tcPr>
          <w:p>
            <w:pPr>
              <w:ind w:left="220"/>
              <w:spacing w:after="0"/>
              <w:rPr>
                <w:sz w:val="20"/>
                <w:szCs w:val="20"/>
                <w:color w:val="auto"/>
              </w:rPr>
            </w:pPr>
            <w:r>
              <w:rPr>
                <w:rFonts w:ascii="Arial" w:cs="Arial" w:eastAsia="Arial" w:hAnsi="Arial"/>
                <w:sz w:val="12"/>
                <w:szCs w:val="12"/>
                <w:color w:val="auto"/>
              </w:rPr>
              <w:t>Increase in other receivables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(4,936)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(151)</w:t>
            </w:r>
          </w:p>
        </w:tc>
      </w:tr>
      <w:tr>
        <w:trPr>
          <w:trHeight w:val="153"/>
        </w:trPr>
        <w:tc>
          <w:tcPr>
            <w:tcW w:w="8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Decrease in other assets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r>
      <w:tr>
        <w:trPr>
          <w:trHeight w:val="153"/>
        </w:trPr>
        <w:tc>
          <w:tcPr>
            <w:tcW w:w="8680" w:type="dxa"/>
            <w:vAlign w:val="bottom"/>
          </w:tcPr>
          <w:p>
            <w:pPr>
              <w:ind w:left="220"/>
              <w:spacing w:after="0"/>
              <w:rPr>
                <w:sz w:val="20"/>
                <w:szCs w:val="20"/>
                <w:color w:val="auto"/>
              </w:rPr>
            </w:pPr>
            <w:r>
              <w:rPr>
                <w:rFonts w:ascii="Arial" w:cs="Arial" w:eastAsia="Arial" w:hAnsi="Arial"/>
                <w:sz w:val="12"/>
                <w:szCs w:val="12"/>
                <w:color w:val="auto"/>
              </w:rPr>
              <w:t>Increase (decrease) in taxes payable</w:t>
            </w:r>
          </w:p>
        </w:tc>
        <w:tc>
          <w:tcPr>
            <w:tcW w:w="28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53"/>
        </w:trPr>
        <w:tc>
          <w:tcPr>
            <w:tcW w:w="8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Decrease in other liabilities</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(2,277)</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w:t>
            </w:r>
          </w:p>
        </w:tc>
      </w:tr>
      <w:tr>
        <w:trPr>
          <w:trHeight w:val="142"/>
        </w:trPr>
        <w:tc>
          <w:tcPr>
            <w:tcW w:w="8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used in operating activities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(100,293)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(22,899)</w:t>
            </w:r>
          </w:p>
        </w:tc>
      </w:tr>
      <w:tr>
        <w:trPr>
          <w:trHeight w:val="133"/>
        </w:trPr>
        <w:tc>
          <w:tcPr>
            <w:tcW w:w="86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3"/>
        </w:trPr>
        <w:tc>
          <w:tcPr>
            <w:tcW w:w="8680" w:type="dxa"/>
            <w:vAlign w:val="bottom"/>
          </w:tcPr>
          <w:p>
            <w:pPr>
              <w:ind w:left="140"/>
              <w:spacing w:after="0"/>
              <w:rPr>
                <w:sz w:val="20"/>
                <w:szCs w:val="20"/>
                <w:color w:val="auto"/>
              </w:rPr>
            </w:pPr>
            <w:r>
              <w:rPr>
                <w:rFonts w:ascii="Arial" w:cs="Arial" w:eastAsia="Arial" w:hAnsi="Arial"/>
                <w:sz w:val="12"/>
                <w:szCs w:val="12"/>
                <w:color w:val="auto"/>
              </w:rPr>
              <w:t>Proceeds from common stock offering</w:t>
            </w:r>
          </w:p>
        </w:tc>
        <w:tc>
          <w:tcPr>
            <w:tcW w:w="28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27,696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5,624</w:t>
            </w:r>
          </w:p>
        </w:tc>
      </w:tr>
      <w:tr>
        <w:trPr>
          <w:trHeight w:val="153"/>
        </w:trPr>
        <w:tc>
          <w:tcPr>
            <w:tcW w:w="8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Borrowings under credit facility</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70,000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28,000</w:t>
            </w:r>
          </w:p>
        </w:tc>
      </w:tr>
      <w:tr>
        <w:trPr>
          <w:trHeight w:val="153"/>
        </w:trPr>
        <w:tc>
          <w:tcPr>
            <w:tcW w:w="8680" w:type="dxa"/>
            <w:vAlign w:val="bottom"/>
          </w:tcPr>
          <w:p>
            <w:pPr>
              <w:ind w:left="140"/>
              <w:spacing w:after="0"/>
              <w:rPr>
                <w:sz w:val="20"/>
                <w:szCs w:val="20"/>
                <w:color w:val="auto"/>
              </w:rPr>
            </w:pPr>
            <w:r>
              <w:rPr>
                <w:rFonts w:ascii="Arial" w:cs="Arial" w:eastAsia="Arial" w:hAnsi="Arial"/>
                <w:sz w:val="12"/>
                <w:szCs w:val="12"/>
                <w:color w:val="auto"/>
              </w:rPr>
              <w:t>Debt issuance costs paid</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(404)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Dividends to shareholders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(11,528)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(9,480)</w:t>
            </w:r>
          </w:p>
        </w:tc>
      </w:tr>
      <w:tr>
        <w:trPr>
          <w:trHeight w:val="153"/>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Common stock withheld for payroll taxes upon vesting of restricted stock</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42"/>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85,223</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24,141</w:t>
            </w:r>
          </w:p>
        </w:tc>
      </w:tr>
      <w:tr>
        <w:trPr>
          <w:trHeight w:val="142"/>
        </w:trPr>
        <w:tc>
          <w:tcPr>
            <w:tcW w:w="8680" w:type="dxa"/>
            <w:vAlign w:val="bottom"/>
          </w:tcPr>
          <w:p>
            <w:pPr>
              <w:spacing w:after="0"/>
              <w:rPr>
                <w:sz w:val="20"/>
                <w:szCs w:val="20"/>
                <w:color w:val="auto"/>
              </w:rPr>
            </w:pPr>
            <w:r>
              <w:rPr>
                <w:rFonts w:ascii="Arial" w:cs="Arial" w:eastAsia="Arial" w:hAnsi="Arial"/>
                <w:sz w:val="12"/>
                <w:szCs w:val="12"/>
                <w:color w:val="auto"/>
              </w:rPr>
              <w:t>Net (decrease) increase in cash and cash equivalents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(15,070)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1,242</w:t>
            </w:r>
          </w:p>
        </w:tc>
      </w:tr>
      <w:tr>
        <w:trPr>
          <w:trHeight w:val="153"/>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31,613</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13,744</w:t>
            </w:r>
          </w:p>
        </w:tc>
      </w:tr>
      <w:tr>
        <w:trPr>
          <w:trHeight w:val="158"/>
        </w:trPr>
        <w:tc>
          <w:tcPr>
            <w:tcW w:w="8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at end of period</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16,543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14,986</w:t>
            </w:r>
          </w:p>
        </w:tc>
      </w:tr>
      <w:tr>
        <w:trPr>
          <w:trHeight w:val="135"/>
        </w:trPr>
        <w:tc>
          <w:tcPr>
            <w:tcW w:w="86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Supplemental cash flow disclosures:</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3"/>
        </w:trPr>
        <w:tc>
          <w:tcPr>
            <w:tcW w:w="8680" w:type="dxa"/>
            <w:vAlign w:val="bottom"/>
          </w:tcPr>
          <w:p>
            <w:pPr>
              <w:spacing w:after="0"/>
              <w:rPr>
                <w:sz w:val="20"/>
                <w:szCs w:val="20"/>
                <w:color w:val="auto"/>
              </w:rPr>
            </w:pPr>
            <w:r>
              <w:rPr>
                <w:rFonts w:ascii="Arial" w:cs="Arial" w:eastAsia="Arial" w:hAnsi="Arial"/>
                <w:sz w:val="12"/>
                <w:szCs w:val="12"/>
                <w:color w:val="auto"/>
              </w:rPr>
              <w:t>Cash paid for income taxes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379</w:t>
            </w:r>
          </w:p>
        </w:tc>
      </w:tr>
      <w:tr>
        <w:trPr>
          <w:trHeight w:val="153"/>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Cash paid for interest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4,539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160"/>
          </w:cols>
          <w:pgMar w:left="300" w:top="140" w:right="439" w:bottom="1440" w:gutter="0" w:footer="0" w:header="0"/>
        </w:sectPr>
      </w:pPr>
    </w:p>
    <w:bookmarkStart w:id="6" w:name="page7"/>
    <w:bookmarkEnd w:id="6"/>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June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Industry</w:t>
            </w:r>
          </w:p>
        </w:tc>
        <w:tc>
          <w:tcPr>
            <w:tcW w:w="6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86"/>
              </w:rPr>
              <w:t>Acquisition Date</w:t>
            </w:r>
            <w:r>
              <w:rPr>
                <w:rFonts w:ascii="Arial" w:cs="Arial" w:eastAsia="Arial" w:hAnsi="Arial"/>
                <w:sz w:val="12"/>
                <w:szCs w:val="12"/>
                <w:b w:val="1"/>
                <w:bCs w:val="1"/>
                <w:color w:val="auto"/>
                <w:w w:val="86"/>
                <w:vertAlign w:val="superscript"/>
              </w:rPr>
              <w:t>14</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Maturity</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Principal</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95"/>
              </w:rPr>
              <w:t>Fair Value</w:t>
            </w:r>
            <w:r>
              <w:rPr>
                <w:rFonts w:ascii="Arial" w:cs="Arial" w:eastAsia="Arial" w:hAnsi="Arial"/>
                <w:sz w:val="12"/>
                <w:szCs w:val="12"/>
                <w:b w:val="1"/>
                <w:bCs w:val="1"/>
                <w:color w:val="auto"/>
                <w:w w:val="95"/>
                <w:vertAlign w:val="superscript"/>
              </w:rPr>
              <w:t>4</w:t>
            </w:r>
          </w:p>
        </w:tc>
        <w:tc>
          <w:tcPr>
            <w:tcW w:w="0" w:type="dxa"/>
            <w:vAlign w:val="bottom"/>
          </w:tcPr>
          <w:p>
            <w:pPr>
              <w:spacing w:after="0"/>
              <w:rPr>
                <w:sz w:val="1"/>
                <w:szCs w:val="1"/>
                <w:color w:val="auto"/>
              </w:rPr>
            </w:pPr>
          </w:p>
        </w:tc>
      </w:tr>
      <w:tr>
        <w:trPr>
          <w:trHeight w:val="133"/>
        </w:trPr>
        <w:tc>
          <w:tcPr>
            <w:tcW w:w="2180" w:type="dxa"/>
            <w:vAlign w:val="bottom"/>
            <w:gridSpan w:val="2"/>
            <w:shd w:val="clear" w:color="auto" w:fill="CCEEFF"/>
          </w:tcPr>
          <w:p>
            <w:pPr>
              <w:spacing w:after="0" w:line="133" w:lineRule="exact"/>
              <w:rPr>
                <w:sz w:val="20"/>
                <w:szCs w:val="20"/>
                <w:color w:val="auto"/>
              </w:rPr>
            </w:pPr>
            <w:r>
              <w:rPr>
                <w:rFonts w:ascii="Arial" w:cs="Arial" w:eastAsia="Arial" w:hAnsi="Arial"/>
                <w:sz w:val="10"/>
                <w:szCs w:val="10"/>
                <w:b w:val="1"/>
                <w:bCs w:val="1"/>
                <w:color w:val="auto"/>
              </w:rPr>
              <w:t>Non-control/Non-affiliate Investments</w:t>
            </w:r>
            <w:r>
              <w:rPr>
                <w:rFonts w:ascii="Arial" w:cs="Arial" w:eastAsia="Arial" w:hAnsi="Arial"/>
                <w:sz w:val="12"/>
                <w:szCs w:val="12"/>
                <w:b w:val="1"/>
                <w:bCs w:val="1"/>
                <w:color w:val="auto"/>
                <w:vertAlign w:val="superscript"/>
              </w:rPr>
              <w:t>5</w:t>
            </w: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AAC NEW HOLDCO INC.</w:t>
            </w:r>
          </w:p>
        </w:tc>
        <w:tc>
          <w:tcPr>
            <w:tcW w:w="1540" w:type="dxa"/>
            <w:vAlign w:val="bottom"/>
            <w:gridSpan w:val="2"/>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tcPr>
          <w:p>
            <w:pPr>
              <w:ind w:left="20"/>
              <w:spacing w:after="0"/>
              <w:rPr>
                <w:sz w:val="20"/>
                <w:szCs w:val="20"/>
                <w:color w:val="auto"/>
              </w:rPr>
            </w:pPr>
            <w:r>
              <w:rPr>
                <w:rFonts w:ascii="Arial" w:cs="Arial" w:eastAsia="Arial" w:hAnsi="Arial"/>
                <w:sz w:val="10"/>
                <w:szCs w:val="10"/>
                <w:color w:val="auto"/>
              </w:rPr>
              <w:t>Healthcare services</w:t>
            </w: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10.00%, 8.00% PIK</w:t>
            </w:r>
          </w:p>
        </w:tc>
        <w:tc>
          <w:tcPr>
            <w:tcW w:w="820" w:type="dxa"/>
            <w:vAlign w:val="bottom"/>
          </w:tcPr>
          <w:p>
            <w:pPr>
              <w:jc w:val="center"/>
              <w:spacing w:after="0"/>
              <w:rPr>
                <w:sz w:val="20"/>
                <w:szCs w:val="20"/>
                <w:color w:val="auto"/>
              </w:rPr>
            </w:pPr>
            <w:r>
              <w:rPr>
                <w:rFonts w:ascii="Arial" w:cs="Arial" w:eastAsia="Arial" w:hAnsi="Arial"/>
                <w:sz w:val="10"/>
                <w:szCs w:val="10"/>
                <w:color w:val="auto"/>
                <w:w w:val="87"/>
              </w:rPr>
              <w:t>12/11/2020</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85"/>
              </w:rPr>
              <w:t>6/25/2025</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8,144</w:t>
            </w:r>
          </w:p>
        </w:tc>
        <w:tc>
          <w:tcPr>
            <w:tcW w:w="6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8,144</w:t>
            </w:r>
          </w:p>
        </w:tc>
        <w:tc>
          <w:tcPr>
            <w:tcW w:w="8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7,899</w:t>
            </w:r>
          </w:p>
        </w:tc>
        <w:tc>
          <w:tcPr>
            <w:tcW w:w="0" w:type="dxa"/>
            <w:vAlign w:val="bottom"/>
          </w:tcPr>
          <w:p>
            <w:pPr>
              <w:spacing w:after="0"/>
              <w:rPr>
                <w:sz w:val="1"/>
                <w:szCs w:val="1"/>
                <w:color w:val="auto"/>
              </w:rPr>
            </w:pPr>
          </w:p>
        </w:tc>
      </w:tr>
      <w:tr>
        <w:trPr>
          <w:trHeight w:val="127"/>
        </w:trPr>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374,543 shares common stock</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12/11/2020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2,198</w:t>
            </w: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tcPr>
          <w:p>
            <w:pPr>
              <w:ind w:left="20"/>
              <w:spacing w:after="0" w:line="90" w:lineRule="exact"/>
              <w:rPr>
                <w:sz w:val="20"/>
                <w:szCs w:val="20"/>
                <w:color w:val="auto"/>
              </w:rPr>
            </w:pPr>
            <w:r>
              <w:rPr>
                <w:rFonts w:ascii="Arial" w:cs="Arial" w:eastAsia="Arial" w:hAnsi="Arial"/>
                <w:sz w:val="10"/>
                <w:szCs w:val="10"/>
                <w:color w:val="auto"/>
                <w:w w:val="92"/>
              </w:rPr>
              <w:t>Warrants (Expiration - December 11,</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12/11/2020</w:t>
            </w:r>
          </w:p>
        </w:tc>
        <w:tc>
          <w:tcPr>
            <w:tcW w:w="60" w:type="dxa"/>
            <w:vAlign w:val="bottom"/>
          </w:tcPr>
          <w:p>
            <w:pPr>
              <w:spacing w:after="0"/>
              <w:rPr>
                <w:sz w:val="7"/>
                <w:szCs w:val="7"/>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7"/>
                <w:szCs w:val="7"/>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1,785</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1,785</w:t>
            </w:r>
          </w:p>
        </w:tc>
        <w:tc>
          <w:tcPr>
            <w:tcW w:w="0" w:type="dxa"/>
            <w:vAlign w:val="bottom"/>
          </w:tcPr>
          <w:p>
            <w:pPr>
              <w:spacing w:after="0"/>
              <w:rPr>
                <w:sz w:val="1"/>
                <w:szCs w:val="1"/>
                <w:color w:val="auto"/>
              </w:rPr>
            </w:pPr>
          </w:p>
        </w:tc>
      </w:tr>
      <w:tr>
        <w:trPr>
          <w:trHeight w:val="124"/>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2025)</w:t>
            </w:r>
          </w:p>
        </w:tc>
        <w:tc>
          <w:tcPr>
            <w:tcW w:w="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vMerge w:val="continue"/>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gridSpan w:val="2"/>
            <w:vMerge w:val="continue"/>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gridSpan w:val="2"/>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12,127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11,882</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ACCELERATION PARTNERS, LLC</w:t>
            </w:r>
            <w:r>
              <w:rPr>
                <w:rFonts w:ascii="Arial" w:cs="Arial" w:eastAsia="Arial" w:hAnsi="Arial"/>
                <w:sz w:val="12"/>
                <w:szCs w:val="12"/>
                <w:b w:val="1"/>
                <w:bCs w:val="1"/>
                <w:color w:val="auto"/>
                <w:vertAlign w:val="superscript"/>
              </w:rPr>
              <w:t>8,13</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tcPr>
          <w:p>
            <w:pPr>
              <w:ind w:left="20"/>
              <w:spacing w:after="0" w:line="90" w:lineRule="exact"/>
              <w:rPr>
                <w:sz w:val="20"/>
                <w:szCs w:val="20"/>
                <w:color w:val="auto"/>
              </w:rPr>
            </w:pPr>
            <w:r>
              <w:rPr>
                <w:rFonts w:ascii="Arial" w:cs="Arial" w:eastAsia="Arial" w:hAnsi="Arial"/>
                <w:sz w:val="10"/>
                <w:szCs w:val="10"/>
                <w:color w:val="auto"/>
              </w:rPr>
              <w:t>Media, marketing &amp;</w:t>
            </w: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L+8.20%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12/1/2020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12/1/2025</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8,750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8,511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8,750</w:t>
            </w:r>
          </w:p>
        </w:tc>
        <w:tc>
          <w:tcPr>
            <w:tcW w:w="0" w:type="dxa"/>
            <w:vAlign w:val="bottom"/>
          </w:tcPr>
          <w:p>
            <w:pPr>
              <w:spacing w:after="0"/>
              <w:rPr>
                <w:sz w:val="1"/>
                <w:szCs w:val="1"/>
                <w:color w:val="auto"/>
              </w:rPr>
            </w:pPr>
          </w:p>
        </w:tc>
      </w:tr>
      <w:tr>
        <w:trPr>
          <w:trHeight w:val="126"/>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tcPr>
          <w:p>
            <w:pPr>
              <w:ind w:left="20"/>
              <w:spacing w:after="0"/>
              <w:rPr>
                <w:sz w:val="20"/>
                <w:szCs w:val="20"/>
                <w:color w:val="auto"/>
              </w:rPr>
            </w:pPr>
            <w:r>
              <w:rPr>
                <w:rFonts w:ascii="Arial" w:cs="Arial" w:eastAsia="Arial" w:hAnsi="Arial"/>
                <w:sz w:val="10"/>
                <w:szCs w:val="10"/>
                <w:color w:val="auto"/>
              </w:rPr>
              <w:t>entertainment</w:t>
            </w: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9.20%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9"/>
              </w:rPr>
              <w:t>L+8.20%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12/1/2020</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12/1/2025</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3,125</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3,048</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3,125</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9.20%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1,000 Preferred Units</w:t>
            </w:r>
            <w:r>
              <w:rPr>
                <w:rFonts w:ascii="Arial" w:cs="Arial" w:eastAsia="Arial" w:hAnsi="Arial"/>
                <w:sz w:val="12"/>
                <w:szCs w:val="12"/>
                <w:color w:val="auto"/>
                <w:vertAlign w:val="superscript"/>
              </w:rPr>
              <w:t>9</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12/1/2020</w:t>
            </w:r>
          </w:p>
        </w:tc>
        <w:tc>
          <w:tcPr>
            <w:tcW w:w="6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0"/>
                <w:szCs w:val="10"/>
                <w:color w:val="auto"/>
              </w:rPr>
              <w:t>1,000 Class A Common Units</w:t>
            </w:r>
            <w:r>
              <w:rPr>
                <w:rFonts w:ascii="Arial" w:cs="Arial" w:eastAsia="Arial" w:hAnsi="Arial"/>
                <w:sz w:val="12"/>
                <w:szCs w:val="12"/>
                <w:color w:val="auto"/>
                <w:vertAlign w:val="superscript"/>
              </w:rPr>
              <w:t>9</w:t>
            </w: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12/1/2020</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12,559</w:t>
            </w: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12,875</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ACE GATHERING, INC.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Second Lien</w:t>
            </w:r>
            <w:r>
              <w:rPr>
                <w:rFonts w:ascii="Arial" w:cs="Arial" w:eastAsia="Arial" w:hAnsi="Arial"/>
                <w:sz w:val="12"/>
                <w:szCs w:val="12"/>
                <w:color w:val="auto"/>
                <w:vertAlign w:val="superscript"/>
              </w:rPr>
              <w:t>15</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Energy services (midstream)</w:t>
            </w: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L+8.50% (Floor 2.00%)/Q,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12/13/2018</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12/13/2023</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9,375</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9,267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9,197</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10.50%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ADAMS PUBLISHING GROUP, LLC</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tcPr>
          <w:p>
            <w:pPr>
              <w:ind w:left="20"/>
              <w:spacing w:after="0" w:line="90" w:lineRule="exact"/>
              <w:rPr>
                <w:sz w:val="20"/>
                <w:szCs w:val="20"/>
                <w:color w:val="auto"/>
              </w:rPr>
            </w:pPr>
            <w:r>
              <w:rPr>
                <w:rFonts w:ascii="Arial" w:cs="Arial" w:eastAsia="Arial" w:hAnsi="Arial"/>
                <w:sz w:val="10"/>
                <w:szCs w:val="10"/>
                <w:color w:val="auto"/>
              </w:rPr>
              <w:t>Media, marketing &amp;</w:t>
            </w: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L+7.00% (Floor 1.75%)/Q,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7/2/2018</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7/2/2023</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9,032</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8,925</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9,032</w:t>
            </w:r>
          </w:p>
        </w:tc>
        <w:tc>
          <w:tcPr>
            <w:tcW w:w="0" w:type="dxa"/>
            <w:vAlign w:val="bottom"/>
          </w:tcPr>
          <w:p>
            <w:pPr>
              <w:spacing w:after="0"/>
              <w:rPr>
                <w:sz w:val="1"/>
                <w:szCs w:val="1"/>
                <w:color w:val="auto"/>
              </w:rPr>
            </w:pPr>
          </w:p>
        </w:tc>
      </w:tr>
      <w:tr>
        <w:trPr>
          <w:trHeight w:val="124"/>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tcPr>
          <w:p>
            <w:pPr>
              <w:ind w:left="20"/>
              <w:spacing w:after="0"/>
              <w:rPr>
                <w:sz w:val="20"/>
                <w:szCs w:val="20"/>
                <w:color w:val="auto"/>
              </w:rPr>
            </w:pPr>
            <w:r>
              <w:rPr>
                <w:rFonts w:ascii="Arial" w:cs="Arial" w:eastAsia="Arial" w:hAnsi="Arial"/>
                <w:sz w:val="10"/>
                <w:szCs w:val="10"/>
                <w:color w:val="auto"/>
              </w:rPr>
              <w:t>entertainment</w:t>
            </w: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8.75%</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ALLIANCE SPORTS GROUP, L.P.</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Senior subordinated debt</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Consumer products &amp; retail</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11.00%</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8/1/2017</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2/1/2023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11,521</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11,439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11,521</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rPr>
                <w:sz w:val="20"/>
                <w:szCs w:val="20"/>
                <w:color w:val="auto"/>
              </w:rPr>
            </w:pPr>
            <w:r>
              <w:rPr>
                <w:rFonts w:ascii="Arial" w:cs="Arial" w:eastAsia="Arial" w:hAnsi="Arial"/>
                <w:sz w:val="10"/>
                <w:szCs w:val="10"/>
                <w:color w:val="auto"/>
              </w:rPr>
              <w:t>Unsecured convertible note</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8"/>
              </w:rPr>
              <w:t>6.00% PIK</w:t>
            </w: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7/15/2020</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85"/>
              </w:rPr>
              <w:t>9/30/2024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173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173</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90"/>
              </w:rPr>
              <w:t>3.88% membership preferred interest</w:t>
            </w: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8/1/2017</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2,500</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2,810</w:t>
            </w: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14,112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14,504</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ALLOVER MEDIA, LLC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Media, marketing &amp;</w:t>
            </w:r>
          </w:p>
        </w:tc>
        <w:tc>
          <w:tcPr>
            <w:tcW w:w="13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0"/>
                <w:szCs w:val="10"/>
                <w:color w:val="auto"/>
                <w:w w:val="89"/>
              </w:rPr>
              <w:t>L+8.50% (Floor 1.00%)</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3/10/2021</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3/10/2026</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entertainment</w:t>
            </w:r>
          </w:p>
        </w:tc>
        <w:tc>
          <w:tcPr>
            <w:tcW w:w="1380" w:type="dxa"/>
            <w:vAlign w:val="bottom"/>
            <w:gridSpan w:val="2"/>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L+8.50%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3/10/2021</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3/10/2026</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13,000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12,753</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13,000</w:t>
            </w:r>
          </w:p>
        </w:tc>
        <w:tc>
          <w:tcPr>
            <w:tcW w:w="0" w:type="dxa"/>
            <w:vAlign w:val="bottom"/>
          </w:tcPr>
          <w:p>
            <w:pPr>
              <w:spacing w:after="0"/>
              <w:rPr>
                <w:sz w:val="1"/>
                <w:szCs w:val="1"/>
                <w:color w:val="auto"/>
              </w:rPr>
            </w:pPr>
          </w:p>
        </w:tc>
      </w:tr>
      <w:tr>
        <w:trPr>
          <w:trHeight w:val="124"/>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vMerge w:val="continue"/>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7"/>
              </w:rPr>
              <w:t>Current Coupon 9.50%</w:t>
            </w: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12,715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13,000</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840"/>
          </w:cols>
          <w:pgMar w:left="300" w:top="140" w:right="759" w:bottom="1440" w:gutter="0" w:footer="0" w:header="0"/>
        </w:sectPr>
      </w:pPr>
    </w:p>
    <w:bookmarkStart w:id="7" w:name="page8"/>
    <w:bookmarkEnd w:id="7"/>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June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Pr>
          <w:p>
            <w:pPr>
              <w:spacing w:after="0"/>
              <w:rPr>
                <w:sz w:val="12"/>
                <w:szCs w:val="1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80" w:type="dxa"/>
            <w:vAlign w:val="bottom"/>
          </w:tcPr>
          <w:p>
            <w:pPr>
              <w:spacing w:after="0"/>
              <w:rPr>
                <w:sz w:val="12"/>
                <w:szCs w:val="12"/>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Industry</w:t>
            </w:r>
          </w:p>
        </w:tc>
        <w:tc>
          <w:tcPr>
            <w:tcW w:w="80" w:type="dxa"/>
            <w:vAlign w:val="bottom"/>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60" w:type="dxa"/>
            <w:vAlign w:val="bottom"/>
          </w:tcPr>
          <w:p>
            <w:pPr>
              <w:spacing w:after="0"/>
              <w:rPr>
                <w:sz w:val="12"/>
                <w:szCs w:val="1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86"/>
              </w:rPr>
              <w:t>Acquisition Date</w:t>
            </w:r>
            <w:r>
              <w:rPr>
                <w:rFonts w:ascii="Arial" w:cs="Arial" w:eastAsia="Arial" w:hAnsi="Arial"/>
                <w:sz w:val="12"/>
                <w:szCs w:val="12"/>
                <w:b w:val="1"/>
                <w:bCs w:val="1"/>
                <w:color w:val="auto"/>
                <w:w w:val="86"/>
                <w:vertAlign w:val="superscript"/>
              </w:rPr>
              <w:t>14</w:t>
            </w:r>
          </w:p>
        </w:tc>
        <w:tc>
          <w:tcPr>
            <w:tcW w:w="80" w:type="dxa"/>
            <w:vAlign w:val="bottom"/>
          </w:tcPr>
          <w:p>
            <w:pPr>
              <w:spacing w:after="0"/>
              <w:rPr>
                <w:sz w:val="12"/>
                <w:szCs w:val="12"/>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Maturity</w:t>
            </w: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AMERICAN NUTS OPERATIONS LLC</w:t>
            </w:r>
            <w:r>
              <w:rPr>
                <w:rFonts w:ascii="Arial" w:cs="Arial" w:eastAsia="Arial" w:hAnsi="Arial"/>
                <w:sz w:val="12"/>
                <w:szCs w:val="12"/>
                <w:b w:val="1"/>
                <w:bCs w:val="1"/>
                <w:color w:val="auto"/>
                <w:vertAlign w:val="superscript"/>
              </w:rPr>
              <w:t>13</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 - Term Loan</w:t>
            </w:r>
          </w:p>
        </w:tc>
        <w:tc>
          <w:tcPr>
            <w:tcW w:w="1380" w:type="dxa"/>
            <w:vAlign w:val="bottom"/>
            <w:gridSpan w:val="2"/>
            <w:vMerge w:val="restart"/>
          </w:tcPr>
          <w:p>
            <w:pPr>
              <w:ind w:left="20"/>
              <w:spacing w:after="0"/>
              <w:rPr>
                <w:sz w:val="20"/>
                <w:szCs w:val="20"/>
                <w:color w:val="auto"/>
              </w:rPr>
            </w:pPr>
            <w:r>
              <w:rPr>
                <w:rFonts w:ascii="Arial" w:cs="Arial" w:eastAsia="Arial" w:hAnsi="Arial"/>
                <w:sz w:val="10"/>
                <w:szCs w:val="10"/>
                <w:color w:val="auto"/>
                <w:w w:val="96"/>
              </w:rPr>
              <w:t>Food, agriculture and beverage</w:t>
            </w:r>
          </w:p>
        </w:tc>
        <w:tc>
          <w:tcPr>
            <w:tcW w:w="1300" w:type="dxa"/>
            <w:vAlign w:val="bottom"/>
          </w:tcPr>
          <w:p>
            <w:pPr>
              <w:jc w:val="center"/>
              <w:spacing w:after="0" w:line="79" w:lineRule="exact"/>
              <w:rPr>
                <w:sz w:val="20"/>
                <w:szCs w:val="20"/>
                <w:color w:val="auto"/>
              </w:rPr>
            </w:pPr>
            <w:r>
              <w:rPr>
                <w:rFonts w:ascii="Arial" w:cs="Arial" w:eastAsia="Arial" w:hAnsi="Arial"/>
                <w:sz w:val="8"/>
                <w:szCs w:val="8"/>
                <w:color w:val="auto"/>
              </w:rPr>
              <w:t>L+8.00% (Floor 1.00%)/Q,</w:t>
            </w:r>
          </w:p>
        </w:tc>
        <w:tc>
          <w:tcPr>
            <w:tcW w:w="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4/10/2018</w:t>
            </w:r>
          </w:p>
        </w:tc>
        <w:tc>
          <w:tcPr>
            <w:tcW w:w="8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4/10/2023</w:t>
            </w:r>
          </w:p>
        </w:tc>
        <w:tc>
          <w:tcPr>
            <w:tcW w:w="6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16,975</w:t>
            </w:r>
          </w:p>
        </w:tc>
        <w:tc>
          <w:tcPr>
            <w:tcW w:w="8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16,831</w:t>
            </w:r>
          </w:p>
        </w:tc>
        <w:tc>
          <w:tcPr>
            <w:tcW w:w="8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16,975</w:t>
            </w:r>
          </w:p>
        </w:tc>
        <w:tc>
          <w:tcPr>
            <w:tcW w:w="0" w:type="dxa"/>
            <w:vAlign w:val="bottom"/>
          </w:tcPr>
          <w:p>
            <w:pPr>
              <w:spacing w:after="0"/>
              <w:rPr>
                <w:sz w:val="1"/>
                <w:szCs w:val="1"/>
                <w:color w:val="auto"/>
              </w:rPr>
            </w:pPr>
          </w:p>
        </w:tc>
      </w:tr>
      <w:tr>
        <w:trPr>
          <w:trHeight w:val="126"/>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 - Term Loan C</w:t>
            </w:r>
            <w:r>
              <w:rPr>
                <w:rFonts w:ascii="Arial" w:cs="Arial" w:eastAsia="Arial" w:hAnsi="Arial"/>
                <w:sz w:val="12"/>
                <w:szCs w:val="12"/>
                <w:color w:val="auto"/>
                <w:vertAlign w:val="superscript"/>
              </w:rPr>
              <w:t>10</w:t>
            </w: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6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L+8.00%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12/21/2018</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4/10/2023</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1,804</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1,786</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1,804</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tcPr>
          <w:p>
            <w:pPr>
              <w:ind w:left="20"/>
              <w:spacing w:after="0" w:line="90" w:lineRule="exact"/>
              <w:rPr>
                <w:sz w:val="20"/>
                <w:szCs w:val="20"/>
                <w:color w:val="auto"/>
              </w:rPr>
            </w:pPr>
            <w:r>
              <w:rPr>
                <w:rFonts w:ascii="Arial" w:cs="Arial" w:eastAsia="Arial" w:hAnsi="Arial"/>
                <w:sz w:val="10"/>
                <w:szCs w:val="10"/>
                <w:color w:val="auto"/>
                <w:w w:val="94"/>
              </w:rPr>
              <w:t>3,000,000 units of Class A common</w:t>
            </w: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99"/>
              </w:rPr>
              <w:t>—</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4/10/2018</w:t>
            </w:r>
          </w:p>
        </w:tc>
        <w:tc>
          <w:tcPr>
            <w:tcW w:w="80" w:type="dxa"/>
            <w:vAlign w:val="bottom"/>
          </w:tcPr>
          <w:p>
            <w:pPr>
              <w:spacing w:after="0"/>
              <w:rPr>
                <w:sz w:val="7"/>
                <w:szCs w:val="7"/>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99"/>
              </w:rPr>
              <w:t>—</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3,000</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2,752</w:t>
            </w:r>
          </w:p>
        </w:tc>
        <w:tc>
          <w:tcPr>
            <w:tcW w:w="0" w:type="dxa"/>
            <w:vAlign w:val="bottom"/>
          </w:tcPr>
          <w:p>
            <w:pPr>
              <w:spacing w:after="0"/>
              <w:rPr>
                <w:sz w:val="1"/>
                <w:szCs w:val="1"/>
                <w:color w:val="auto"/>
              </w:rPr>
            </w:pPr>
          </w:p>
        </w:tc>
      </w:tr>
      <w:tr>
        <w:trPr>
          <w:trHeight w:val="126"/>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stock</w:t>
            </w:r>
            <w:r>
              <w:rPr>
                <w:rFonts w:ascii="Arial" w:cs="Arial" w:eastAsia="Arial" w:hAnsi="Arial"/>
                <w:sz w:val="12"/>
                <w:szCs w:val="12"/>
                <w:color w:val="auto"/>
                <w:vertAlign w:val="superscript"/>
              </w:rPr>
              <w:t>9</w:t>
            </w:r>
          </w:p>
        </w:tc>
        <w:tc>
          <w:tcPr>
            <w:tcW w:w="1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gridSpan w:val="2"/>
            <w:vMerge w:val="continue"/>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gridSpan w:val="2"/>
            <w:vMerge w:val="continue"/>
          </w:tcPr>
          <w:p>
            <w:pPr>
              <w:spacing w:after="0"/>
              <w:rPr>
                <w:sz w:val="10"/>
                <w:szCs w:val="10"/>
                <w:color w:val="auto"/>
              </w:rPr>
            </w:pPr>
          </w:p>
        </w:tc>
        <w:tc>
          <w:tcPr>
            <w:tcW w:w="900" w:type="dxa"/>
            <w:vAlign w:val="bottom"/>
            <w:tcBorders>
              <w:bottom w:val="single" w:sz="8" w:color="CCEEFF"/>
            </w:tcBorders>
            <w:gridSpan w:val="2"/>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21,617</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21,531</w:t>
            </w:r>
          </w:p>
        </w:tc>
        <w:tc>
          <w:tcPr>
            <w:tcW w:w="0" w:type="dxa"/>
            <w:vAlign w:val="bottom"/>
          </w:tcPr>
          <w:p>
            <w:pPr>
              <w:spacing w:after="0"/>
              <w:rPr>
                <w:sz w:val="1"/>
                <w:szCs w:val="1"/>
                <w:color w:val="auto"/>
              </w:rPr>
            </w:pPr>
          </w:p>
        </w:tc>
      </w:tr>
      <w:tr>
        <w:trPr>
          <w:trHeight w:val="90"/>
        </w:trPr>
        <w:tc>
          <w:tcPr>
            <w:tcW w:w="2180" w:type="dxa"/>
            <w:vAlign w:val="bottom"/>
            <w:gridSpan w:val="2"/>
          </w:tcPr>
          <w:p>
            <w:pPr>
              <w:spacing w:after="0" w:line="90" w:lineRule="exact"/>
              <w:rPr>
                <w:sz w:val="20"/>
                <w:szCs w:val="20"/>
                <w:color w:val="auto"/>
              </w:rPr>
            </w:pPr>
            <w:r>
              <w:rPr>
                <w:rFonts w:ascii="Arial" w:cs="Arial" w:eastAsia="Arial" w:hAnsi="Arial"/>
                <w:sz w:val="10"/>
                <w:szCs w:val="10"/>
                <w:b w:val="1"/>
                <w:bCs w:val="1"/>
                <w:color w:val="auto"/>
              </w:rPr>
              <w:t>AMERICAN TELECONFERENCING</w:t>
            </w: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89"/>
              </w:rPr>
              <w:t>L+6.50% (Floor 1.00%)/Q,</w:t>
            </w: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80" w:type="dxa"/>
            <w:vAlign w:val="bottom"/>
            <w:gridSpan w:val="2"/>
          </w:tcPr>
          <w:p>
            <w:pPr>
              <w:spacing w:after="0" w:line="90" w:lineRule="exact"/>
              <w:rPr>
                <w:sz w:val="20"/>
                <w:szCs w:val="20"/>
                <w:color w:val="auto"/>
              </w:rPr>
            </w:pPr>
            <w:r>
              <w:rPr>
                <w:rFonts w:ascii="Arial" w:cs="Arial" w:eastAsia="Arial" w:hAnsi="Arial"/>
                <w:sz w:val="10"/>
                <w:szCs w:val="10"/>
                <w:b w:val="1"/>
                <w:bCs w:val="1"/>
                <w:color w:val="auto"/>
              </w:rPr>
              <w:t>SERVICES, LTD. (DBA PREMIERE GLOBAL</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r>
              <w:rPr>
                <w:rFonts w:ascii="Arial" w:cs="Arial" w:eastAsia="Arial" w:hAnsi="Arial"/>
                <w:sz w:val="12"/>
                <w:szCs w:val="12"/>
                <w:color w:val="auto"/>
                <w:vertAlign w:val="superscript"/>
              </w:rPr>
              <w:t>16</w:t>
            </w:r>
          </w:p>
        </w:tc>
        <w:tc>
          <w:tcPr>
            <w:tcW w:w="1380" w:type="dxa"/>
            <w:vAlign w:val="bottom"/>
            <w:gridSpan w:val="2"/>
            <w:vMerge w:val="restart"/>
          </w:tcPr>
          <w:p>
            <w:pPr>
              <w:ind w:left="20"/>
              <w:spacing w:after="0"/>
              <w:rPr>
                <w:sz w:val="20"/>
                <w:szCs w:val="20"/>
                <w:color w:val="auto"/>
              </w:rPr>
            </w:pPr>
            <w:r>
              <w:rPr>
                <w:rFonts w:ascii="Arial" w:cs="Arial" w:eastAsia="Arial" w:hAnsi="Arial"/>
                <w:sz w:val="10"/>
                <w:szCs w:val="10"/>
                <w:color w:val="auto"/>
              </w:rPr>
              <w:t>Telecommunications</w:t>
            </w:r>
          </w:p>
        </w:tc>
        <w:tc>
          <w:tcPr>
            <w:tcW w:w="1360" w:type="dxa"/>
            <w:vAlign w:val="bottom"/>
            <w:gridSpan w:val="2"/>
            <w:vMerge w:val="continue"/>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9/21/2016</w:t>
            </w:r>
          </w:p>
        </w:tc>
        <w:tc>
          <w:tcPr>
            <w:tcW w:w="8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6/8/2023</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5,915</w:t>
            </w:r>
          </w:p>
        </w:tc>
        <w:tc>
          <w:tcPr>
            <w:tcW w:w="8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5,865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2,597</w:t>
            </w: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SERVICES, INC.)</w:t>
            </w:r>
          </w:p>
        </w:tc>
        <w:tc>
          <w:tcPr>
            <w:tcW w:w="154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7.50%</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AMWARE FULFILLMENT LLC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Distribution</w:t>
            </w:r>
          </w:p>
        </w:tc>
        <w:tc>
          <w:tcPr>
            <w:tcW w:w="136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90"/>
              </w:rPr>
              <w:t>L+9.00% (Floor 1.00%)/M,</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7/29/2016</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12/31/2021</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17,149</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17,087</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17,149</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10.00%</w:t>
            </w: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tcPr>
          <w:p>
            <w:pPr>
              <w:spacing w:after="0" w:line="90" w:lineRule="exact"/>
              <w:rPr>
                <w:sz w:val="20"/>
                <w:szCs w:val="20"/>
                <w:color w:val="auto"/>
              </w:rPr>
            </w:pPr>
            <w:r>
              <w:rPr>
                <w:rFonts w:ascii="Arial" w:cs="Arial" w:eastAsia="Arial" w:hAnsi="Arial"/>
                <w:sz w:val="10"/>
                <w:szCs w:val="10"/>
                <w:b w:val="1"/>
                <w:bCs w:val="1"/>
                <w:color w:val="auto"/>
              </w:rPr>
              <w:t>ASC ORTHO MANAGEMENT COMPANY,</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Revolving Loan</w:t>
            </w:r>
          </w:p>
        </w:tc>
        <w:tc>
          <w:tcPr>
            <w:tcW w:w="1380" w:type="dxa"/>
            <w:vAlign w:val="bottom"/>
            <w:gridSpan w:val="2"/>
            <w:vMerge w:val="restart"/>
          </w:tcPr>
          <w:p>
            <w:pPr>
              <w:ind w:left="20"/>
              <w:spacing w:after="0"/>
              <w:rPr>
                <w:sz w:val="20"/>
                <w:szCs w:val="20"/>
                <w:color w:val="auto"/>
              </w:rPr>
            </w:pPr>
            <w:r>
              <w:rPr>
                <w:rFonts w:ascii="Arial" w:cs="Arial" w:eastAsia="Arial" w:hAnsi="Arial"/>
                <w:sz w:val="10"/>
                <w:szCs w:val="10"/>
                <w:color w:val="auto"/>
              </w:rPr>
              <w:t>Healthcare services</w:t>
            </w:r>
          </w:p>
        </w:tc>
        <w:tc>
          <w:tcPr>
            <w:tcW w:w="136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L+7.50%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8/31/2018</w:t>
            </w:r>
          </w:p>
        </w:tc>
        <w:tc>
          <w:tcPr>
            <w:tcW w:w="8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8/31/2023</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1,500</w:t>
            </w:r>
          </w:p>
        </w:tc>
        <w:tc>
          <w:tcPr>
            <w:tcW w:w="8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1,487</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1,437</w:t>
            </w: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LLC</w:t>
            </w:r>
            <w:r>
              <w:rPr>
                <w:rFonts w:ascii="Arial" w:cs="Arial" w:eastAsia="Arial" w:hAnsi="Arial"/>
                <w:sz w:val="12"/>
                <w:szCs w:val="12"/>
                <w:b w:val="1"/>
                <w:bCs w:val="1"/>
                <w:color w:val="auto"/>
                <w:vertAlign w:val="superscript"/>
              </w:rPr>
              <w:t>13</w:t>
            </w:r>
          </w:p>
        </w:tc>
        <w:tc>
          <w:tcPr>
            <w:tcW w:w="154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8.50%</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6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L+7.50%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8/31/2018</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8/31/2023</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8,781</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8,692</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8,412</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8.50%</w:t>
            </w: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rPr>
                <w:sz w:val="20"/>
                <w:szCs w:val="20"/>
                <w:color w:val="auto"/>
              </w:rPr>
            </w:pPr>
            <w:r>
              <w:rPr>
                <w:rFonts w:ascii="Arial" w:cs="Arial" w:eastAsia="Arial" w:hAnsi="Arial"/>
                <w:sz w:val="10"/>
                <w:szCs w:val="10"/>
                <w:color w:val="auto"/>
              </w:rPr>
              <w:t>Second Lien</w:t>
            </w: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0"/>
                <w:szCs w:val="10"/>
                <w:color w:val="auto"/>
                <w:w w:val="90"/>
              </w:rPr>
              <w:t>13.25% PIK</w:t>
            </w:r>
          </w:p>
        </w:tc>
        <w:tc>
          <w:tcPr>
            <w:tcW w:w="820" w:type="dxa"/>
            <w:vAlign w:val="bottom"/>
          </w:tcPr>
          <w:p>
            <w:pPr>
              <w:jc w:val="center"/>
              <w:spacing w:after="0"/>
              <w:rPr>
                <w:sz w:val="20"/>
                <w:szCs w:val="20"/>
                <w:color w:val="auto"/>
              </w:rPr>
            </w:pPr>
            <w:r>
              <w:rPr>
                <w:rFonts w:ascii="Arial" w:cs="Arial" w:eastAsia="Arial" w:hAnsi="Arial"/>
                <w:sz w:val="10"/>
                <w:szCs w:val="10"/>
                <w:color w:val="auto"/>
                <w:w w:val="85"/>
              </w:rPr>
              <w:t>8/31/2018</w:t>
            </w:r>
          </w:p>
        </w:tc>
        <w:tc>
          <w:tcPr>
            <w:tcW w:w="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12/1/2023</w:t>
            </w:r>
          </w:p>
        </w:tc>
        <w:tc>
          <w:tcPr>
            <w:tcW w:w="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4,373</w:t>
            </w: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4,330</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4,040</w:t>
            </w: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2,042 Common Units</w:t>
            </w:r>
            <w:r>
              <w:rPr>
                <w:rFonts w:ascii="Arial" w:cs="Arial" w:eastAsia="Arial" w:hAnsi="Arial"/>
                <w:sz w:val="12"/>
                <w:szCs w:val="12"/>
                <w:color w:val="auto"/>
                <w:vertAlign w:val="superscript"/>
              </w:rPr>
              <w:t>9</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8/31/2018</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750</w:t>
            </w:r>
          </w:p>
        </w:tc>
        <w:tc>
          <w:tcPr>
            <w:tcW w:w="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356</w:t>
            </w: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spacing w:after="0" w:line="113" w:lineRule="exact"/>
              <w:rPr>
                <w:sz w:val="20"/>
                <w:szCs w:val="20"/>
                <w:color w:val="auto"/>
              </w:rPr>
            </w:pPr>
            <w:r>
              <w:rPr>
                <w:rFonts w:ascii="Arial" w:cs="Arial" w:eastAsia="Arial" w:hAnsi="Arial"/>
                <w:sz w:val="10"/>
                <w:szCs w:val="10"/>
                <w:color w:val="auto"/>
              </w:rPr>
              <w:t>15,259</w:t>
            </w:r>
          </w:p>
        </w:tc>
        <w:tc>
          <w:tcPr>
            <w:tcW w:w="8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14,245</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BINSWANGER HOLDING CORP.</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Distribution</w:t>
            </w:r>
          </w:p>
        </w:tc>
        <w:tc>
          <w:tcPr>
            <w:tcW w:w="136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L+8.00% (Floor 1.00%)/M,</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3/9/2017</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3/9/2022</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10,618</w:t>
            </w:r>
          </w:p>
        </w:tc>
        <w:tc>
          <w:tcPr>
            <w:tcW w:w="8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10,580</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10,618</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900,000 shares of common stock</w:t>
            </w:r>
          </w:p>
        </w:tc>
        <w:tc>
          <w:tcPr>
            <w:tcW w:w="1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3/9/2017</w:t>
            </w: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9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900</w:t>
            </w: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924</w:t>
            </w: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11,480</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11,542</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BLASCHAK ANTHRACITE CORPORATION</w:t>
            </w: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8"/>
              </w:rPr>
              <w:t>L+11.00% (Floor 1.00%)/Q,</w:t>
            </w: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continue"/>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Second Lien- Term Loan</w:t>
            </w:r>
            <w:r>
              <w:rPr>
                <w:rFonts w:ascii="Arial" w:cs="Arial" w:eastAsia="Arial" w:hAnsi="Arial"/>
                <w:sz w:val="12"/>
                <w:szCs w:val="12"/>
                <w:color w:val="auto"/>
                <w:vertAlign w:val="superscript"/>
              </w:rPr>
              <w:t>15</w:t>
            </w:r>
          </w:p>
        </w:tc>
        <w:tc>
          <w:tcPr>
            <w:tcW w:w="1380" w:type="dxa"/>
            <w:vAlign w:val="bottom"/>
            <w:gridSpan w:val="2"/>
            <w:vMerge w:val="restart"/>
          </w:tcPr>
          <w:p>
            <w:pPr>
              <w:ind w:left="20"/>
              <w:spacing w:after="0"/>
              <w:rPr>
                <w:sz w:val="20"/>
                <w:szCs w:val="20"/>
                <w:color w:val="auto"/>
              </w:rPr>
            </w:pPr>
            <w:r>
              <w:rPr>
                <w:rFonts w:ascii="Arial" w:cs="Arial" w:eastAsia="Arial" w:hAnsi="Arial"/>
                <w:sz w:val="10"/>
                <w:szCs w:val="10"/>
                <w:color w:val="auto"/>
              </w:rPr>
              <w:t>Commodities &amp; mining</w:t>
            </w:r>
          </w:p>
        </w:tc>
        <w:tc>
          <w:tcPr>
            <w:tcW w:w="136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8"/>
              </w:rPr>
              <w:t>3.00% PIK, Current Coupon</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7/30/2018</w:t>
            </w:r>
          </w:p>
        </w:tc>
        <w:tc>
          <w:tcPr>
            <w:tcW w:w="8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7/30/2023</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8,883</w:t>
            </w:r>
          </w:p>
        </w:tc>
        <w:tc>
          <w:tcPr>
            <w:tcW w:w="8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8,795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8,226</w:t>
            </w: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(FKA BLASCHAK COAL CORP.)</w:t>
            </w:r>
          </w:p>
        </w:tc>
        <w:tc>
          <w:tcPr>
            <w:tcW w:w="154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8"/>
              </w:rPr>
              <w:t>15.00%</w:t>
            </w: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6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8"/>
              </w:rPr>
              <w:t>L+11.00% (Floor 1.00%)/Q,</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Second Lien- Term Loan B</w:t>
            </w:r>
            <w:r>
              <w:rPr>
                <w:rFonts w:ascii="Arial" w:cs="Arial" w:eastAsia="Arial" w:hAnsi="Arial"/>
                <w:sz w:val="12"/>
                <w:szCs w:val="12"/>
                <w:color w:val="auto"/>
                <w:vertAlign w:val="superscript"/>
              </w:rPr>
              <w:t>15</w:t>
            </w: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6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8"/>
              </w:rPr>
              <w:t>3.00% PIK, Current Coupon</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3/30/2020</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7/30/2023</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2,055</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2,028</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1,903</w:t>
            </w:r>
          </w:p>
        </w:tc>
        <w:tc>
          <w:tcPr>
            <w:tcW w:w="0" w:type="dxa"/>
            <w:vAlign w:val="bottom"/>
          </w:tcPr>
          <w:p>
            <w:pPr>
              <w:spacing w:after="0"/>
              <w:rPr>
                <w:sz w:val="1"/>
                <w:szCs w:val="1"/>
                <w:color w:val="auto"/>
              </w:rPr>
            </w:pPr>
          </w:p>
        </w:tc>
      </w:tr>
      <w:tr>
        <w:trPr>
          <w:trHeight w:val="131"/>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15.00%</w:t>
            </w: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10,823</w:t>
            </w:r>
          </w:p>
        </w:tc>
        <w:tc>
          <w:tcPr>
            <w:tcW w:w="8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Arial" w:cs="Arial" w:eastAsia="Arial" w:hAnsi="Arial"/>
                <w:sz w:val="10"/>
                <w:szCs w:val="10"/>
                <w:color w:val="auto"/>
              </w:rPr>
              <w:t>10,129</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840"/>
          </w:cols>
          <w:pgMar w:left="300" w:top="140" w:right="759" w:bottom="1440" w:gutter="0" w:footer="0" w:header="0"/>
        </w:sectPr>
      </w:pPr>
    </w:p>
    <w:bookmarkStart w:id="8" w:name="page9"/>
    <w:bookmarkEnd w:id="8"/>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June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1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8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Industry</w:t>
            </w:r>
          </w:p>
        </w:tc>
        <w:tc>
          <w:tcPr>
            <w:tcW w:w="6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86"/>
              </w:rPr>
              <w:t>Acquisition Date</w:t>
            </w:r>
            <w:r>
              <w:rPr>
                <w:rFonts w:ascii="Arial" w:cs="Arial" w:eastAsia="Arial" w:hAnsi="Arial"/>
                <w:sz w:val="12"/>
                <w:szCs w:val="12"/>
                <w:b w:val="1"/>
                <w:bCs w:val="1"/>
                <w:color w:val="auto"/>
                <w:w w:val="86"/>
                <w:vertAlign w:val="superscript"/>
              </w:rPr>
              <w:t>14</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Maturity</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Principal</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BROAD SKY NETWORKS LLC</w:t>
            </w:r>
            <w:r>
              <w:rPr>
                <w:rFonts w:ascii="Arial" w:cs="Arial" w:eastAsia="Arial" w:hAnsi="Arial"/>
                <w:sz w:val="12"/>
                <w:szCs w:val="12"/>
                <w:b w:val="1"/>
                <w:bCs w:val="1"/>
                <w:color w:val="auto"/>
                <w:vertAlign w:val="superscript"/>
              </w:rPr>
              <w:t>13</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Telecommunications</w:t>
            </w:r>
          </w:p>
        </w:tc>
        <w:tc>
          <w:tcPr>
            <w:tcW w:w="1300" w:type="dxa"/>
            <w:vAlign w:val="bottom"/>
            <w:shd w:val="clear" w:color="auto" w:fill="CCEEFF"/>
          </w:tcPr>
          <w:p>
            <w:pPr>
              <w:jc w:val="center"/>
              <w:spacing w:after="0" w:line="79" w:lineRule="exact"/>
              <w:rPr>
                <w:sz w:val="20"/>
                <w:szCs w:val="20"/>
                <w:color w:val="auto"/>
              </w:rPr>
            </w:pPr>
            <w:r>
              <w:rPr>
                <w:rFonts w:ascii="Arial" w:cs="Arial" w:eastAsia="Arial" w:hAnsi="Arial"/>
                <w:sz w:val="8"/>
                <w:szCs w:val="8"/>
                <w:color w:val="auto"/>
              </w:rPr>
              <w:t>L+7.50% (Floor 1.00%)/Q,</w:t>
            </w:r>
          </w:p>
        </w:tc>
        <w:tc>
          <w:tcPr>
            <w:tcW w:w="8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12/11/2020</w:t>
            </w:r>
          </w:p>
        </w:tc>
        <w:tc>
          <w:tcPr>
            <w:tcW w:w="6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12/11/2025</w:t>
            </w:r>
          </w:p>
        </w:tc>
        <w:tc>
          <w:tcPr>
            <w:tcW w:w="8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6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456</w:t>
            </w:r>
          </w:p>
        </w:tc>
        <w:tc>
          <w:tcPr>
            <w:tcW w:w="8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496</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8.50%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L+7.50%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12/11/2020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12/11/2025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14,963</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14,690</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14,843</w:t>
            </w:r>
          </w:p>
        </w:tc>
        <w:tc>
          <w:tcPr>
            <w:tcW w:w="0" w:type="dxa"/>
            <w:vAlign w:val="bottom"/>
          </w:tcPr>
          <w:p>
            <w:pPr>
              <w:spacing w:after="0"/>
              <w:rPr>
                <w:sz w:val="1"/>
                <w:szCs w:val="1"/>
                <w:color w:val="auto"/>
              </w:rPr>
            </w:pPr>
          </w:p>
        </w:tc>
      </w:tr>
      <w:tr>
        <w:trPr>
          <w:trHeight w:val="124"/>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8.50%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w w:val="93"/>
              </w:rPr>
              <w:t>1,000,000 Series A Preferred units</w:t>
            </w:r>
            <w:r>
              <w:rPr>
                <w:rFonts w:ascii="Arial" w:cs="Arial" w:eastAsia="Arial" w:hAnsi="Arial"/>
                <w:sz w:val="12"/>
                <w:szCs w:val="12"/>
                <w:color w:val="auto"/>
                <w:w w:val="93"/>
                <w:vertAlign w:val="superscript"/>
              </w:rPr>
              <w:t>9</w:t>
            </w:r>
          </w:p>
        </w:tc>
        <w:tc>
          <w:tcPr>
            <w:tcW w:w="1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12/11/2020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13"/>
        </w:trPr>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16,146</w:t>
            </w:r>
          </w:p>
        </w:tc>
        <w:tc>
          <w:tcPr>
            <w:tcW w:w="8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16,339</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CALIFORNIA PIZZA KITCHEN, INC.</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Restaurants</w:t>
            </w:r>
          </w:p>
        </w:tc>
        <w:tc>
          <w:tcPr>
            <w:tcW w:w="138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90"/>
              </w:rPr>
              <w:t>L+10.00% (Floor 1.50%)/Q,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11/23/2020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11/23/2024</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669</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653</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670</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11.50%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1.00%, L+11.00% PIK (Floor</w:t>
            </w: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 Rolled Up</w:t>
            </w: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7"/>
              </w:rPr>
              <w:t>1.50%)/Q, Current Coupon</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11/23/2020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11/23/2024</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765</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763</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777</w:t>
            </w:r>
          </w:p>
        </w:tc>
        <w:tc>
          <w:tcPr>
            <w:tcW w:w="0" w:type="dxa"/>
            <w:vAlign w:val="bottom"/>
          </w:tcPr>
          <w:p>
            <w:pPr>
              <w:spacing w:after="0"/>
              <w:rPr>
                <w:sz w:val="1"/>
                <w:szCs w:val="1"/>
                <w:color w:val="auto"/>
              </w:rPr>
            </w:pPr>
          </w:p>
        </w:tc>
      </w:tr>
      <w:tr>
        <w:trPr>
          <w:trHeight w:val="124"/>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8"/>
              </w:rPr>
              <w:t>13.50%</w:t>
            </w: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8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9"/>
              </w:rPr>
              <w:t>1.00%, L+12.50% PIK (Floor</w:t>
            </w: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Second Lien</w:t>
            </w:r>
          </w:p>
        </w:tc>
        <w:tc>
          <w:tcPr>
            <w:tcW w:w="1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7"/>
              </w:rPr>
              <w:t>1.50%)/Q, Current Coupon</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11/23/2020</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5/23/2025</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843</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843</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854</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15.00%</w:t>
            </w: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48,423 shares of common stock</w:t>
            </w:r>
          </w:p>
        </w:tc>
        <w:tc>
          <w:tcPr>
            <w:tcW w:w="13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11/23/2020</w:t>
            </w:r>
          </w:p>
        </w:tc>
        <w:tc>
          <w:tcPr>
            <w:tcW w:w="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1,317</w:t>
            </w: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2,905</w:t>
            </w:r>
          </w:p>
        </w:tc>
        <w:tc>
          <w:tcPr>
            <w:tcW w:w="0" w:type="dxa"/>
            <w:vAlign w:val="bottom"/>
          </w:tcPr>
          <w:p>
            <w:pPr>
              <w:spacing w:after="0"/>
              <w:rPr>
                <w:sz w:val="1"/>
                <w:szCs w:val="1"/>
                <w:color w:val="auto"/>
              </w:rPr>
            </w:pPr>
          </w:p>
        </w:tc>
      </w:tr>
      <w:tr>
        <w:trPr>
          <w:trHeight w:val="117"/>
        </w:trPr>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3,576</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5,206</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CAMIN CARGO CONTROL, INC.</w:t>
            </w:r>
          </w:p>
        </w:tc>
        <w:tc>
          <w:tcPr>
            <w:tcW w:w="152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80" w:type="dxa"/>
            <w:vAlign w:val="bottom"/>
            <w:gridSpan w:val="2"/>
            <w:vMerge w:val="restart"/>
          </w:tcPr>
          <w:p>
            <w:pPr>
              <w:ind w:left="20"/>
              <w:spacing w:after="0"/>
              <w:rPr>
                <w:sz w:val="20"/>
                <w:szCs w:val="20"/>
                <w:color w:val="auto"/>
              </w:rPr>
            </w:pPr>
            <w:r>
              <w:rPr>
                <w:rFonts w:ascii="Arial" w:cs="Arial" w:eastAsia="Arial" w:hAnsi="Arial"/>
                <w:sz w:val="10"/>
                <w:szCs w:val="10"/>
                <w:color w:val="auto"/>
              </w:rPr>
              <w:t>Energy services (midstream)</w:t>
            </w: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L+6.50%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6/2/2021</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6/4/2026</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6,000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5,941</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5,941</w:t>
            </w:r>
          </w:p>
        </w:tc>
        <w:tc>
          <w:tcPr>
            <w:tcW w:w="0" w:type="dxa"/>
            <w:vAlign w:val="bottom"/>
          </w:tcPr>
          <w:p>
            <w:pPr>
              <w:spacing w:after="0"/>
              <w:rPr>
                <w:sz w:val="1"/>
                <w:szCs w:val="1"/>
                <w:color w:val="auto"/>
              </w:rPr>
            </w:pPr>
          </w:p>
        </w:tc>
      </w:tr>
      <w:tr>
        <w:trPr>
          <w:trHeight w:val="124"/>
        </w:trPr>
        <w:tc>
          <w:tcPr>
            <w:tcW w:w="218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7.50%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CAPITAL PAWN HOLDINGS, LLC</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Consumer products &amp; retail</w:t>
            </w: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L+7.25%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12/21/2017</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7/8/2023</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8,854</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8,841</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8,854</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8.25%</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CHEMISTRY RX HOLDINGS, LLC</w:t>
            </w:r>
          </w:p>
        </w:tc>
        <w:tc>
          <w:tcPr>
            <w:tcW w:w="152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80" w:type="dxa"/>
            <w:vAlign w:val="bottom"/>
            <w:gridSpan w:val="2"/>
            <w:vMerge w:val="restart"/>
          </w:tcPr>
          <w:p>
            <w:pPr>
              <w:ind w:left="20"/>
              <w:spacing w:after="0"/>
              <w:rPr>
                <w:sz w:val="20"/>
                <w:szCs w:val="20"/>
                <w:color w:val="auto"/>
              </w:rPr>
            </w:pPr>
            <w:r>
              <w:rPr>
                <w:rFonts w:ascii="Arial" w:cs="Arial" w:eastAsia="Arial" w:hAnsi="Arial"/>
                <w:sz w:val="10"/>
                <w:szCs w:val="10"/>
                <w:color w:val="auto"/>
              </w:rPr>
              <w:t>Specialty chemicals</w:t>
            </w: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L+6.50%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3/15/2021</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3/13/2026</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8,000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7,848</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7,984</w:t>
            </w:r>
          </w:p>
        </w:tc>
        <w:tc>
          <w:tcPr>
            <w:tcW w:w="0" w:type="dxa"/>
            <w:vAlign w:val="bottom"/>
          </w:tcPr>
          <w:p>
            <w:pPr>
              <w:spacing w:after="0"/>
              <w:rPr>
                <w:sz w:val="1"/>
                <w:szCs w:val="1"/>
                <w:color w:val="auto"/>
              </w:rPr>
            </w:pPr>
          </w:p>
        </w:tc>
      </w:tr>
      <w:tr>
        <w:trPr>
          <w:trHeight w:val="124"/>
        </w:trPr>
        <w:tc>
          <w:tcPr>
            <w:tcW w:w="218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7.50%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CITYVET, INC.</w:t>
            </w:r>
            <w:r>
              <w:rPr>
                <w:rFonts w:ascii="Arial" w:cs="Arial" w:eastAsia="Arial" w:hAnsi="Arial"/>
                <w:sz w:val="12"/>
                <w:szCs w:val="12"/>
                <w:b w:val="1"/>
                <w:bCs w:val="1"/>
                <w:color w:val="auto"/>
                <w:vertAlign w:val="superscript"/>
              </w:rPr>
              <w:t>13</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Healthcare services</w:t>
            </w: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L+7.50%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3/5/2021</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3/5/2026</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6,500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6,313</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6,500</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8.50%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271,739 Class A units</w:t>
            </w:r>
            <w:r>
              <w:rPr>
                <w:rFonts w:ascii="Arial" w:cs="Arial" w:eastAsia="Arial" w:hAnsi="Arial"/>
                <w:sz w:val="12"/>
                <w:szCs w:val="12"/>
                <w:color w:val="auto"/>
                <w:vertAlign w:val="superscript"/>
              </w:rPr>
              <w:t>9</w:t>
            </w:r>
          </w:p>
        </w:tc>
        <w:tc>
          <w:tcPr>
            <w:tcW w:w="13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3/5/2021</w:t>
            </w:r>
          </w:p>
        </w:tc>
        <w:tc>
          <w:tcPr>
            <w:tcW w:w="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500</w:t>
            </w: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802</w:t>
            </w:r>
          </w:p>
        </w:tc>
        <w:tc>
          <w:tcPr>
            <w:tcW w:w="0" w:type="dxa"/>
            <w:vAlign w:val="bottom"/>
          </w:tcPr>
          <w:p>
            <w:pPr>
              <w:spacing w:after="0"/>
              <w:rPr>
                <w:sz w:val="1"/>
                <w:szCs w:val="1"/>
                <w:color w:val="auto"/>
              </w:rPr>
            </w:pPr>
          </w:p>
        </w:tc>
      </w:tr>
      <w:tr>
        <w:trPr>
          <w:trHeight w:val="115"/>
        </w:trPr>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6,813</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7,302</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CLICKBOOTH.COM, LLC</w:t>
            </w:r>
          </w:p>
        </w:tc>
        <w:tc>
          <w:tcPr>
            <w:tcW w:w="1520" w:type="dxa"/>
            <w:vAlign w:val="bottom"/>
            <w:gridSpan w:val="2"/>
            <w:vMerge w:val="restart"/>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80" w:type="dxa"/>
            <w:vAlign w:val="bottom"/>
            <w:gridSpan w:val="2"/>
          </w:tcPr>
          <w:p>
            <w:pPr>
              <w:ind w:left="20"/>
              <w:spacing w:after="0" w:line="90" w:lineRule="exact"/>
              <w:rPr>
                <w:sz w:val="20"/>
                <w:szCs w:val="20"/>
                <w:color w:val="auto"/>
              </w:rPr>
            </w:pPr>
            <w:r>
              <w:rPr>
                <w:rFonts w:ascii="Arial" w:cs="Arial" w:eastAsia="Arial" w:hAnsi="Arial"/>
                <w:sz w:val="10"/>
                <w:szCs w:val="10"/>
                <w:color w:val="auto"/>
              </w:rPr>
              <w:t>Media, marketing &amp;</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89"/>
              </w:rPr>
              <w:t>L+8.50%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12/5/2017</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1/31/2025</w:t>
            </w:r>
          </w:p>
        </w:tc>
        <w:tc>
          <w:tcPr>
            <w:tcW w:w="80" w:type="dxa"/>
            <w:vAlign w:val="bottom"/>
          </w:tcPr>
          <w:p>
            <w:pPr>
              <w:spacing w:after="0"/>
              <w:rPr>
                <w:sz w:val="7"/>
                <w:szCs w:val="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18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80" w:type="dxa"/>
            <w:vAlign w:val="bottom"/>
            <w:gridSpan w:val="2"/>
          </w:tcPr>
          <w:p>
            <w:pPr>
              <w:ind w:left="20"/>
              <w:spacing w:after="0"/>
              <w:rPr>
                <w:sz w:val="20"/>
                <w:szCs w:val="20"/>
                <w:color w:val="auto"/>
              </w:rPr>
            </w:pPr>
            <w:r>
              <w:rPr>
                <w:rFonts w:ascii="Arial" w:cs="Arial" w:eastAsia="Arial" w:hAnsi="Arial"/>
                <w:sz w:val="10"/>
                <w:szCs w:val="10"/>
                <w:color w:val="auto"/>
              </w:rPr>
              <w:t>entertainment</w:t>
            </w:r>
          </w:p>
        </w:tc>
        <w:tc>
          <w:tcPr>
            <w:tcW w:w="13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9"/>
              </w:rPr>
              <w:t>L+8.50%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12/5/2017</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1/31/2025</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18,406</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18,202</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18,406</w:t>
            </w:r>
          </w:p>
        </w:tc>
        <w:tc>
          <w:tcPr>
            <w:tcW w:w="0" w:type="dxa"/>
            <w:vAlign w:val="bottom"/>
          </w:tcPr>
          <w:p>
            <w:pPr>
              <w:spacing w:after="0"/>
              <w:rPr>
                <w:sz w:val="1"/>
                <w:szCs w:val="1"/>
                <w:color w:val="auto"/>
              </w:rPr>
            </w:pPr>
          </w:p>
        </w:tc>
      </w:tr>
      <w:tr>
        <w:trPr>
          <w:trHeight w:val="131"/>
        </w:trPr>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9.50%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Arial" w:cs="Arial" w:eastAsia="Arial" w:hAnsi="Arial"/>
                <w:sz w:val="10"/>
                <w:szCs w:val="10"/>
                <w:color w:val="auto"/>
              </w:rPr>
              <w:t>18,197</w:t>
            </w:r>
          </w:p>
        </w:tc>
        <w:tc>
          <w:tcPr>
            <w:tcW w:w="8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Arial" w:cs="Arial" w:eastAsia="Arial" w:hAnsi="Arial"/>
                <w:sz w:val="10"/>
                <w:szCs w:val="10"/>
                <w:color w:val="auto"/>
              </w:rPr>
              <w:t>18,406</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840"/>
          </w:cols>
          <w:pgMar w:left="300" w:top="140" w:right="759" w:bottom="1440" w:gutter="0" w:footer="0" w:header="0"/>
        </w:sectPr>
      </w:pPr>
    </w:p>
    <w:bookmarkStart w:id="9" w:name="page10"/>
    <w:bookmarkEnd w:id="9"/>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June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Industry</w:t>
            </w:r>
          </w:p>
        </w:tc>
        <w:tc>
          <w:tcPr>
            <w:tcW w:w="6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86"/>
              </w:rPr>
              <w:t>Acquisition Date</w:t>
            </w:r>
            <w:r>
              <w:rPr>
                <w:rFonts w:ascii="Arial" w:cs="Arial" w:eastAsia="Arial" w:hAnsi="Arial"/>
                <w:sz w:val="12"/>
                <w:szCs w:val="12"/>
                <w:b w:val="1"/>
                <w:bCs w:val="1"/>
                <w:color w:val="auto"/>
                <w:w w:val="86"/>
                <w:vertAlign w:val="superscript"/>
              </w:rPr>
              <w:t>14</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Maturity</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Principal</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CRAFTY APES, LLC</w:t>
            </w:r>
            <w:r>
              <w:rPr>
                <w:rFonts w:ascii="Arial" w:cs="Arial" w:eastAsia="Arial" w:hAnsi="Arial"/>
                <w:sz w:val="12"/>
                <w:szCs w:val="12"/>
                <w:b w:val="1"/>
                <w:bCs w:val="1"/>
                <w:color w:val="auto"/>
                <w:vertAlign w:val="superscript"/>
              </w:rPr>
              <w:t>8</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shd w:val="clear" w:color="auto" w:fill="CCEEFF"/>
          </w:tcPr>
          <w:p>
            <w:pPr>
              <w:ind w:left="20"/>
              <w:spacing w:after="0" w:line="79" w:lineRule="exact"/>
              <w:rPr>
                <w:sz w:val="20"/>
                <w:szCs w:val="20"/>
                <w:color w:val="auto"/>
              </w:rPr>
            </w:pPr>
            <w:r>
              <w:rPr>
                <w:rFonts w:ascii="Arial" w:cs="Arial" w:eastAsia="Arial" w:hAnsi="Arial"/>
                <w:sz w:val="8"/>
                <w:szCs w:val="8"/>
                <w:color w:val="auto"/>
              </w:rPr>
              <w:t>Media, marketing &amp;</w:t>
            </w:r>
          </w:p>
        </w:tc>
        <w:tc>
          <w:tcPr>
            <w:tcW w:w="60" w:type="dxa"/>
            <w:vAlign w:val="bottom"/>
            <w:shd w:val="clear" w:color="auto" w:fill="CCEEFF"/>
          </w:tcPr>
          <w:p>
            <w:pPr>
              <w:spacing w:after="0"/>
              <w:rPr>
                <w:sz w:val="6"/>
                <w:szCs w:val="6"/>
                <w:color w:val="auto"/>
              </w:rPr>
            </w:pPr>
          </w:p>
        </w:tc>
        <w:tc>
          <w:tcPr>
            <w:tcW w:w="1300" w:type="dxa"/>
            <w:vAlign w:val="bottom"/>
            <w:shd w:val="clear" w:color="auto" w:fill="CCEEFF"/>
          </w:tcPr>
          <w:p>
            <w:pPr>
              <w:jc w:val="center"/>
              <w:spacing w:after="0" w:line="79" w:lineRule="exact"/>
              <w:rPr>
                <w:sz w:val="20"/>
                <w:szCs w:val="20"/>
                <w:color w:val="auto"/>
              </w:rPr>
            </w:pPr>
            <w:r>
              <w:rPr>
                <w:rFonts w:ascii="Arial" w:cs="Arial" w:eastAsia="Arial" w:hAnsi="Arial"/>
                <w:sz w:val="8"/>
                <w:szCs w:val="8"/>
                <w:color w:val="auto"/>
              </w:rPr>
              <w:t>L+6.46% (Floor 1.00%)/Q,</w:t>
            </w:r>
          </w:p>
        </w:tc>
        <w:tc>
          <w:tcPr>
            <w:tcW w:w="8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6/9/2021</w:t>
            </w:r>
          </w:p>
        </w:tc>
        <w:tc>
          <w:tcPr>
            <w:tcW w:w="6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11/1/2024</w:t>
            </w:r>
          </w:p>
        </w:tc>
        <w:tc>
          <w:tcPr>
            <w:tcW w:w="8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6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9,901</w:t>
            </w:r>
          </w:p>
        </w:tc>
        <w:tc>
          <w:tcPr>
            <w:tcW w:w="8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9,901</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entertainment</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7.46%</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0"/>
                <w:szCs w:val="10"/>
                <w:color w:val="auto"/>
                <w:w w:val="89"/>
              </w:rPr>
              <w:t>L+6.48% (Floor 1.00%)</w:t>
            </w:r>
          </w:p>
        </w:tc>
        <w:tc>
          <w:tcPr>
            <w:tcW w:w="820" w:type="dxa"/>
            <w:vAlign w:val="bottom"/>
          </w:tcPr>
          <w:p>
            <w:pPr>
              <w:jc w:val="center"/>
              <w:spacing w:after="0"/>
              <w:rPr>
                <w:sz w:val="20"/>
                <w:szCs w:val="20"/>
                <w:color w:val="auto"/>
              </w:rPr>
            </w:pPr>
            <w:r>
              <w:rPr>
                <w:rFonts w:ascii="Arial" w:cs="Arial" w:eastAsia="Arial" w:hAnsi="Arial"/>
                <w:sz w:val="10"/>
                <w:szCs w:val="10"/>
                <w:color w:val="auto"/>
                <w:w w:val="87"/>
              </w:rPr>
              <w:t>6/9/2021</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85"/>
              </w:rPr>
              <w:t>11/1/2024</w:t>
            </w:r>
          </w:p>
        </w:tc>
        <w:tc>
          <w:tcPr>
            <w:tcW w:w="80" w:type="dxa"/>
            <w:vAlign w:val="bottom"/>
          </w:tcPr>
          <w:p>
            <w:pPr>
              <w:spacing w:after="0"/>
              <w:rPr>
                <w:sz w:val="10"/>
                <w:szCs w:val="1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9,901</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9,901</w:t>
            </w: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DANFORTH ADVISORS, LLC</w:t>
            </w:r>
            <w:r>
              <w:rPr>
                <w:rFonts w:ascii="Arial" w:cs="Arial" w:eastAsia="Arial" w:hAnsi="Arial"/>
                <w:sz w:val="12"/>
                <w:szCs w:val="12"/>
                <w:b w:val="1"/>
                <w:bCs w:val="1"/>
                <w:color w:val="auto"/>
                <w:vertAlign w:val="superscript"/>
              </w:rPr>
              <w:t>13</w:t>
            </w: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875 Class A equity units</w:t>
            </w:r>
            <w:r>
              <w:rPr>
                <w:rFonts w:ascii="Arial" w:cs="Arial" w:eastAsia="Arial" w:hAnsi="Arial"/>
                <w:sz w:val="12"/>
                <w:szCs w:val="12"/>
                <w:color w:val="auto"/>
                <w:vertAlign w:val="superscript"/>
              </w:rPr>
              <w:t>9</w:t>
            </w:r>
          </w:p>
        </w:tc>
        <w:tc>
          <w:tcPr>
            <w:tcW w:w="1360" w:type="dxa"/>
            <w:vAlign w:val="bottom"/>
            <w:gridSpan w:val="2"/>
          </w:tcPr>
          <w:p>
            <w:pPr>
              <w:ind w:left="20"/>
              <w:spacing w:after="0"/>
              <w:rPr>
                <w:sz w:val="20"/>
                <w:szCs w:val="20"/>
                <w:color w:val="auto"/>
              </w:rPr>
            </w:pPr>
            <w:r>
              <w:rPr>
                <w:rFonts w:ascii="Arial" w:cs="Arial" w:eastAsia="Arial" w:hAnsi="Arial"/>
                <w:sz w:val="10"/>
                <w:szCs w:val="10"/>
                <w:color w:val="auto"/>
              </w:rPr>
              <w:t>Business services</w:t>
            </w: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9/28/2018</w:t>
            </w:r>
          </w:p>
        </w:tc>
        <w:tc>
          <w:tcPr>
            <w:tcW w:w="6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875</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3,012</w:t>
            </w:r>
          </w:p>
        </w:tc>
        <w:tc>
          <w:tcPr>
            <w:tcW w:w="0" w:type="dxa"/>
            <w:vAlign w:val="bottom"/>
          </w:tcPr>
          <w:p>
            <w:pPr>
              <w:spacing w:after="0"/>
              <w:rPr>
                <w:sz w:val="1"/>
                <w:szCs w:val="1"/>
                <w:color w:val="auto"/>
              </w:rPr>
            </w:pPr>
          </w:p>
        </w:tc>
      </w:tr>
      <w:tr>
        <w:trPr>
          <w:trHeight w:val="9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DRIVEN, INC.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Business services</w:t>
            </w: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9"/>
              </w:rPr>
              <w:t>L+8.00% (Floor 2.00%)/Q,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6/28/2019</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6/28/2024</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5,790</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5,713</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5,790</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10.00%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DUNN PAPER, INC.</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Second Lien</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Paper &amp; forest products</w:t>
            </w: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L+9.25% (Floor 1.00%)/M,</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9/28/2016</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8/26/2023</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3,000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2,977</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2,928</w:t>
            </w:r>
          </w:p>
        </w:tc>
        <w:tc>
          <w:tcPr>
            <w:tcW w:w="0" w:type="dxa"/>
            <w:vAlign w:val="bottom"/>
          </w:tcPr>
          <w:p>
            <w:pPr>
              <w:spacing w:after="0"/>
              <w:rPr>
                <w:sz w:val="1"/>
                <w:szCs w:val="1"/>
                <w:color w:val="auto"/>
              </w:rPr>
            </w:pPr>
          </w:p>
        </w:tc>
      </w:tr>
      <w:tr>
        <w:trPr>
          <w:trHeight w:val="124"/>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10.25%</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80" w:type="dxa"/>
            <w:vAlign w:val="bottom"/>
            <w:gridSpan w:val="2"/>
            <w:shd w:val="clear" w:color="auto" w:fill="CCEEFF"/>
          </w:tcPr>
          <w:p>
            <w:pPr>
              <w:spacing w:after="0" w:line="92" w:lineRule="exact"/>
              <w:rPr>
                <w:sz w:val="20"/>
                <w:szCs w:val="20"/>
                <w:color w:val="auto"/>
              </w:rPr>
            </w:pPr>
            <w:r>
              <w:rPr>
                <w:rFonts w:ascii="Arial" w:cs="Arial" w:eastAsia="Arial" w:hAnsi="Arial"/>
                <w:sz w:val="10"/>
                <w:szCs w:val="10"/>
                <w:b w:val="1"/>
                <w:bCs w:val="1"/>
                <w:color w:val="auto"/>
              </w:rPr>
              <w:t>ELECTRONIC TRANSACTION</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Software &amp; IT services</w:t>
            </w:r>
          </w:p>
        </w:tc>
        <w:tc>
          <w:tcPr>
            <w:tcW w:w="13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0"/>
                <w:szCs w:val="10"/>
                <w:color w:val="auto"/>
                <w:w w:val="89"/>
              </w:rPr>
              <w:t>L+7.50% (Floor 1.00%)</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7/24/2020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7/24/2025</w:t>
            </w:r>
          </w:p>
        </w:tc>
        <w:tc>
          <w:tcPr>
            <w:tcW w:w="8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0"/>
                <w:szCs w:val="10"/>
                <w:b w:val="1"/>
                <w:bCs w:val="1"/>
                <w:color w:val="auto"/>
              </w:rPr>
              <w:t>CONSULTANTS LLC</w:t>
            </w:r>
            <w:r>
              <w:rPr>
                <w:rFonts w:ascii="Arial" w:cs="Arial" w:eastAsia="Arial" w:hAnsi="Arial"/>
                <w:sz w:val="12"/>
                <w:szCs w:val="12"/>
                <w:b w:val="1"/>
                <w:bCs w:val="1"/>
                <w:color w:val="auto"/>
                <w:vertAlign w:val="superscript"/>
              </w:rPr>
              <w:t>13</w:t>
            </w: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L+7.50%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7/24/2020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7/24/2025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10,000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9,852</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9,850</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8.50%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1,000 Class A units</w:t>
            </w:r>
            <w:r>
              <w:rPr>
                <w:rFonts w:ascii="Arial" w:cs="Arial" w:eastAsia="Arial" w:hAnsi="Arial"/>
                <w:sz w:val="12"/>
                <w:szCs w:val="12"/>
                <w:color w:val="auto"/>
                <w:vertAlign w:val="superscript"/>
              </w:rPr>
              <w:t>9</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7/24/2020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1,204</w:t>
            </w: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10,799</w:t>
            </w:r>
          </w:p>
        </w:tc>
        <w:tc>
          <w:tcPr>
            <w:tcW w:w="8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11,054</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ESCP DTFS, INC.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 - Term Loan A</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Industrial services</w:t>
            </w: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L+6.50% (Floor 1.75%)/Q,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1/31/2020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1/31/2025</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5,350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5,274</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4,986</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8.25%</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 - Term Loan B</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L+8.50% (Floor 1.75%)/Q,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1/31/2020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1/31/2025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5,350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5,274</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4,986</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10.25%</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Delayed Draw Term Loan B1</w:t>
            </w:r>
          </w:p>
        </w:tc>
        <w:tc>
          <w:tcPr>
            <w:tcW w:w="1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8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8"/>
              </w:rPr>
              <w:t>L+6.50% (Floor 1.75%), Current</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1/31/2020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1/31/2025</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491</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466</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Coupon 8.25%</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Delayed Draw Term Loan B2</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8"/>
              </w:rPr>
              <w:t>L+8.50% (Floor 1.75%), Current</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1/31/2020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1/31/2025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500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491</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466</w:t>
            </w:r>
          </w:p>
        </w:tc>
        <w:tc>
          <w:tcPr>
            <w:tcW w:w="0" w:type="dxa"/>
            <w:vAlign w:val="bottom"/>
          </w:tcPr>
          <w:p>
            <w:pPr>
              <w:spacing w:after="0"/>
              <w:rPr>
                <w:sz w:val="1"/>
                <w:szCs w:val="1"/>
                <w:color w:val="auto"/>
              </w:rPr>
            </w:pPr>
          </w:p>
        </w:tc>
      </w:tr>
      <w:tr>
        <w:trPr>
          <w:trHeight w:val="124"/>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vMerge w:val="continue"/>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6"/>
              </w:rPr>
              <w:t>Coupon 10.25%</w:t>
            </w: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11,530</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10,904</w:t>
            </w: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FAST SANDWICH, LLC</w:t>
            </w: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tcPr>
          <w:p>
            <w:pPr>
              <w:ind w:left="20"/>
              <w:spacing w:after="0"/>
              <w:rPr>
                <w:sz w:val="20"/>
                <w:szCs w:val="20"/>
                <w:color w:val="auto"/>
              </w:rPr>
            </w:pPr>
            <w:r>
              <w:rPr>
                <w:rFonts w:ascii="Arial" w:cs="Arial" w:eastAsia="Arial" w:hAnsi="Arial"/>
                <w:sz w:val="10"/>
                <w:szCs w:val="10"/>
                <w:color w:val="auto"/>
              </w:rPr>
              <w:t>Restaurants</w:t>
            </w:r>
          </w:p>
        </w:tc>
        <w:tc>
          <w:tcPr>
            <w:tcW w:w="1380" w:type="dxa"/>
            <w:vAlign w:val="bottom"/>
            <w:gridSpan w:val="2"/>
          </w:tcPr>
          <w:p>
            <w:pPr>
              <w:jc w:val="center"/>
              <w:ind w:right="60"/>
              <w:spacing w:after="0"/>
              <w:rPr>
                <w:sz w:val="20"/>
                <w:szCs w:val="20"/>
                <w:color w:val="auto"/>
              </w:rPr>
            </w:pPr>
            <w:r>
              <w:rPr>
                <w:rFonts w:ascii="Arial" w:cs="Arial" w:eastAsia="Arial" w:hAnsi="Arial"/>
                <w:sz w:val="10"/>
                <w:szCs w:val="10"/>
                <w:color w:val="auto"/>
                <w:w w:val="89"/>
              </w:rPr>
              <w:t>L+9.00% (Floor 1.00%)</w:t>
            </w: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5/24/2018</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85"/>
              </w:rPr>
              <w:t>5/23/2023</w:t>
            </w:r>
          </w:p>
        </w:tc>
        <w:tc>
          <w:tcPr>
            <w:tcW w:w="80" w:type="dxa"/>
            <w:vAlign w:val="bottom"/>
          </w:tcPr>
          <w:p>
            <w:pPr>
              <w:spacing w:after="0"/>
              <w:rPr>
                <w:sz w:val="10"/>
                <w:szCs w:val="1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9"/>
              </w:rPr>
              <w:t>L+9.00%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5/24/2018</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5/23/2023</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3,339</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3,314</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3,095</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10.00%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3,285</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3,095</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FLIP ELECTRONICS, LLC</w:t>
            </w:r>
            <w:r>
              <w:rPr>
                <w:rFonts w:ascii="Arial" w:cs="Arial" w:eastAsia="Arial" w:hAnsi="Arial"/>
                <w:sz w:val="12"/>
                <w:szCs w:val="12"/>
                <w:b w:val="1"/>
                <w:bCs w:val="1"/>
                <w:color w:val="auto"/>
                <w:vertAlign w:val="superscript"/>
              </w:rPr>
              <w:t>8,13</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Technology products &amp;</w:t>
            </w:r>
          </w:p>
        </w:tc>
        <w:tc>
          <w:tcPr>
            <w:tcW w:w="138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90"/>
              </w:rPr>
              <w:t>L+7.99% (Floor 1.00%)/M,</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1/4/2021</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1/2/2026</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15,500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15,190</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15,500</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components</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8.99%</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2,000,000 Common Units</w:t>
            </w:r>
            <w:r>
              <w:rPr>
                <w:rFonts w:ascii="Arial" w:cs="Arial" w:eastAsia="Arial" w:hAnsi="Arial"/>
                <w:sz w:val="12"/>
                <w:szCs w:val="12"/>
                <w:color w:val="auto"/>
                <w:vertAlign w:val="superscript"/>
              </w:rPr>
              <w:t>9</w:t>
            </w: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1/4/2021</w:t>
            </w:r>
          </w:p>
        </w:tc>
        <w:tc>
          <w:tcPr>
            <w:tcW w:w="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2,000</w:t>
            </w: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3,099</w:t>
            </w: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17,190</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18,599</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840"/>
          </w:cols>
          <w:pgMar w:left="300" w:top="140" w:right="759" w:bottom="1440" w:gutter="0" w:footer="0" w:header="0"/>
        </w:sectPr>
      </w:pPr>
    </w:p>
    <w:bookmarkStart w:id="10" w:name="page11"/>
    <w:bookmarkEnd w:id="10"/>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June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Pr>
          <w:p>
            <w:pPr>
              <w:spacing w:after="0"/>
              <w:rPr>
                <w:sz w:val="12"/>
                <w:szCs w:val="1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80" w:type="dxa"/>
            <w:vAlign w:val="bottom"/>
          </w:tcPr>
          <w:p>
            <w:pPr>
              <w:spacing w:after="0"/>
              <w:rPr>
                <w:sz w:val="12"/>
                <w:szCs w:val="12"/>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Industry</w:t>
            </w:r>
          </w:p>
        </w:tc>
        <w:tc>
          <w:tcPr>
            <w:tcW w:w="60" w:type="dxa"/>
            <w:vAlign w:val="bottom"/>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80" w:type="dxa"/>
            <w:vAlign w:val="bottom"/>
          </w:tcPr>
          <w:p>
            <w:pPr>
              <w:spacing w:after="0"/>
              <w:rPr>
                <w:sz w:val="12"/>
                <w:szCs w:val="1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86"/>
              </w:rPr>
              <w:t>Acquisition Date</w:t>
            </w:r>
            <w:r>
              <w:rPr>
                <w:rFonts w:ascii="Arial" w:cs="Arial" w:eastAsia="Arial" w:hAnsi="Arial"/>
                <w:sz w:val="12"/>
                <w:szCs w:val="12"/>
                <w:b w:val="1"/>
                <w:bCs w:val="1"/>
                <w:color w:val="auto"/>
                <w:w w:val="86"/>
                <w:vertAlign w:val="superscript"/>
              </w:rPr>
              <w:t>14</w:t>
            </w:r>
          </w:p>
        </w:tc>
        <w:tc>
          <w:tcPr>
            <w:tcW w:w="60" w:type="dxa"/>
            <w:vAlign w:val="bottom"/>
          </w:tcPr>
          <w:p>
            <w:pPr>
              <w:spacing w:after="0"/>
              <w:rPr>
                <w:sz w:val="12"/>
                <w:szCs w:val="12"/>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Maturity</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Principal</w:t>
            </w: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2120" w:type="dxa"/>
            <w:vAlign w:val="bottom"/>
          </w:tcPr>
          <w:p>
            <w:pPr>
              <w:spacing w:after="0" w:line="79" w:lineRule="exact"/>
              <w:rPr>
                <w:sz w:val="20"/>
                <w:szCs w:val="20"/>
                <w:color w:val="auto"/>
              </w:rPr>
            </w:pPr>
            <w:r>
              <w:rPr>
                <w:rFonts w:ascii="Arial" w:cs="Arial" w:eastAsia="Arial" w:hAnsi="Arial"/>
                <w:sz w:val="8"/>
                <w:szCs w:val="8"/>
                <w:b w:val="1"/>
                <w:bCs w:val="1"/>
                <w:color w:val="auto"/>
              </w:rPr>
              <w:t>FOOD PHARMA SUBSIDIARY HOLDINGS,</w:t>
            </w:r>
          </w:p>
        </w:tc>
        <w:tc>
          <w:tcPr>
            <w:tcW w:w="60" w:type="dxa"/>
            <w:vAlign w:val="bottom"/>
          </w:tcPr>
          <w:p>
            <w:pPr>
              <w:spacing w:after="0"/>
              <w:rPr>
                <w:sz w:val="6"/>
                <w:szCs w:val="6"/>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Food, agriculture &amp; beverage</w:t>
            </w:r>
          </w:p>
        </w:tc>
        <w:tc>
          <w:tcPr>
            <w:tcW w:w="138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89"/>
              </w:rPr>
              <w:t>L+6.50% (Floor 1.00%)</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6/1/2021</w:t>
            </w:r>
          </w:p>
        </w:tc>
        <w:tc>
          <w:tcPr>
            <w:tcW w:w="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6/1/2026</w:t>
            </w:r>
          </w:p>
        </w:tc>
        <w:tc>
          <w:tcPr>
            <w:tcW w:w="80" w:type="dxa"/>
            <w:vAlign w:val="bottom"/>
          </w:tcPr>
          <w:p>
            <w:pPr>
              <w:spacing w:after="0"/>
              <w:rPr>
                <w:sz w:val="6"/>
                <w:szCs w:val="6"/>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LLC</w:t>
            </w:r>
            <w:r>
              <w:rPr>
                <w:rFonts w:ascii="Arial" w:cs="Arial" w:eastAsia="Arial" w:hAnsi="Arial"/>
                <w:sz w:val="12"/>
                <w:szCs w:val="12"/>
                <w:b w:val="1"/>
                <w:bCs w:val="1"/>
                <w:color w:val="auto"/>
                <w:vertAlign w:val="superscript"/>
              </w:rPr>
              <w:t>13</w:t>
            </w: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90"/>
              </w:rPr>
              <w:t>L+6.50% (Floor 1.00%)/M,</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6/1/2021</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6/1/2026</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5,000</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4,901</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4,901</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7.50%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0"/>
                <w:szCs w:val="10"/>
                <w:color w:val="auto"/>
                <w:w w:val="89"/>
              </w:rPr>
              <w:t>L+6.50% (Floor 1.00%)</w:t>
            </w:r>
          </w:p>
        </w:tc>
        <w:tc>
          <w:tcPr>
            <w:tcW w:w="820" w:type="dxa"/>
            <w:vAlign w:val="bottom"/>
          </w:tcPr>
          <w:p>
            <w:pPr>
              <w:jc w:val="center"/>
              <w:spacing w:after="0"/>
              <w:rPr>
                <w:sz w:val="20"/>
                <w:szCs w:val="20"/>
                <w:color w:val="auto"/>
              </w:rPr>
            </w:pPr>
            <w:r>
              <w:rPr>
                <w:rFonts w:ascii="Arial" w:cs="Arial" w:eastAsia="Arial" w:hAnsi="Arial"/>
                <w:sz w:val="10"/>
                <w:szCs w:val="10"/>
                <w:color w:val="auto"/>
                <w:w w:val="87"/>
              </w:rPr>
              <w:t>6/1/2021</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87"/>
              </w:rPr>
              <w:t>6/1/2026</w:t>
            </w:r>
          </w:p>
        </w:tc>
        <w:tc>
          <w:tcPr>
            <w:tcW w:w="80" w:type="dxa"/>
            <w:vAlign w:val="bottom"/>
          </w:tcPr>
          <w:p>
            <w:pPr>
              <w:spacing w:after="0"/>
              <w:rPr>
                <w:sz w:val="10"/>
                <w:szCs w:val="1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(37)</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0"/>
                <w:szCs w:val="10"/>
                <w:color w:val="auto"/>
              </w:rPr>
              <w:t>75,000 Class A Units</w:t>
            </w:r>
            <w:r>
              <w:rPr>
                <w:rFonts w:ascii="Arial" w:cs="Arial" w:eastAsia="Arial" w:hAnsi="Arial"/>
                <w:sz w:val="12"/>
                <w:szCs w:val="12"/>
                <w:color w:val="auto"/>
                <w:vertAlign w:val="superscript"/>
              </w:rPr>
              <w:t>9</w:t>
            </w: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6/1/2021</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750</w:t>
            </w:r>
          </w:p>
        </w:tc>
        <w:tc>
          <w:tcPr>
            <w:tcW w:w="8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750</w:t>
            </w: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5,614</w:t>
            </w:r>
          </w:p>
        </w:tc>
        <w:tc>
          <w:tcPr>
            <w:tcW w:w="8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5,651</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GS OPERATING, LLC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Distribution</w:t>
            </w:r>
          </w:p>
        </w:tc>
        <w:tc>
          <w:tcPr>
            <w:tcW w:w="138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90"/>
              </w:rPr>
              <w:t>L+6.50% (Floor 1.50%)/M,</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3/6/2020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2/24/2025</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6,984</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6,876</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6,984</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8.00%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HYBRID APPAREL, LLC</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Second Lien</w:t>
            </w:r>
            <w:r>
              <w:rPr>
                <w:rFonts w:ascii="Arial" w:cs="Arial" w:eastAsia="Arial" w:hAnsi="Arial"/>
                <w:sz w:val="12"/>
                <w:szCs w:val="12"/>
                <w:color w:val="auto"/>
                <w:vertAlign w:val="superscript"/>
              </w:rPr>
              <w:t>15</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Consumer products &amp; retail</w:t>
            </w: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L+8.25%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6/30/2021</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6/30/2026</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15,750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15,435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15,435</w:t>
            </w:r>
          </w:p>
        </w:tc>
        <w:tc>
          <w:tcPr>
            <w:tcW w:w="0" w:type="dxa"/>
            <w:vAlign w:val="bottom"/>
          </w:tcPr>
          <w:p>
            <w:pPr>
              <w:spacing w:after="0"/>
              <w:rPr>
                <w:sz w:val="1"/>
                <w:szCs w:val="1"/>
                <w:color w:val="auto"/>
              </w:rPr>
            </w:pPr>
          </w:p>
        </w:tc>
      </w:tr>
      <w:tr>
        <w:trPr>
          <w:trHeight w:val="126"/>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9.25%</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shd w:val="clear" w:color="auto" w:fill="CCEEFF"/>
          </w:tcPr>
          <w:p>
            <w:pPr>
              <w:spacing w:after="0" w:line="90" w:lineRule="exact"/>
              <w:rPr>
                <w:sz w:val="20"/>
                <w:szCs w:val="20"/>
                <w:color w:val="auto"/>
              </w:rPr>
            </w:pPr>
            <w:r>
              <w:rPr>
                <w:rFonts w:ascii="Arial" w:cs="Arial" w:eastAsia="Arial" w:hAnsi="Arial"/>
                <w:sz w:val="10"/>
                <w:szCs w:val="10"/>
                <w:b w:val="1"/>
                <w:bCs w:val="1"/>
                <w:color w:val="auto"/>
              </w:rPr>
              <w:t>IAN, EVAN, &amp; ALEXANDER CORPORATION</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Aerospace &amp; defense</w:t>
            </w:r>
          </w:p>
        </w:tc>
        <w:tc>
          <w:tcPr>
            <w:tcW w:w="13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0"/>
                <w:szCs w:val="10"/>
                <w:color w:val="auto"/>
                <w:w w:val="89"/>
              </w:rPr>
              <w:t>L+8.50% (Floor 1.00%)</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7/31/2020</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7/31/2025</w:t>
            </w:r>
          </w:p>
        </w:tc>
        <w:tc>
          <w:tcPr>
            <w:tcW w:w="80" w:type="dxa"/>
            <w:vAlign w:val="bottom"/>
            <w:shd w:val="clear" w:color="auto" w:fill="CCEEFF"/>
          </w:tcPr>
          <w:p>
            <w:pPr>
              <w:spacing w:after="0"/>
              <w:rPr>
                <w:sz w:val="7"/>
                <w:szCs w:val="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(DBA EVERWATCH)</w:t>
            </w: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L+8.50%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7/31/2020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7/31/2025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9,543</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9,378</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9,543</w:t>
            </w:r>
          </w:p>
        </w:tc>
        <w:tc>
          <w:tcPr>
            <w:tcW w:w="0" w:type="dxa"/>
            <w:vAlign w:val="bottom"/>
          </w:tcPr>
          <w:p>
            <w:pPr>
              <w:spacing w:after="0"/>
              <w:rPr>
                <w:sz w:val="1"/>
                <w:szCs w:val="1"/>
                <w:color w:val="auto"/>
              </w:rPr>
            </w:pPr>
          </w:p>
        </w:tc>
      </w:tr>
      <w:tr>
        <w:trPr>
          <w:trHeight w:val="124"/>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vMerge w:val="continue"/>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7"/>
              </w:rPr>
              <w:t>Current Coupon 9.50%</w:t>
            </w: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9,345</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9,543</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ICS DISTRIBUTION, LLC</w:t>
            </w:r>
            <w:r>
              <w:rPr>
                <w:rFonts w:ascii="Arial" w:cs="Arial" w:eastAsia="Arial" w:hAnsi="Arial"/>
                <w:sz w:val="12"/>
                <w:szCs w:val="12"/>
                <w:b w:val="1"/>
                <w:bCs w:val="1"/>
                <w:color w:val="auto"/>
                <w:vertAlign w:val="superscript"/>
              </w:rPr>
              <w:t>8</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Industrial services</w:t>
            </w: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L+8.47% (Floor 2.00%)/Q,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10/31/2019</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10/29/2024</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20,500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20,143</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20,274</w:t>
            </w:r>
          </w:p>
        </w:tc>
        <w:tc>
          <w:tcPr>
            <w:tcW w:w="0" w:type="dxa"/>
            <w:vAlign w:val="bottom"/>
          </w:tcPr>
          <w:p>
            <w:pPr>
              <w:spacing w:after="0"/>
              <w:rPr>
                <w:sz w:val="1"/>
                <w:szCs w:val="1"/>
                <w:color w:val="auto"/>
              </w:rPr>
            </w:pPr>
          </w:p>
        </w:tc>
      </w:tr>
      <w:tr>
        <w:trPr>
          <w:trHeight w:val="126"/>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10.47%</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JVMC HOLDINGS CORP.</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Financial services</w:t>
            </w:r>
          </w:p>
        </w:tc>
        <w:tc>
          <w:tcPr>
            <w:tcW w:w="138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90"/>
              </w:rPr>
              <w:t>L+7.25% (Floor 1.00%)/M,</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2/28/2019</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2/28/2024</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6,932</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6,889</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6,856</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8.25%</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KLEIN HERSH, LLC</w:t>
            </w: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tcPr>
          <w:p>
            <w:pPr>
              <w:ind w:left="20"/>
              <w:spacing w:after="0"/>
              <w:rPr>
                <w:sz w:val="20"/>
                <w:szCs w:val="20"/>
                <w:color w:val="auto"/>
              </w:rPr>
            </w:pPr>
            <w:r>
              <w:rPr>
                <w:rFonts w:ascii="Arial" w:cs="Arial" w:eastAsia="Arial" w:hAnsi="Arial"/>
                <w:sz w:val="10"/>
                <w:szCs w:val="10"/>
                <w:color w:val="auto"/>
              </w:rPr>
              <w:t>Business services</w:t>
            </w:r>
          </w:p>
        </w:tc>
        <w:tc>
          <w:tcPr>
            <w:tcW w:w="1380" w:type="dxa"/>
            <w:vAlign w:val="bottom"/>
            <w:gridSpan w:val="2"/>
          </w:tcPr>
          <w:p>
            <w:pPr>
              <w:jc w:val="center"/>
              <w:ind w:right="60"/>
              <w:spacing w:after="0"/>
              <w:rPr>
                <w:sz w:val="20"/>
                <w:szCs w:val="20"/>
                <w:color w:val="auto"/>
              </w:rPr>
            </w:pPr>
            <w:r>
              <w:rPr>
                <w:rFonts w:ascii="Arial" w:cs="Arial" w:eastAsia="Arial" w:hAnsi="Arial"/>
                <w:sz w:val="10"/>
                <w:szCs w:val="10"/>
                <w:color w:val="auto"/>
                <w:w w:val="88"/>
              </w:rPr>
              <w:t>L+7.50% (Floor 0.75%)/S</w:t>
            </w:r>
          </w:p>
        </w:tc>
        <w:tc>
          <w:tcPr>
            <w:tcW w:w="820" w:type="dxa"/>
            <w:vAlign w:val="bottom"/>
          </w:tcPr>
          <w:p>
            <w:pPr>
              <w:jc w:val="center"/>
              <w:spacing w:after="0"/>
              <w:rPr>
                <w:sz w:val="20"/>
                <w:szCs w:val="20"/>
                <w:color w:val="auto"/>
              </w:rPr>
            </w:pPr>
            <w:r>
              <w:rPr>
                <w:rFonts w:ascii="Arial" w:cs="Arial" w:eastAsia="Arial" w:hAnsi="Arial"/>
                <w:sz w:val="10"/>
                <w:szCs w:val="10"/>
                <w:color w:val="auto"/>
                <w:w w:val="87"/>
              </w:rPr>
              <w:t>11/13/2020</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87"/>
              </w:rPr>
              <w:t>11/13/2025</w:t>
            </w:r>
          </w:p>
        </w:tc>
        <w:tc>
          <w:tcPr>
            <w:tcW w:w="80" w:type="dxa"/>
            <w:vAlign w:val="bottom"/>
          </w:tcPr>
          <w:p>
            <w:pPr>
              <w:spacing w:after="0"/>
              <w:rPr>
                <w:sz w:val="10"/>
                <w:szCs w:val="1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90"/>
              </w:rPr>
              <w:t>L+7.50% (Floor 0.75%)/S,</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11/13/2020</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11/13/2025</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14,625</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14,361</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14,625</w:t>
            </w:r>
          </w:p>
        </w:tc>
        <w:tc>
          <w:tcPr>
            <w:tcW w:w="0" w:type="dxa"/>
            <w:vAlign w:val="bottom"/>
          </w:tcPr>
          <w:p>
            <w:pPr>
              <w:spacing w:after="0"/>
              <w:rPr>
                <w:sz w:val="1"/>
                <w:szCs w:val="1"/>
                <w:color w:val="auto"/>
              </w:rPr>
            </w:pPr>
          </w:p>
        </w:tc>
      </w:tr>
      <w:tr>
        <w:trPr>
          <w:trHeight w:val="131"/>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8.25%</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14,345</w:t>
            </w:r>
          </w:p>
        </w:tc>
        <w:tc>
          <w:tcPr>
            <w:tcW w:w="8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14,625</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KMS, INC.</w:t>
            </w:r>
            <w:r>
              <w:rPr>
                <w:rFonts w:ascii="Arial" w:cs="Arial" w:eastAsia="Arial" w:hAnsi="Arial"/>
                <w:sz w:val="12"/>
                <w:szCs w:val="12"/>
                <w:b w:val="1"/>
                <w:bCs w:val="1"/>
                <w:color w:val="auto"/>
                <w:vertAlign w:val="superscript"/>
              </w:rPr>
              <w:t>17</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r>
              <w:rPr>
                <w:rFonts w:ascii="Arial" w:cs="Arial" w:eastAsia="Arial" w:hAnsi="Arial"/>
                <w:sz w:val="12"/>
                <w:szCs w:val="12"/>
                <w:color w:val="auto"/>
                <w:vertAlign w:val="superscript"/>
              </w:rPr>
              <w:t>15</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Distribution</w:t>
            </w: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L+6.00%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1/5/2021</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11/23/2025</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16,000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15,927</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16,000</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7.00%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LANDPOINT HOLDCO, INC.</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Business services</w:t>
            </w: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L+11.00%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12/30/2019</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12/30/2024</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18,675</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18,394</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17,088</w:t>
            </w:r>
          </w:p>
        </w:tc>
        <w:tc>
          <w:tcPr>
            <w:tcW w:w="0" w:type="dxa"/>
            <w:vAlign w:val="bottom"/>
          </w:tcPr>
          <w:p>
            <w:pPr>
              <w:spacing w:after="0"/>
              <w:rPr>
                <w:sz w:val="1"/>
                <w:szCs w:val="1"/>
                <w:color w:val="auto"/>
              </w:rPr>
            </w:pPr>
          </w:p>
        </w:tc>
      </w:tr>
      <w:tr>
        <w:trPr>
          <w:trHeight w:val="121"/>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12.00%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840"/>
          </w:cols>
          <w:pgMar w:left="300" w:top="140" w:right="759" w:bottom="1440" w:gutter="0" w:footer="0" w:header="0"/>
        </w:sectPr>
      </w:pPr>
    </w:p>
    <w:bookmarkStart w:id="11" w:name="page12"/>
    <w:bookmarkEnd w:id="11"/>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CAPITAL SOUTHWEST CORPORATION AND SUBSIDIARIES</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June 30, 2021</w:t>
      </w:r>
    </w:p>
    <w:p>
      <w:pPr>
        <w:sectPr>
          <w:pgSz w:w="11900" w:h="16838" w:orient="portrait"/>
          <w:cols w:equalWidth="0" w:num="1">
            <w:col w:w="10840"/>
          </w:cols>
          <w:pgMar w:left="300" w:top="140" w:right="759" w:bottom="1440" w:gutter="0" w:footer="0" w:header="0"/>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Pr>
          <w:p>
            <w:pPr>
              <w:spacing w:after="0"/>
              <w:rPr>
                <w:sz w:val="12"/>
                <w:szCs w:val="1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r>
      <w:tr>
        <w:trPr>
          <w:trHeight w:val="234"/>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LGM PHARMA, LLC</w:t>
            </w:r>
            <w:r>
              <w:rPr>
                <w:rFonts w:ascii="Arial" w:cs="Arial" w:eastAsia="Arial" w:hAnsi="Arial"/>
                <w:sz w:val="12"/>
                <w:szCs w:val="12"/>
                <w:b w:val="1"/>
                <w:bCs w:val="1"/>
                <w:color w:val="auto"/>
                <w:vertAlign w:val="superscript"/>
              </w:rPr>
              <w:t>13</w:t>
            </w:r>
          </w:p>
        </w:tc>
        <w:tc>
          <w:tcPr>
            <w:tcW w:w="1460" w:type="dxa"/>
            <w:vAlign w:val="bottom"/>
          </w:tcPr>
          <w:p>
            <w:pPr>
              <w:ind w:left="20"/>
              <w:spacing w:after="0"/>
              <w:rPr>
                <w:sz w:val="20"/>
                <w:szCs w:val="20"/>
                <w:color w:val="auto"/>
              </w:rPr>
            </w:pPr>
            <w:r>
              <w:rPr>
                <w:rFonts w:ascii="Arial" w:cs="Arial" w:eastAsia="Arial" w:hAnsi="Arial"/>
                <w:sz w:val="10"/>
                <w:szCs w:val="10"/>
                <w:color w:val="auto"/>
              </w:rPr>
              <w:t>First Lien</w:t>
            </w:r>
          </w:p>
        </w:tc>
      </w:tr>
      <w:tr>
        <w:trPr>
          <w:trHeight w:val="179"/>
        </w:trPr>
        <w:tc>
          <w:tcPr>
            <w:tcW w:w="2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ind w:left="20"/>
              <w:spacing w:after="0"/>
              <w:rPr>
                <w:sz w:val="20"/>
                <w:szCs w:val="20"/>
                <w:color w:val="auto"/>
              </w:rPr>
            </w:pPr>
            <w:r>
              <w:rPr>
                <w:rFonts w:ascii="Arial" w:cs="Arial" w:eastAsia="Arial" w:hAnsi="Arial"/>
                <w:sz w:val="10"/>
                <w:szCs w:val="10"/>
                <w:color w:val="auto"/>
              </w:rPr>
              <w:t>Delayed Draw Term Loan</w:t>
            </w:r>
          </w:p>
        </w:tc>
      </w:tr>
      <w:tr>
        <w:trPr>
          <w:trHeight w:val="98"/>
        </w:trPr>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Pr>
          <w:p>
            <w:pPr>
              <w:ind w:left="20"/>
              <w:spacing w:after="0" w:line="98" w:lineRule="exact"/>
              <w:rPr>
                <w:sz w:val="20"/>
                <w:szCs w:val="20"/>
                <w:color w:val="auto"/>
              </w:rPr>
            </w:pPr>
            <w:r>
              <w:rPr>
                <w:rFonts w:ascii="Arial" w:cs="Arial" w:eastAsia="Arial" w:hAnsi="Arial"/>
                <w:sz w:val="10"/>
                <w:szCs w:val="10"/>
                <w:color w:val="auto"/>
                <w:w w:val="86"/>
              </w:rPr>
              <w:t>142,278.89 units of Class A common</w:t>
            </w:r>
          </w:p>
        </w:tc>
      </w:tr>
      <w:tr>
        <w:trPr>
          <w:trHeight w:val="161"/>
        </w:trPr>
        <w:tc>
          <w:tcPr>
            <w:tcW w:w="2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ind w:left="20"/>
              <w:spacing w:after="0"/>
              <w:rPr>
                <w:sz w:val="20"/>
                <w:szCs w:val="20"/>
                <w:color w:val="auto"/>
              </w:rPr>
            </w:pPr>
            <w:r>
              <w:rPr>
                <w:rFonts w:ascii="Arial" w:cs="Arial" w:eastAsia="Arial" w:hAnsi="Arial"/>
                <w:sz w:val="10"/>
                <w:szCs w:val="10"/>
                <w:color w:val="auto"/>
              </w:rPr>
              <w:t>stock</w:t>
            </w:r>
            <w:r>
              <w:rPr>
                <w:rFonts w:ascii="Arial" w:cs="Arial" w:eastAsia="Arial" w:hAnsi="Arial"/>
                <w:sz w:val="12"/>
                <w:szCs w:val="12"/>
                <w:color w:val="auto"/>
                <w:vertAlign w:val="superscript"/>
              </w:rPr>
              <w:t>9</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Industry</w:t>
            </w:r>
          </w:p>
        </w:tc>
        <w:tc>
          <w:tcPr>
            <w:tcW w:w="60" w:type="dxa"/>
            <w:vAlign w:val="bottom"/>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80" w:type="dxa"/>
            <w:vAlign w:val="bottom"/>
          </w:tcPr>
          <w:p>
            <w:pPr>
              <w:spacing w:after="0"/>
              <w:rPr>
                <w:sz w:val="12"/>
                <w:szCs w:val="1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86"/>
              </w:rPr>
              <w:t>Acquisition Date</w:t>
            </w:r>
            <w:r>
              <w:rPr>
                <w:rFonts w:ascii="Arial" w:cs="Arial" w:eastAsia="Arial" w:hAnsi="Arial"/>
                <w:sz w:val="12"/>
                <w:szCs w:val="12"/>
                <w:b w:val="1"/>
                <w:bCs w:val="1"/>
                <w:color w:val="auto"/>
                <w:w w:val="86"/>
                <w:vertAlign w:val="superscript"/>
              </w:rPr>
              <w:t>14</w:t>
            </w:r>
          </w:p>
        </w:tc>
        <w:tc>
          <w:tcPr>
            <w:tcW w:w="60" w:type="dxa"/>
            <w:vAlign w:val="bottom"/>
          </w:tcPr>
          <w:p>
            <w:pPr>
              <w:spacing w:after="0"/>
              <w:rPr>
                <w:sz w:val="12"/>
                <w:szCs w:val="12"/>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Maturity</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Principal</w:t>
            </w: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Healthcare products</w:t>
            </w:r>
          </w:p>
        </w:tc>
        <w:tc>
          <w:tcPr>
            <w:tcW w:w="1300" w:type="dxa"/>
            <w:vAlign w:val="bottom"/>
          </w:tcPr>
          <w:p>
            <w:pPr>
              <w:jc w:val="center"/>
              <w:spacing w:after="0" w:line="79" w:lineRule="exact"/>
              <w:rPr>
                <w:sz w:val="20"/>
                <w:szCs w:val="20"/>
                <w:color w:val="auto"/>
              </w:rPr>
            </w:pPr>
            <w:r>
              <w:rPr>
                <w:rFonts w:ascii="Arial" w:cs="Arial" w:eastAsia="Arial" w:hAnsi="Arial"/>
                <w:sz w:val="8"/>
                <w:szCs w:val="8"/>
                <w:color w:val="auto"/>
              </w:rPr>
              <w:t>L+8.50% (Floor 1.00%)/M,</w:t>
            </w:r>
          </w:p>
        </w:tc>
        <w:tc>
          <w:tcPr>
            <w:tcW w:w="8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11/15/2017</w:t>
            </w:r>
          </w:p>
        </w:tc>
        <w:tc>
          <w:tcPr>
            <w:tcW w:w="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11/15/2023</w:t>
            </w:r>
          </w:p>
        </w:tc>
        <w:tc>
          <w:tcPr>
            <w:tcW w:w="8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11,394</w:t>
            </w:r>
          </w:p>
        </w:tc>
        <w:tc>
          <w:tcPr>
            <w:tcW w:w="6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11,294</w:t>
            </w:r>
          </w:p>
        </w:tc>
        <w:tc>
          <w:tcPr>
            <w:tcW w:w="8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11,394</w:t>
            </w:r>
          </w:p>
        </w:tc>
        <w:tc>
          <w:tcPr>
            <w:tcW w:w="0" w:type="dxa"/>
            <w:vAlign w:val="bottom"/>
          </w:tcPr>
          <w:p>
            <w:pPr>
              <w:spacing w:after="0"/>
              <w:rPr>
                <w:sz w:val="1"/>
                <w:szCs w:val="1"/>
                <w:color w:val="auto"/>
              </w:rPr>
            </w:pPr>
          </w:p>
        </w:tc>
      </w:tr>
      <w:tr>
        <w:trPr>
          <w:trHeight w:val="121"/>
        </w:trPr>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9.50%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2"/>
          </w:tcPr>
          <w:p>
            <w:pPr>
              <w:jc w:val="center"/>
              <w:ind w:right="80"/>
              <w:spacing w:after="0" w:line="95" w:lineRule="exact"/>
              <w:rPr>
                <w:sz w:val="20"/>
                <w:szCs w:val="20"/>
                <w:color w:val="auto"/>
              </w:rPr>
            </w:pPr>
            <w:r>
              <w:rPr>
                <w:rFonts w:ascii="Arial" w:cs="Arial" w:eastAsia="Arial" w:hAnsi="Arial"/>
                <w:sz w:val="10"/>
                <w:szCs w:val="10"/>
                <w:color w:val="auto"/>
                <w:w w:val="90"/>
              </w:rPr>
              <w:t>L+10.00%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7/24/2020</w:t>
            </w:r>
          </w:p>
        </w:tc>
        <w:tc>
          <w:tcPr>
            <w:tcW w:w="6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11/15/2023</w:t>
            </w:r>
          </w:p>
        </w:tc>
        <w:tc>
          <w:tcPr>
            <w:tcW w:w="8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2,481</w:t>
            </w:r>
          </w:p>
        </w:tc>
        <w:tc>
          <w:tcPr>
            <w:tcW w:w="6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2,445</w:t>
            </w:r>
          </w:p>
        </w:tc>
        <w:tc>
          <w:tcPr>
            <w:tcW w:w="8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2,481</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11.00%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Pr>
          <w:p>
            <w:pPr>
              <w:jc w:val="center"/>
              <w:spacing w:after="0"/>
              <w:rPr>
                <w:sz w:val="20"/>
                <w:szCs w:val="20"/>
                <w:color w:val="auto"/>
              </w:rPr>
            </w:pPr>
            <w:r>
              <w:rPr>
                <w:rFonts w:ascii="Arial" w:cs="Arial" w:eastAsia="Arial" w:hAnsi="Arial"/>
                <w:sz w:val="10"/>
                <w:szCs w:val="10"/>
                <w:color w:val="auto"/>
                <w:w w:val="87"/>
              </w:rPr>
              <w:t>11/15/2017</w:t>
            </w:r>
          </w:p>
        </w:tc>
        <w:tc>
          <w:tcPr>
            <w:tcW w:w="6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1,600</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2,006</w:t>
            </w: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15,339</w:t>
            </w:r>
          </w:p>
        </w:tc>
        <w:tc>
          <w:tcPr>
            <w:tcW w:w="8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15,881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-499110</wp:posOffset>
            </wp:positionV>
            <wp:extent cx="6886575"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142875"/>
                    </a:xfrm>
                    <a:prstGeom prst="rect">
                      <a:avLst/>
                    </a:prstGeom>
                    <a:noFill/>
                  </pic:spPr>
                </pic:pic>
              </a:graphicData>
            </a:graphic>
          </wp:anchor>
        </w:drawing>
        <w:drawing>
          <wp:anchor simplePos="0" relativeHeight="251657728" behindDoc="1" locked="0" layoutInCell="0" allowOverlap="1">
            <wp:simplePos x="0" y="0"/>
            <wp:positionH relativeFrom="column">
              <wp:posOffset>-2366645</wp:posOffset>
            </wp:positionH>
            <wp:positionV relativeFrom="paragraph">
              <wp:posOffset>-219075</wp:posOffset>
            </wp:positionV>
            <wp:extent cx="68865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40" w:space="80"/>
            <w:col w:w="7120"/>
          </w:cols>
          <w:pgMar w:left="300" w:top="140" w:right="759" w:bottom="1440" w:gutter="0" w:footer="0" w:header="0"/>
          <w:type w:val="continuous"/>
        </w:sectPr>
      </w:pPr>
    </w:p>
    <w:tbl>
      <w:tblPr>
        <w:tblLayout w:type="fixed"/>
        <w:tblInd w:w="0" w:type="dxa"/>
        <w:tblCellMar>
          <w:top w:w="0" w:type="dxa"/>
          <w:left w:w="0" w:type="dxa"/>
          <w:bottom w:w="0" w:type="dxa"/>
          <w:right w:w="0" w:type="dxa"/>
        </w:tblCellMar>
      </w:tblPr>
      <w:tr>
        <w:trPr>
          <w:trHeight w:val="95"/>
        </w:trPr>
        <w:tc>
          <w:tcPr>
            <w:tcW w:w="204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LIGHTING RETROFIT INTERNATIONAL,</w:t>
            </w:r>
          </w:p>
        </w:tc>
        <w:tc>
          <w:tcPr>
            <w:tcW w:w="16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560" w:type="dxa"/>
            <w:vAlign w:val="bottom"/>
            <w:shd w:val="clear" w:color="auto" w:fill="CCEEFF"/>
          </w:tcPr>
          <w:p>
            <w:pPr>
              <w:jc w:val="center"/>
              <w:ind w:left="52"/>
              <w:spacing w:after="0" w:line="95" w:lineRule="exact"/>
              <w:rPr>
                <w:sz w:val="20"/>
                <w:szCs w:val="20"/>
                <w:color w:val="auto"/>
              </w:rPr>
            </w:pPr>
            <w:r>
              <w:rPr>
                <w:rFonts w:ascii="Arial" w:cs="Arial" w:eastAsia="Arial" w:hAnsi="Arial"/>
                <w:sz w:val="10"/>
                <w:szCs w:val="10"/>
                <w:color w:val="auto"/>
                <w:w w:val="90"/>
              </w:rPr>
              <w:t>7.50%, L+1.50% PIK (Floor</w:t>
            </w:r>
          </w:p>
        </w:tc>
        <w:tc>
          <w:tcPr>
            <w:tcW w:w="8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shd w:val="clear" w:color="auto" w:fill="CCEEFF"/>
          </w:tcPr>
          <w:p>
            <w:pPr>
              <w:spacing w:after="0"/>
              <w:rPr>
                <w:sz w:val="7"/>
                <w:szCs w:val="7"/>
                <w:color w:val="auto"/>
              </w:rPr>
            </w:pPr>
          </w:p>
        </w:tc>
        <w:tc>
          <w:tcPr>
            <w:tcW w:w="1620" w:type="dxa"/>
            <w:vAlign w:val="bottom"/>
            <w:vMerge w:val="restart"/>
            <w:shd w:val="clear" w:color="auto" w:fill="CCEEFF"/>
          </w:tcPr>
          <w:p>
            <w:pPr>
              <w:ind w:left="160"/>
              <w:spacing w:after="0"/>
              <w:rPr>
                <w:sz w:val="20"/>
                <w:szCs w:val="20"/>
                <w:color w:val="auto"/>
              </w:rPr>
            </w:pPr>
            <w:r>
              <w:rPr>
                <w:rFonts w:ascii="Arial" w:cs="Arial" w:eastAsia="Arial" w:hAnsi="Arial"/>
                <w:sz w:val="10"/>
                <w:szCs w:val="10"/>
                <w:color w:val="auto"/>
              </w:rPr>
              <w:t>First Lien</w:t>
            </w:r>
          </w:p>
        </w:tc>
        <w:tc>
          <w:tcPr>
            <w:tcW w:w="1240" w:type="dxa"/>
            <w:vAlign w:val="bottom"/>
            <w:vMerge w:val="restart"/>
            <w:shd w:val="clear" w:color="auto" w:fill="CCEEFF"/>
          </w:tcPr>
          <w:p>
            <w:pPr>
              <w:ind w:left="80"/>
              <w:spacing w:after="0"/>
              <w:rPr>
                <w:sz w:val="20"/>
                <w:szCs w:val="20"/>
                <w:color w:val="auto"/>
              </w:rPr>
            </w:pPr>
            <w:r>
              <w:rPr>
                <w:rFonts w:ascii="Arial" w:cs="Arial" w:eastAsia="Arial" w:hAnsi="Arial"/>
                <w:sz w:val="10"/>
                <w:szCs w:val="10"/>
                <w:color w:val="auto"/>
              </w:rPr>
              <w:t>Environmental services</w:t>
            </w:r>
          </w:p>
        </w:tc>
        <w:tc>
          <w:tcPr>
            <w:tcW w:w="1560" w:type="dxa"/>
            <w:vAlign w:val="bottom"/>
            <w:shd w:val="clear" w:color="auto" w:fill="CCEEFF"/>
          </w:tcPr>
          <w:p>
            <w:pPr>
              <w:jc w:val="center"/>
              <w:ind w:left="72"/>
              <w:spacing w:after="0" w:line="90" w:lineRule="exact"/>
              <w:rPr>
                <w:sz w:val="20"/>
                <w:szCs w:val="20"/>
                <w:color w:val="auto"/>
              </w:rPr>
            </w:pPr>
            <w:r>
              <w:rPr>
                <w:rFonts w:ascii="Arial" w:cs="Arial" w:eastAsia="Arial" w:hAnsi="Arial"/>
                <w:sz w:val="10"/>
                <w:szCs w:val="10"/>
                <w:color w:val="auto"/>
                <w:w w:val="87"/>
              </w:rPr>
              <w:t>2.00%)/Q, Current Coupon</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6/30/2017</w:t>
            </w:r>
          </w:p>
        </w:tc>
        <w:tc>
          <w:tcPr>
            <w:tcW w:w="1060" w:type="dxa"/>
            <w:vAlign w:val="bottom"/>
            <w:vMerge w:val="restart"/>
            <w:shd w:val="clear" w:color="auto" w:fill="CCEEFF"/>
          </w:tcPr>
          <w:p>
            <w:pPr>
              <w:jc w:val="center"/>
              <w:ind w:right="112"/>
              <w:spacing w:after="0"/>
              <w:rPr>
                <w:sz w:val="20"/>
                <w:szCs w:val="20"/>
                <w:color w:val="auto"/>
              </w:rPr>
            </w:pPr>
            <w:r>
              <w:rPr>
                <w:rFonts w:ascii="Arial" w:cs="Arial" w:eastAsia="Arial" w:hAnsi="Arial"/>
                <w:sz w:val="10"/>
                <w:szCs w:val="10"/>
                <w:color w:val="auto"/>
                <w:w w:val="85"/>
              </w:rPr>
              <w:t>6/30/2022</w:t>
            </w:r>
          </w:p>
        </w:tc>
        <w:tc>
          <w:tcPr>
            <w:tcW w:w="7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14,151</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14,117</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12,128</w:t>
            </w: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LLC (DBA ENVOCORE)</w:t>
            </w:r>
          </w:p>
        </w:tc>
        <w:tc>
          <w:tcPr>
            <w:tcW w:w="1620" w:type="dxa"/>
            <w:vAlign w:val="bottom"/>
            <w:vMerge w:val="continue"/>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56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8"/>
              </w:rPr>
              <w:t>11.00%</w:t>
            </w:r>
          </w:p>
        </w:tc>
        <w:tc>
          <w:tcPr>
            <w:tcW w:w="8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620" w:type="dxa"/>
            <w:vAlign w:val="bottom"/>
          </w:tcPr>
          <w:p>
            <w:pPr>
              <w:ind w:left="160"/>
              <w:spacing w:after="0" w:line="90" w:lineRule="exact"/>
              <w:rPr>
                <w:sz w:val="20"/>
                <w:szCs w:val="20"/>
                <w:color w:val="auto"/>
              </w:rPr>
            </w:pPr>
            <w:r>
              <w:rPr>
                <w:rFonts w:ascii="Arial" w:cs="Arial" w:eastAsia="Arial" w:hAnsi="Arial"/>
                <w:sz w:val="10"/>
                <w:szCs w:val="10"/>
                <w:color w:val="auto"/>
                <w:w w:val="90"/>
              </w:rPr>
              <w:t>25,603 shares of Series C preferred</w:t>
            </w:r>
          </w:p>
        </w:tc>
        <w:tc>
          <w:tcPr>
            <w:tcW w:w="1240" w:type="dxa"/>
            <w:vAlign w:val="bottom"/>
          </w:tcPr>
          <w:p>
            <w:pPr>
              <w:spacing w:after="0"/>
              <w:rPr>
                <w:sz w:val="7"/>
                <w:szCs w:val="7"/>
                <w:color w:val="auto"/>
              </w:rPr>
            </w:pPr>
          </w:p>
        </w:tc>
        <w:tc>
          <w:tcPr>
            <w:tcW w:w="1560" w:type="dxa"/>
            <w:vAlign w:val="bottom"/>
            <w:vMerge w:val="restart"/>
          </w:tcPr>
          <w:p>
            <w:pPr>
              <w:jc w:val="center"/>
              <w:ind w:left="52"/>
              <w:spacing w:after="0"/>
              <w:rPr>
                <w:sz w:val="20"/>
                <w:szCs w:val="20"/>
                <w:color w:val="auto"/>
              </w:rPr>
            </w:pPr>
            <w:r>
              <w:rPr>
                <w:rFonts w:ascii="Arial" w:cs="Arial" w:eastAsia="Arial" w:hAnsi="Arial"/>
                <w:sz w:val="10"/>
                <w:szCs w:val="10"/>
                <w:color w:val="auto"/>
                <w:w w:val="99"/>
              </w:rPr>
              <w:t>—</w:t>
            </w: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8/13/2018</w:t>
            </w:r>
          </w:p>
        </w:tc>
        <w:tc>
          <w:tcPr>
            <w:tcW w:w="1060" w:type="dxa"/>
            <w:vAlign w:val="bottom"/>
            <w:vMerge w:val="restart"/>
          </w:tcPr>
          <w:p>
            <w:pPr>
              <w:jc w:val="center"/>
              <w:ind w:right="112"/>
              <w:spacing w:after="0"/>
              <w:rPr>
                <w:sz w:val="20"/>
                <w:szCs w:val="20"/>
                <w:color w:val="auto"/>
              </w:rPr>
            </w:pPr>
            <w:r>
              <w:rPr>
                <w:rFonts w:ascii="Arial" w:cs="Arial" w:eastAsia="Arial" w:hAnsi="Arial"/>
                <w:sz w:val="10"/>
                <w:szCs w:val="10"/>
                <w:color w:val="auto"/>
                <w:w w:val="99"/>
              </w:rPr>
              <w:t>—</w:t>
            </w: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1620" w:type="dxa"/>
            <w:vAlign w:val="bottom"/>
          </w:tcPr>
          <w:p>
            <w:pPr>
              <w:ind w:left="160"/>
              <w:spacing w:after="0"/>
              <w:rPr>
                <w:sz w:val="20"/>
                <w:szCs w:val="20"/>
                <w:color w:val="auto"/>
              </w:rPr>
            </w:pPr>
            <w:r>
              <w:rPr>
                <w:rFonts w:ascii="Arial" w:cs="Arial" w:eastAsia="Arial" w:hAnsi="Arial"/>
                <w:sz w:val="10"/>
                <w:szCs w:val="10"/>
                <w:color w:val="auto"/>
              </w:rPr>
              <w:t>stock</w:t>
            </w:r>
          </w:p>
        </w:tc>
        <w:tc>
          <w:tcPr>
            <w:tcW w:w="12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40" w:type="dxa"/>
            <w:vAlign w:val="bottom"/>
            <w:shd w:val="clear" w:color="auto" w:fill="CCEEFF"/>
          </w:tcPr>
          <w:p>
            <w:pPr>
              <w:spacing w:after="0"/>
              <w:rPr>
                <w:sz w:val="8"/>
                <w:szCs w:val="8"/>
                <w:color w:val="auto"/>
              </w:rPr>
            </w:pPr>
          </w:p>
        </w:tc>
        <w:tc>
          <w:tcPr>
            <w:tcW w:w="1620" w:type="dxa"/>
            <w:vAlign w:val="bottom"/>
            <w:shd w:val="clear" w:color="auto" w:fill="CCEEFF"/>
          </w:tcPr>
          <w:p>
            <w:pPr>
              <w:ind w:left="160"/>
              <w:spacing w:after="0" w:line="92" w:lineRule="exact"/>
              <w:rPr>
                <w:sz w:val="20"/>
                <w:szCs w:val="20"/>
                <w:color w:val="auto"/>
              </w:rPr>
            </w:pPr>
            <w:r>
              <w:rPr>
                <w:rFonts w:ascii="Arial" w:cs="Arial" w:eastAsia="Arial" w:hAnsi="Arial"/>
                <w:sz w:val="10"/>
                <w:szCs w:val="10"/>
                <w:color w:val="auto"/>
                <w:w w:val="87"/>
              </w:rPr>
              <w:t>396,825 shares of Series B preferred</w:t>
            </w:r>
          </w:p>
        </w:tc>
        <w:tc>
          <w:tcPr>
            <w:tcW w:w="1240" w:type="dxa"/>
            <w:vAlign w:val="bottom"/>
            <w:shd w:val="clear" w:color="auto" w:fill="CCEEFF"/>
          </w:tcPr>
          <w:p>
            <w:pPr>
              <w:spacing w:after="0"/>
              <w:rPr>
                <w:sz w:val="8"/>
                <w:szCs w:val="8"/>
                <w:color w:val="auto"/>
              </w:rPr>
            </w:pPr>
          </w:p>
        </w:tc>
        <w:tc>
          <w:tcPr>
            <w:tcW w:w="1560" w:type="dxa"/>
            <w:vAlign w:val="bottom"/>
            <w:vMerge w:val="restart"/>
            <w:shd w:val="clear" w:color="auto" w:fill="CCEEFF"/>
          </w:tcPr>
          <w:p>
            <w:pPr>
              <w:jc w:val="center"/>
              <w:ind w:left="52"/>
              <w:spacing w:after="0"/>
              <w:rPr>
                <w:sz w:val="20"/>
                <w:szCs w:val="20"/>
                <w:color w:val="auto"/>
              </w:rPr>
            </w:pPr>
            <w:r>
              <w:rPr>
                <w:rFonts w:ascii="Arial" w:cs="Arial" w:eastAsia="Arial" w:hAnsi="Arial"/>
                <w:sz w:val="10"/>
                <w:szCs w:val="10"/>
                <w:color w:val="auto"/>
                <w:w w:val="99"/>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6/30/2017</w:t>
            </w:r>
          </w:p>
        </w:tc>
        <w:tc>
          <w:tcPr>
            <w:tcW w:w="1060" w:type="dxa"/>
            <w:vAlign w:val="bottom"/>
            <w:vMerge w:val="restart"/>
            <w:shd w:val="clear" w:color="auto" w:fill="CCEEFF"/>
          </w:tcPr>
          <w:p>
            <w:pPr>
              <w:jc w:val="center"/>
              <w:ind w:right="112"/>
              <w:spacing w:after="0"/>
              <w:rPr>
                <w:sz w:val="20"/>
                <w:szCs w:val="20"/>
                <w:color w:val="auto"/>
              </w:rPr>
            </w:pPr>
            <w:r>
              <w:rPr>
                <w:rFonts w:ascii="Arial" w:cs="Arial" w:eastAsia="Arial" w:hAnsi="Arial"/>
                <w:sz w:val="10"/>
                <w:szCs w:val="10"/>
                <w:color w:val="auto"/>
                <w:w w:val="99"/>
              </w:rPr>
              <w:t>—</w:t>
            </w:r>
          </w:p>
        </w:tc>
        <w:tc>
          <w:tcPr>
            <w:tcW w:w="7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2040" w:type="dxa"/>
            <w:vAlign w:val="bottom"/>
            <w:shd w:val="clear" w:color="auto" w:fill="CCEEFF"/>
          </w:tcPr>
          <w:p>
            <w:pPr>
              <w:spacing w:after="0"/>
              <w:rPr>
                <w:sz w:val="10"/>
                <w:szCs w:val="10"/>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stock</w:t>
            </w:r>
          </w:p>
        </w:tc>
        <w:tc>
          <w:tcPr>
            <w:tcW w:w="1240" w:type="dxa"/>
            <w:vAlign w:val="bottom"/>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14,642</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12,128</w:t>
            </w:r>
          </w:p>
        </w:tc>
        <w:tc>
          <w:tcPr>
            <w:tcW w:w="0" w:type="dxa"/>
            <w:vAlign w:val="bottom"/>
          </w:tcPr>
          <w:p>
            <w:pPr>
              <w:spacing w:after="0"/>
              <w:rPr>
                <w:sz w:val="1"/>
                <w:szCs w:val="1"/>
                <w:color w:val="auto"/>
              </w:rPr>
            </w:pPr>
          </w:p>
        </w:tc>
      </w:tr>
      <w:tr>
        <w:trPr>
          <w:trHeight w:val="92"/>
        </w:trPr>
        <w:tc>
          <w:tcPr>
            <w:tcW w:w="204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MAKO STEEL LP</w:t>
            </w:r>
          </w:p>
        </w:tc>
        <w:tc>
          <w:tcPr>
            <w:tcW w:w="1620" w:type="dxa"/>
            <w:vAlign w:val="bottom"/>
            <w:vMerge w:val="restart"/>
            <w:shd w:val="clear" w:color="auto" w:fill="CCEEFF"/>
          </w:tcPr>
          <w:p>
            <w:pPr>
              <w:ind w:left="16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240" w:type="dxa"/>
            <w:vAlign w:val="bottom"/>
            <w:vMerge w:val="restart"/>
            <w:shd w:val="clear" w:color="auto" w:fill="CCEEFF"/>
          </w:tcPr>
          <w:p>
            <w:pPr>
              <w:ind w:left="80"/>
              <w:spacing w:after="0"/>
              <w:rPr>
                <w:sz w:val="20"/>
                <w:szCs w:val="20"/>
                <w:color w:val="auto"/>
              </w:rPr>
            </w:pPr>
            <w:r>
              <w:rPr>
                <w:rFonts w:ascii="Arial" w:cs="Arial" w:eastAsia="Arial" w:hAnsi="Arial"/>
                <w:sz w:val="10"/>
                <w:szCs w:val="10"/>
                <w:color w:val="auto"/>
              </w:rPr>
              <w:t>Business services</w:t>
            </w:r>
          </w:p>
        </w:tc>
        <w:tc>
          <w:tcPr>
            <w:tcW w:w="1560" w:type="dxa"/>
            <w:vAlign w:val="bottom"/>
            <w:shd w:val="clear" w:color="auto" w:fill="CCEEFF"/>
          </w:tcPr>
          <w:p>
            <w:pPr>
              <w:jc w:val="center"/>
              <w:ind w:left="72"/>
              <w:spacing w:after="0" w:line="92" w:lineRule="exact"/>
              <w:rPr>
                <w:sz w:val="20"/>
                <w:szCs w:val="20"/>
                <w:color w:val="auto"/>
              </w:rPr>
            </w:pPr>
            <w:r>
              <w:rPr>
                <w:rFonts w:ascii="Arial" w:cs="Arial" w:eastAsia="Arial" w:hAnsi="Arial"/>
                <w:sz w:val="10"/>
                <w:szCs w:val="10"/>
                <w:color w:val="auto"/>
                <w:w w:val="89"/>
              </w:rPr>
              <w:t>L+7.25% (Floor 0.75%)/Q,</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3/15/2021</w:t>
            </w:r>
          </w:p>
        </w:tc>
        <w:tc>
          <w:tcPr>
            <w:tcW w:w="1060" w:type="dxa"/>
            <w:vAlign w:val="bottom"/>
            <w:vMerge w:val="restart"/>
            <w:shd w:val="clear" w:color="auto" w:fill="CCEEFF"/>
          </w:tcPr>
          <w:p>
            <w:pPr>
              <w:jc w:val="center"/>
              <w:ind w:right="112"/>
              <w:spacing w:after="0"/>
              <w:rPr>
                <w:sz w:val="20"/>
                <w:szCs w:val="20"/>
                <w:color w:val="auto"/>
              </w:rPr>
            </w:pPr>
            <w:r>
              <w:rPr>
                <w:rFonts w:ascii="Arial" w:cs="Arial" w:eastAsia="Arial" w:hAnsi="Arial"/>
                <w:sz w:val="10"/>
                <w:szCs w:val="10"/>
                <w:color w:val="auto"/>
                <w:w w:val="85"/>
              </w:rPr>
              <w:t>3/13/2026</w:t>
            </w:r>
          </w:p>
        </w:tc>
        <w:tc>
          <w:tcPr>
            <w:tcW w:w="7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962</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927</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942</w:t>
            </w:r>
          </w:p>
        </w:tc>
        <w:tc>
          <w:tcPr>
            <w:tcW w:w="0" w:type="dxa"/>
            <w:vAlign w:val="bottom"/>
          </w:tcPr>
          <w:p>
            <w:pPr>
              <w:spacing w:after="0"/>
              <w:rPr>
                <w:sz w:val="1"/>
                <w:szCs w:val="1"/>
                <w:color w:val="auto"/>
              </w:rPr>
            </w:pPr>
          </w:p>
        </w:tc>
      </w:tr>
      <w:tr>
        <w:trPr>
          <w:trHeight w:val="126"/>
        </w:trPr>
        <w:tc>
          <w:tcPr>
            <w:tcW w:w="2040" w:type="dxa"/>
            <w:vAlign w:val="bottom"/>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56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7"/>
              </w:rPr>
              <w:t>Current Coupon 8.00%</w:t>
            </w:r>
          </w:p>
        </w:tc>
        <w:tc>
          <w:tcPr>
            <w:tcW w:w="8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620" w:type="dxa"/>
            <w:vAlign w:val="bottom"/>
            <w:vMerge w:val="restart"/>
          </w:tcPr>
          <w:p>
            <w:pPr>
              <w:ind w:left="160"/>
              <w:spacing w:after="0"/>
              <w:rPr>
                <w:sz w:val="20"/>
                <w:szCs w:val="20"/>
                <w:color w:val="auto"/>
              </w:rPr>
            </w:pPr>
            <w:r>
              <w:rPr>
                <w:rFonts w:ascii="Arial" w:cs="Arial" w:eastAsia="Arial" w:hAnsi="Arial"/>
                <w:sz w:val="10"/>
                <w:szCs w:val="10"/>
                <w:color w:val="auto"/>
              </w:rPr>
              <w:t>First Lien</w:t>
            </w:r>
          </w:p>
        </w:tc>
        <w:tc>
          <w:tcPr>
            <w:tcW w:w="1240" w:type="dxa"/>
            <w:vAlign w:val="bottom"/>
          </w:tcPr>
          <w:p>
            <w:pPr>
              <w:spacing w:after="0"/>
              <w:rPr>
                <w:sz w:val="7"/>
                <w:szCs w:val="7"/>
                <w:color w:val="auto"/>
              </w:rPr>
            </w:pPr>
          </w:p>
        </w:tc>
        <w:tc>
          <w:tcPr>
            <w:tcW w:w="1560" w:type="dxa"/>
            <w:vAlign w:val="bottom"/>
          </w:tcPr>
          <w:p>
            <w:pPr>
              <w:jc w:val="center"/>
              <w:ind w:left="72"/>
              <w:spacing w:after="0" w:line="90" w:lineRule="exact"/>
              <w:rPr>
                <w:sz w:val="20"/>
                <w:szCs w:val="20"/>
                <w:color w:val="auto"/>
              </w:rPr>
            </w:pPr>
            <w:r>
              <w:rPr>
                <w:rFonts w:ascii="Arial" w:cs="Arial" w:eastAsia="Arial" w:hAnsi="Arial"/>
                <w:sz w:val="10"/>
                <w:szCs w:val="10"/>
                <w:color w:val="auto"/>
                <w:w w:val="89"/>
              </w:rPr>
              <w:t>L+7.25% (Floor 0.75%)/Q,</w:t>
            </w: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3/15/2021</w:t>
            </w:r>
          </w:p>
        </w:tc>
        <w:tc>
          <w:tcPr>
            <w:tcW w:w="1060" w:type="dxa"/>
            <w:vAlign w:val="bottom"/>
            <w:vMerge w:val="restart"/>
          </w:tcPr>
          <w:p>
            <w:pPr>
              <w:jc w:val="center"/>
              <w:ind w:right="112"/>
              <w:spacing w:after="0"/>
              <w:rPr>
                <w:sz w:val="20"/>
                <w:szCs w:val="20"/>
                <w:color w:val="auto"/>
              </w:rPr>
            </w:pPr>
            <w:r>
              <w:rPr>
                <w:rFonts w:ascii="Arial" w:cs="Arial" w:eastAsia="Arial" w:hAnsi="Arial"/>
                <w:sz w:val="10"/>
                <w:szCs w:val="10"/>
                <w:color w:val="auto"/>
                <w:w w:val="85"/>
              </w:rPr>
              <w:t>3/13/2026</w:t>
            </w: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color w:val="auto"/>
              </w:rPr>
              <w:t>8,093</w:t>
            </w: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7,939</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7,923</w:t>
            </w:r>
          </w:p>
        </w:tc>
        <w:tc>
          <w:tcPr>
            <w:tcW w:w="0" w:type="dxa"/>
            <w:vAlign w:val="bottom"/>
          </w:tcPr>
          <w:p>
            <w:pPr>
              <w:spacing w:after="0"/>
              <w:rPr>
                <w:sz w:val="1"/>
                <w:szCs w:val="1"/>
                <w:color w:val="auto"/>
              </w:rPr>
            </w:pPr>
          </w:p>
        </w:tc>
      </w:tr>
      <w:tr>
        <w:trPr>
          <w:trHeight w:val="124"/>
        </w:trPr>
        <w:tc>
          <w:tcPr>
            <w:tcW w:w="2040" w:type="dxa"/>
            <w:vAlign w:val="bottom"/>
            <w:tcBorders>
              <w:bottom w:val="single" w:sz="8" w:color="CCEEFF"/>
            </w:tcBorders>
          </w:tcPr>
          <w:p>
            <w:pPr>
              <w:spacing w:after="0"/>
              <w:rPr>
                <w:sz w:val="10"/>
                <w:szCs w:val="10"/>
                <w:color w:val="auto"/>
              </w:rPr>
            </w:pPr>
          </w:p>
        </w:tc>
        <w:tc>
          <w:tcPr>
            <w:tcW w:w="1620" w:type="dxa"/>
            <w:vAlign w:val="bottom"/>
            <w:tcBorders>
              <w:bottom w:val="single" w:sz="8" w:color="CCEEFF"/>
            </w:tcBorders>
            <w:vMerge w:val="continue"/>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jc w:val="center"/>
              <w:ind w:left="52"/>
              <w:spacing w:after="0"/>
              <w:rPr>
                <w:sz w:val="20"/>
                <w:szCs w:val="20"/>
                <w:color w:val="auto"/>
              </w:rPr>
            </w:pPr>
            <w:r>
              <w:rPr>
                <w:rFonts w:ascii="Arial" w:cs="Arial" w:eastAsia="Arial" w:hAnsi="Arial"/>
                <w:sz w:val="10"/>
                <w:szCs w:val="10"/>
                <w:color w:val="auto"/>
                <w:w w:val="87"/>
              </w:rPr>
              <w:t>Current Coupon 8.00%</w:t>
            </w:r>
          </w:p>
        </w:tc>
        <w:tc>
          <w:tcPr>
            <w:tcW w:w="840" w:type="dxa"/>
            <w:vAlign w:val="bottom"/>
            <w:tcBorders>
              <w:bottom w:val="single" w:sz="8" w:color="CCEEFF"/>
            </w:tcBorders>
            <w:vMerge w:val="continue"/>
          </w:tcPr>
          <w:p>
            <w:pPr>
              <w:spacing w:after="0"/>
              <w:rPr>
                <w:sz w:val="10"/>
                <w:szCs w:val="10"/>
                <w:color w:val="auto"/>
              </w:rPr>
            </w:pPr>
          </w:p>
        </w:tc>
        <w:tc>
          <w:tcPr>
            <w:tcW w:w="1060" w:type="dxa"/>
            <w:vAlign w:val="bottom"/>
            <w:tcBorders>
              <w:bottom w:val="single" w:sz="8" w:color="CCEEFF"/>
            </w:tcBorders>
            <w:vMerge w:val="continue"/>
          </w:tcPr>
          <w:p>
            <w:pPr>
              <w:spacing w:after="0"/>
              <w:rPr>
                <w:sz w:val="10"/>
                <w:szCs w:val="10"/>
                <w:color w:val="auto"/>
              </w:rPr>
            </w:pPr>
          </w:p>
        </w:tc>
        <w:tc>
          <w:tcPr>
            <w:tcW w:w="760" w:type="dxa"/>
            <w:vAlign w:val="bottom"/>
            <w:tcBorders>
              <w:bottom w:val="single" w:sz="8" w:color="CCEEFF"/>
            </w:tcBorders>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8,866</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8,865</w:t>
            </w:r>
          </w:p>
        </w:tc>
        <w:tc>
          <w:tcPr>
            <w:tcW w:w="0" w:type="dxa"/>
            <w:vAlign w:val="bottom"/>
          </w:tcPr>
          <w:p>
            <w:pPr>
              <w:spacing w:after="0"/>
              <w:rPr>
                <w:sz w:val="1"/>
                <w:szCs w:val="1"/>
                <w:color w:val="auto"/>
              </w:rPr>
            </w:pPr>
          </w:p>
        </w:tc>
      </w:tr>
      <w:tr>
        <w:trPr>
          <w:trHeight w:val="126"/>
        </w:trPr>
        <w:tc>
          <w:tcPr>
            <w:tcW w:w="2040" w:type="dxa"/>
            <w:vAlign w:val="bottom"/>
          </w:tcPr>
          <w:p>
            <w:pPr>
              <w:spacing w:after="0"/>
              <w:rPr>
                <w:sz w:val="20"/>
                <w:szCs w:val="20"/>
                <w:color w:val="auto"/>
              </w:rPr>
            </w:pPr>
            <w:r>
              <w:rPr>
                <w:rFonts w:ascii="Arial" w:cs="Arial" w:eastAsia="Arial" w:hAnsi="Arial"/>
                <w:sz w:val="10"/>
                <w:szCs w:val="10"/>
                <w:b w:val="1"/>
                <w:bCs w:val="1"/>
                <w:color w:val="auto"/>
              </w:rPr>
              <w:t>NEUROPSYCHIATRIC HOSPITALS, LLC</w:t>
            </w:r>
          </w:p>
        </w:tc>
        <w:tc>
          <w:tcPr>
            <w:tcW w:w="1620" w:type="dxa"/>
            <w:vAlign w:val="bottom"/>
          </w:tcPr>
          <w:p>
            <w:pPr>
              <w:ind w:left="160"/>
              <w:spacing w:after="0" w:line="126"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240" w:type="dxa"/>
            <w:vAlign w:val="bottom"/>
          </w:tcPr>
          <w:p>
            <w:pPr>
              <w:ind w:left="80"/>
              <w:spacing w:after="0"/>
              <w:rPr>
                <w:sz w:val="20"/>
                <w:szCs w:val="20"/>
                <w:color w:val="auto"/>
              </w:rPr>
            </w:pPr>
            <w:r>
              <w:rPr>
                <w:rFonts w:ascii="Arial" w:cs="Arial" w:eastAsia="Arial" w:hAnsi="Arial"/>
                <w:sz w:val="10"/>
                <w:szCs w:val="10"/>
                <w:color w:val="auto"/>
              </w:rPr>
              <w:t>Healthcare services</w:t>
            </w:r>
          </w:p>
        </w:tc>
        <w:tc>
          <w:tcPr>
            <w:tcW w:w="1560" w:type="dxa"/>
            <w:vAlign w:val="bottom"/>
          </w:tcPr>
          <w:p>
            <w:pPr>
              <w:jc w:val="center"/>
              <w:ind w:left="72"/>
              <w:spacing w:after="0"/>
              <w:rPr>
                <w:sz w:val="20"/>
                <w:szCs w:val="20"/>
                <w:color w:val="auto"/>
              </w:rPr>
            </w:pPr>
            <w:r>
              <w:rPr>
                <w:rFonts w:ascii="Arial" w:cs="Arial" w:eastAsia="Arial" w:hAnsi="Arial"/>
                <w:sz w:val="10"/>
                <w:szCs w:val="10"/>
                <w:color w:val="auto"/>
                <w:w w:val="89"/>
              </w:rPr>
              <w:t>L+8.00% (Floor 1.00%)</w:t>
            </w:r>
          </w:p>
        </w:tc>
        <w:tc>
          <w:tcPr>
            <w:tcW w:w="840" w:type="dxa"/>
            <w:vAlign w:val="bottom"/>
          </w:tcPr>
          <w:p>
            <w:pPr>
              <w:jc w:val="center"/>
              <w:spacing w:after="0"/>
              <w:rPr>
                <w:sz w:val="20"/>
                <w:szCs w:val="20"/>
                <w:color w:val="auto"/>
              </w:rPr>
            </w:pPr>
            <w:r>
              <w:rPr>
                <w:rFonts w:ascii="Arial" w:cs="Arial" w:eastAsia="Arial" w:hAnsi="Arial"/>
                <w:sz w:val="10"/>
                <w:szCs w:val="10"/>
                <w:color w:val="auto"/>
                <w:w w:val="89"/>
              </w:rPr>
              <w:t>5/14/2021</w:t>
            </w:r>
          </w:p>
        </w:tc>
        <w:tc>
          <w:tcPr>
            <w:tcW w:w="1060" w:type="dxa"/>
            <w:vAlign w:val="bottom"/>
          </w:tcPr>
          <w:p>
            <w:pPr>
              <w:jc w:val="center"/>
              <w:ind w:right="112"/>
              <w:spacing w:after="0"/>
              <w:rPr>
                <w:sz w:val="20"/>
                <w:szCs w:val="20"/>
                <w:color w:val="auto"/>
              </w:rPr>
            </w:pPr>
            <w:r>
              <w:rPr>
                <w:rFonts w:ascii="Arial" w:cs="Arial" w:eastAsia="Arial" w:hAnsi="Arial"/>
                <w:sz w:val="10"/>
                <w:szCs w:val="10"/>
                <w:color w:val="auto"/>
                <w:w w:val="85"/>
              </w:rPr>
              <w:t>5/14/2026</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(97)</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rPr>
                <w:sz w:val="7"/>
                <w:szCs w:val="7"/>
                <w:color w:val="auto"/>
              </w:rPr>
            </w:pPr>
          </w:p>
        </w:tc>
        <w:tc>
          <w:tcPr>
            <w:tcW w:w="1620" w:type="dxa"/>
            <w:vAlign w:val="bottom"/>
            <w:vMerge w:val="restart"/>
            <w:shd w:val="clear" w:color="auto" w:fill="CCEEFF"/>
          </w:tcPr>
          <w:p>
            <w:pPr>
              <w:ind w:left="160"/>
              <w:spacing w:after="0"/>
              <w:rPr>
                <w:sz w:val="20"/>
                <w:szCs w:val="20"/>
                <w:color w:val="auto"/>
              </w:rPr>
            </w:pPr>
            <w:r>
              <w:rPr>
                <w:rFonts w:ascii="Arial" w:cs="Arial" w:eastAsia="Arial" w:hAnsi="Arial"/>
                <w:sz w:val="10"/>
                <w:szCs w:val="10"/>
                <w:color w:val="auto"/>
              </w:rPr>
              <w:t>First Lien</w:t>
            </w:r>
          </w:p>
        </w:tc>
        <w:tc>
          <w:tcPr>
            <w:tcW w:w="1240" w:type="dxa"/>
            <w:vAlign w:val="bottom"/>
            <w:shd w:val="clear" w:color="auto" w:fill="CCEEFF"/>
          </w:tcPr>
          <w:p>
            <w:pPr>
              <w:spacing w:after="0"/>
              <w:rPr>
                <w:sz w:val="7"/>
                <w:szCs w:val="7"/>
                <w:color w:val="auto"/>
              </w:rPr>
            </w:pPr>
          </w:p>
        </w:tc>
        <w:tc>
          <w:tcPr>
            <w:tcW w:w="1560" w:type="dxa"/>
            <w:vAlign w:val="bottom"/>
            <w:shd w:val="clear" w:color="auto" w:fill="CCEEFF"/>
          </w:tcPr>
          <w:p>
            <w:pPr>
              <w:jc w:val="center"/>
              <w:ind w:left="72"/>
              <w:spacing w:after="0" w:line="90" w:lineRule="exact"/>
              <w:rPr>
                <w:sz w:val="20"/>
                <w:szCs w:val="20"/>
                <w:color w:val="auto"/>
              </w:rPr>
            </w:pPr>
            <w:r>
              <w:rPr>
                <w:rFonts w:ascii="Arial" w:cs="Arial" w:eastAsia="Arial" w:hAnsi="Arial"/>
                <w:sz w:val="10"/>
                <w:szCs w:val="10"/>
                <w:color w:val="auto"/>
                <w:w w:val="89"/>
              </w:rPr>
              <w:t>L+8.00% (Floor 1.00%)/Q,</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5/14/2021</w:t>
            </w:r>
          </w:p>
        </w:tc>
        <w:tc>
          <w:tcPr>
            <w:tcW w:w="1060" w:type="dxa"/>
            <w:vAlign w:val="bottom"/>
            <w:vMerge w:val="restart"/>
            <w:shd w:val="clear" w:color="auto" w:fill="CCEEFF"/>
          </w:tcPr>
          <w:p>
            <w:pPr>
              <w:jc w:val="center"/>
              <w:ind w:right="112"/>
              <w:spacing w:after="0"/>
              <w:rPr>
                <w:sz w:val="20"/>
                <w:szCs w:val="20"/>
                <w:color w:val="auto"/>
              </w:rPr>
            </w:pPr>
            <w:r>
              <w:rPr>
                <w:rFonts w:ascii="Arial" w:cs="Arial" w:eastAsia="Arial" w:hAnsi="Arial"/>
                <w:sz w:val="10"/>
                <w:szCs w:val="10"/>
                <w:color w:val="auto"/>
                <w:w w:val="85"/>
              </w:rPr>
              <w:t>5/14/2026</w:t>
            </w:r>
          </w:p>
        </w:tc>
        <w:tc>
          <w:tcPr>
            <w:tcW w:w="7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15,000</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14,706</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14,706</w:t>
            </w: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6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7"/>
              </w:rPr>
              <w:t>Current Coupon 9.00%</w:t>
            </w:r>
          </w:p>
        </w:tc>
        <w:tc>
          <w:tcPr>
            <w:tcW w:w="8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40" w:type="dxa"/>
            <w:vAlign w:val="bottom"/>
            <w:tcBorders>
              <w:bottom w:val="single" w:sz="8" w:color="CCEEFF"/>
            </w:tcBorders>
          </w:tcPr>
          <w:p>
            <w:pPr>
              <w:spacing w:after="0"/>
              <w:rPr>
                <w:sz w:val="10"/>
                <w:szCs w:val="10"/>
                <w:color w:val="auto"/>
              </w:rPr>
            </w:pPr>
          </w:p>
        </w:tc>
        <w:tc>
          <w:tcPr>
            <w:tcW w:w="1620" w:type="dxa"/>
            <w:vAlign w:val="bottom"/>
            <w:tcBorders>
              <w:bottom w:val="single" w:sz="8" w:color="CCEEFF"/>
            </w:tcBorders>
          </w:tcPr>
          <w:p>
            <w:pPr>
              <w:ind w:left="160"/>
              <w:spacing w:after="0" w:line="126" w:lineRule="exact"/>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24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jc w:val="center"/>
              <w:ind w:left="72"/>
              <w:spacing w:after="0"/>
              <w:rPr>
                <w:sz w:val="20"/>
                <w:szCs w:val="20"/>
                <w:color w:val="auto"/>
              </w:rPr>
            </w:pPr>
            <w:r>
              <w:rPr>
                <w:rFonts w:ascii="Arial" w:cs="Arial" w:eastAsia="Arial" w:hAnsi="Arial"/>
                <w:sz w:val="10"/>
                <w:szCs w:val="10"/>
                <w:color w:val="auto"/>
                <w:w w:val="89"/>
              </w:rPr>
              <w:t>L+8.00% (Floor 1.00%)</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9"/>
              </w:rPr>
              <w:t>5/14/2021</w:t>
            </w:r>
          </w:p>
        </w:tc>
        <w:tc>
          <w:tcPr>
            <w:tcW w:w="1060" w:type="dxa"/>
            <w:vAlign w:val="bottom"/>
            <w:tcBorders>
              <w:bottom w:val="single" w:sz="8" w:color="CCEEFF"/>
            </w:tcBorders>
          </w:tcPr>
          <w:p>
            <w:pPr>
              <w:jc w:val="center"/>
              <w:ind w:right="112"/>
              <w:spacing w:after="0"/>
              <w:rPr>
                <w:sz w:val="20"/>
                <w:szCs w:val="20"/>
                <w:color w:val="auto"/>
              </w:rPr>
            </w:pPr>
            <w:r>
              <w:rPr>
                <w:rFonts w:ascii="Arial" w:cs="Arial" w:eastAsia="Arial" w:hAnsi="Arial"/>
                <w:sz w:val="10"/>
                <w:szCs w:val="10"/>
                <w:color w:val="auto"/>
                <w:w w:val="85"/>
              </w:rPr>
              <w:t>5/14/2026</w:t>
            </w:r>
          </w:p>
        </w:tc>
        <w:tc>
          <w:tcPr>
            <w:tcW w:w="760" w:type="dxa"/>
            <w:vAlign w:val="bottom"/>
            <w:tcBorders>
              <w:bottom w:val="single" w:sz="8" w:color="CCEEFF"/>
            </w:tcBorders>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w:t>
            </w: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14,512</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14,706</w:t>
            </w: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Arial" w:cs="Arial" w:eastAsia="Arial" w:hAnsi="Arial"/>
                <w:sz w:val="10"/>
                <w:szCs w:val="10"/>
                <w:b w:val="1"/>
                <w:bCs w:val="1"/>
                <w:color w:val="auto"/>
              </w:rPr>
              <w:t>NINJATRADER, INC.</w:t>
            </w:r>
            <w:r>
              <w:rPr>
                <w:rFonts w:ascii="Arial" w:cs="Arial" w:eastAsia="Arial" w:hAnsi="Arial"/>
                <w:sz w:val="12"/>
                <w:szCs w:val="12"/>
                <w:b w:val="1"/>
                <w:bCs w:val="1"/>
                <w:color w:val="auto"/>
                <w:vertAlign w:val="superscript"/>
              </w:rPr>
              <w:t>13</w:t>
            </w:r>
          </w:p>
        </w:tc>
        <w:tc>
          <w:tcPr>
            <w:tcW w:w="1620" w:type="dxa"/>
            <w:vAlign w:val="bottom"/>
          </w:tcPr>
          <w:p>
            <w:pPr>
              <w:ind w:left="160"/>
              <w:spacing w:after="0" w:line="126"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240" w:type="dxa"/>
            <w:vAlign w:val="bottom"/>
          </w:tcPr>
          <w:p>
            <w:pPr>
              <w:ind w:left="80"/>
              <w:spacing w:after="0"/>
              <w:rPr>
                <w:sz w:val="20"/>
                <w:szCs w:val="20"/>
                <w:color w:val="auto"/>
              </w:rPr>
            </w:pPr>
            <w:r>
              <w:rPr>
                <w:rFonts w:ascii="Arial" w:cs="Arial" w:eastAsia="Arial" w:hAnsi="Arial"/>
                <w:sz w:val="10"/>
                <w:szCs w:val="10"/>
                <w:color w:val="auto"/>
              </w:rPr>
              <w:t>Financial services</w:t>
            </w:r>
          </w:p>
        </w:tc>
        <w:tc>
          <w:tcPr>
            <w:tcW w:w="1560" w:type="dxa"/>
            <w:vAlign w:val="bottom"/>
          </w:tcPr>
          <w:p>
            <w:pPr>
              <w:jc w:val="center"/>
              <w:ind w:left="72"/>
              <w:spacing w:after="0"/>
              <w:rPr>
                <w:sz w:val="20"/>
                <w:szCs w:val="20"/>
                <w:color w:val="auto"/>
              </w:rPr>
            </w:pPr>
            <w:r>
              <w:rPr>
                <w:rFonts w:ascii="Arial" w:cs="Arial" w:eastAsia="Arial" w:hAnsi="Arial"/>
                <w:sz w:val="10"/>
                <w:szCs w:val="10"/>
                <w:color w:val="auto"/>
                <w:w w:val="89"/>
              </w:rPr>
              <w:t>L+6.75% (Floor 1.50%)</w:t>
            </w:r>
          </w:p>
        </w:tc>
        <w:tc>
          <w:tcPr>
            <w:tcW w:w="840" w:type="dxa"/>
            <w:vAlign w:val="bottom"/>
          </w:tcPr>
          <w:p>
            <w:pPr>
              <w:jc w:val="center"/>
              <w:spacing w:after="0"/>
              <w:rPr>
                <w:sz w:val="20"/>
                <w:szCs w:val="20"/>
                <w:color w:val="auto"/>
              </w:rPr>
            </w:pPr>
            <w:r>
              <w:rPr>
                <w:rFonts w:ascii="Arial" w:cs="Arial" w:eastAsia="Arial" w:hAnsi="Arial"/>
                <w:sz w:val="10"/>
                <w:szCs w:val="10"/>
                <w:color w:val="auto"/>
                <w:w w:val="87"/>
              </w:rPr>
              <w:t>12/18/2019</w:t>
            </w:r>
          </w:p>
        </w:tc>
        <w:tc>
          <w:tcPr>
            <w:tcW w:w="1060" w:type="dxa"/>
            <w:vAlign w:val="bottom"/>
          </w:tcPr>
          <w:p>
            <w:pPr>
              <w:jc w:val="center"/>
              <w:ind w:right="92"/>
              <w:spacing w:after="0"/>
              <w:rPr>
                <w:sz w:val="20"/>
                <w:szCs w:val="20"/>
                <w:color w:val="auto"/>
              </w:rPr>
            </w:pPr>
            <w:r>
              <w:rPr>
                <w:rFonts w:ascii="Arial" w:cs="Arial" w:eastAsia="Arial" w:hAnsi="Arial"/>
                <w:sz w:val="10"/>
                <w:szCs w:val="10"/>
                <w:color w:val="auto"/>
                <w:w w:val="87"/>
              </w:rPr>
              <w:t>12/18/2024</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040" w:type="dxa"/>
            <w:vAlign w:val="bottom"/>
            <w:shd w:val="clear" w:color="auto" w:fill="CCEEFF"/>
          </w:tcPr>
          <w:p>
            <w:pPr>
              <w:spacing w:after="0"/>
              <w:rPr>
                <w:sz w:val="7"/>
                <w:szCs w:val="7"/>
                <w:color w:val="auto"/>
              </w:rPr>
            </w:pPr>
          </w:p>
        </w:tc>
        <w:tc>
          <w:tcPr>
            <w:tcW w:w="1620" w:type="dxa"/>
            <w:vAlign w:val="bottom"/>
            <w:vMerge w:val="restart"/>
            <w:shd w:val="clear" w:color="auto" w:fill="CCEEFF"/>
          </w:tcPr>
          <w:p>
            <w:pPr>
              <w:ind w:left="160"/>
              <w:spacing w:after="0"/>
              <w:rPr>
                <w:sz w:val="20"/>
                <w:szCs w:val="20"/>
                <w:color w:val="auto"/>
              </w:rPr>
            </w:pPr>
            <w:r>
              <w:rPr>
                <w:rFonts w:ascii="Arial" w:cs="Arial" w:eastAsia="Arial" w:hAnsi="Arial"/>
                <w:sz w:val="10"/>
                <w:szCs w:val="10"/>
                <w:color w:val="auto"/>
              </w:rPr>
              <w:t>First Lien</w:t>
            </w:r>
          </w:p>
        </w:tc>
        <w:tc>
          <w:tcPr>
            <w:tcW w:w="1240" w:type="dxa"/>
            <w:vAlign w:val="bottom"/>
            <w:shd w:val="clear" w:color="auto" w:fill="CCEEFF"/>
          </w:tcPr>
          <w:p>
            <w:pPr>
              <w:spacing w:after="0"/>
              <w:rPr>
                <w:sz w:val="7"/>
                <w:szCs w:val="7"/>
                <w:color w:val="auto"/>
              </w:rPr>
            </w:pPr>
          </w:p>
        </w:tc>
        <w:tc>
          <w:tcPr>
            <w:tcW w:w="1560" w:type="dxa"/>
            <w:vAlign w:val="bottom"/>
            <w:shd w:val="clear" w:color="auto" w:fill="CCEEFF"/>
          </w:tcPr>
          <w:p>
            <w:pPr>
              <w:jc w:val="center"/>
              <w:ind w:left="72"/>
              <w:spacing w:after="0" w:line="90" w:lineRule="exact"/>
              <w:rPr>
                <w:sz w:val="20"/>
                <w:szCs w:val="20"/>
                <w:color w:val="auto"/>
              </w:rPr>
            </w:pPr>
            <w:r>
              <w:rPr>
                <w:rFonts w:ascii="Arial" w:cs="Arial" w:eastAsia="Arial" w:hAnsi="Arial"/>
                <w:sz w:val="10"/>
                <w:szCs w:val="10"/>
                <w:color w:val="auto"/>
                <w:w w:val="89"/>
              </w:rPr>
              <w:t>L+6.75% (Floor 1.50%)/Q,</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12/18/2019</w:t>
            </w:r>
          </w:p>
        </w:tc>
        <w:tc>
          <w:tcPr>
            <w:tcW w:w="1060" w:type="dxa"/>
            <w:vAlign w:val="bottom"/>
            <w:vMerge w:val="restart"/>
            <w:shd w:val="clear" w:color="auto" w:fill="CCEEFF"/>
          </w:tcPr>
          <w:p>
            <w:pPr>
              <w:jc w:val="center"/>
              <w:ind w:right="92"/>
              <w:spacing w:after="0"/>
              <w:rPr>
                <w:sz w:val="20"/>
                <w:szCs w:val="20"/>
                <w:color w:val="auto"/>
              </w:rPr>
            </w:pPr>
            <w:r>
              <w:rPr>
                <w:rFonts w:ascii="Arial" w:cs="Arial" w:eastAsia="Arial" w:hAnsi="Arial"/>
                <w:sz w:val="10"/>
                <w:szCs w:val="10"/>
                <w:color w:val="auto"/>
                <w:w w:val="87"/>
              </w:rPr>
              <w:t>12/18/2024</w:t>
            </w:r>
          </w:p>
        </w:tc>
        <w:tc>
          <w:tcPr>
            <w:tcW w:w="7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19,250</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18,809</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19,250</w:t>
            </w: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6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87"/>
              </w:rPr>
              <w:t>Current Coupon 8.25%</w:t>
            </w:r>
          </w:p>
        </w:tc>
        <w:tc>
          <w:tcPr>
            <w:tcW w:w="8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620" w:type="dxa"/>
            <w:vAlign w:val="bottom"/>
          </w:tcPr>
          <w:p>
            <w:pPr>
              <w:ind w:left="160"/>
              <w:spacing w:after="0" w:line="126" w:lineRule="exact"/>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240" w:type="dxa"/>
            <w:vAlign w:val="bottom"/>
          </w:tcPr>
          <w:p>
            <w:pPr>
              <w:spacing w:after="0"/>
              <w:rPr>
                <w:sz w:val="10"/>
                <w:szCs w:val="10"/>
                <w:color w:val="auto"/>
              </w:rPr>
            </w:pPr>
          </w:p>
        </w:tc>
        <w:tc>
          <w:tcPr>
            <w:tcW w:w="1560" w:type="dxa"/>
            <w:vAlign w:val="bottom"/>
          </w:tcPr>
          <w:p>
            <w:pPr>
              <w:jc w:val="center"/>
              <w:ind w:left="52"/>
              <w:spacing w:after="0"/>
              <w:rPr>
                <w:sz w:val="20"/>
                <w:szCs w:val="20"/>
                <w:color w:val="auto"/>
              </w:rPr>
            </w:pPr>
            <w:r>
              <w:rPr>
                <w:rFonts w:ascii="Arial" w:cs="Arial" w:eastAsia="Arial" w:hAnsi="Arial"/>
                <w:sz w:val="10"/>
                <w:szCs w:val="10"/>
                <w:color w:val="auto"/>
                <w:w w:val="89"/>
              </w:rPr>
              <w:t>L+6.75% (Floor 1.50%)/Q</w:t>
            </w:r>
          </w:p>
        </w:tc>
        <w:tc>
          <w:tcPr>
            <w:tcW w:w="840" w:type="dxa"/>
            <w:vAlign w:val="bottom"/>
          </w:tcPr>
          <w:p>
            <w:pPr>
              <w:jc w:val="center"/>
              <w:spacing w:after="0"/>
              <w:rPr>
                <w:sz w:val="20"/>
                <w:szCs w:val="20"/>
                <w:color w:val="auto"/>
              </w:rPr>
            </w:pPr>
            <w:r>
              <w:rPr>
                <w:rFonts w:ascii="Arial" w:cs="Arial" w:eastAsia="Arial" w:hAnsi="Arial"/>
                <w:sz w:val="10"/>
                <w:szCs w:val="10"/>
                <w:color w:val="auto"/>
                <w:w w:val="87"/>
              </w:rPr>
              <w:t>12/31/2020</w:t>
            </w:r>
          </w:p>
        </w:tc>
        <w:tc>
          <w:tcPr>
            <w:tcW w:w="1060" w:type="dxa"/>
            <w:vAlign w:val="bottom"/>
          </w:tcPr>
          <w:p>
            <w:pPr>
              <w:jc w:val="center"/>
              <w:ind w:right="92"/>
              <w:spacing w:after="0"/>
              <w:rPr>
                <w:sz w:val="20"/>
                <w:szCs w:val="20"/>
                <w:color w:val="auto"/>
              </w:rPr>
            </w:pPr>
            <w:r>
              <w:rPr>
                <w:rFonts w:ascii="Arial" w:cs="Arial" w:eastAsia="Arial" w:hAnsi="Arial"/>
                <w:sz w:val="10"/>
                <w:szCs w:val="10"/>
                <w:color w:val="auto"/>
                <w:w w:val="87"/>
              </w:rPr>
              <w:t>12/18/2024</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(33)</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040" w:type="dxa"/>
            <w:vAlign w:val="bottom"/>
            <w:shd w:val="clear" w:color="auto" w:fill="CCEEFF"/>
          </w:tcPr>
          <w:p>
            <w:pPr>
              <w:spacing w:after="0"/>
              <w:rPr>
                <w:sz w:val="10"/>
                <w:szCs w:val="10"/>
                <w:color w:val="auto"/>
              </w:rPr>
            </w:pPr>
          </w:p>
        </w:tc>
        <w:tc>
          <w:tcPr>
            <w:tcW w:w="1620" w:type="dxa"/>
            <w:vAlign w:val="bottom"/>
            <w:shd w:val="clear" w:color="auto" w:fill="CCEEFF"/>
          </w:tcPr>
          <w:p>
            <w:pPr>
              <w:ind w:left="160"/>
              <w:spacing w:after="0" w:line="126" w:lineRule="exact"/>
              <w:rPr>
                <w:sz w:val="20"/>
                <w:szCs w:val="20"/>
                <w:color w:val="auto"/>
              </w:rPr>
            </w:pPr>
            <w:r>
              <w:rPr>
                <w:rFonts w:ascii="Arial" w:cs="Arial" w:eastAsia="Arial" w:hAnsi="Arial"/>
                <w:sz w:val="10"/>
                <w:szCs w:val="10"/>
                <w:color w:val="auto"/>
              </w:rPr>
              <w:t>2,000,000 Preferred Units</w:t>
            </w:r>
            <w:r>
              <w:rPr>
                <w:rFonts w:ascii="Arial" w:cs="Arial" w:eastAsia="Arial" w:hAnsi="Arial"/>
                <w:sz w:val="12"/>
                <w:szCs w:val="12"/>
                <w:color w:val="auto"/>
                <w:vertAlign w:val="superscript"/>
              </w:rPr>
              <w:t>9</w:t>
            </w:r>
          </w:p>
        </w:tc>
        <w:tc>
          <w:tcPr>
            <w:tcW w:w="1240" w:type="dxa"/>
            <w:vAlign w:val="bottom"/>
            <w:shd w:val="clear" w:color="auto" w:fill="CCEEFF"/>
          </w:tcPr>
          <w:p>
            <w:pPr>
              <w:spacing w:after="0"/>
              <w:rPr>
                <w:sz w:val="10"/>
                <w:szCs w:val="10"/>
                <w:color w:val="auto"/>
              </w:rPr>
            </w:pPr>
          </w:p>
        </w:tc>
        <w:tc>
          <w:tcPr>
            <w:tcW w:w="1560" w:type="dxa"/>
            <w:vAlign w:val="bottom"/>
            <w:shd w:val="clear" w:color="auto" w:fill="CCEEFF"/>
          </w:tcPr>
          <w:p>
            <w:pPr>
              <w:jc w:val="center"/>
              <w:ind w:left="52"/>
              <w:spacing w:after="0"/>
              <w:rPr>
                <w:sz w:val="20"/>
                <w:szCs w:val="20"/>
                <w:color w:val="auto"/>
              </w:rPr>
            </w:pPr>
            <w:r>
              <w:rPr>
                <w:rFonts w:ascii="Arial" w:cs="Arial" w:eastAsia="Arial" w:hAnsi="Arial"/>
                <w:sz w:val="10"/>
                <w:szCs w:val="10"/>
                <w:color w:val="auto"/>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12/18/2019</w:t>
            </w:r>
          </w:p>
        </w:tc>
        <w:tc>
          <w:tcPr>
            <w:tcW w:w="1060" w:type="dxa"/>
            <w:vAlign w:val="bottom"/>
            <w:shd w:val="clear" w:color="auto" w:fill="CCEEFF"/>
          </w:tcPr>
          <w:p>
            <w:pPr>
              <w:jc w:val="center"/>
              <w:ind w:right="112"/>
              <w:spacing w:after="0"/>
              <w:rPr>
                <w:sz w:val="20"/>
                <w:szCs w:val="20"/>
                <w:color w:val="auto"/>
              </w:rPr>
            </w:pPr>
            <w:r>
              <w:rPr>
                <w:rFonts w:ascii="Arial" w:cs="Arial" w:eastAsia="Arial" w:hAnsi="Arial"/>
                <w:sz w:val="10"/>
                <w:szCs w:val="10"/>
                <w:color w:val="auto"/>
                <w:w w:val="99"/>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2,000</w:t>
            </w:r>
          </w:p>
        </w:tc>
        <w:tc>
          <w:tcPr>
            <w:tcW w:w="8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8,115</w:t>
            </w:r>
          </w:p>
        </w:tc>
        <w:tc>
          <w:tcPr>
            <w:tcW w:w="0" w:type="dxa"/>
            <w:vAlign w:val="bottom"/>
          </w:tcPr>
          <w:p>
            <w:pPr>
              <w:spacing w:after="0"/>
              <w:rPr>
                <w:sz w:val="1"/>
                <w:szCs w:val="1"/>
                <w:color w:val="auto"/>
              </w:rPr>
            </w:pPr>
          </w:p>
        </w:tc>
      </w:tr>
      <w:tr>
        <w:trPr>
          <w:trHeight w:val="110"/>
        </w:trPr>
        <w:tc>
          <w:tcPr>
            <w:tcW w:w="20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Arial" w:cs="Arial" w:eastAsia="Arial" w:hAnsi="Arial"/>
                <w:sz w:val="10"/>
                <w:szCs w:val="10"/>
                <w:color w:val="auto"/>
              </w:rPr>
              <w:t>20,771</w:t>
            </w:r>
          </w:p>
        </w:tc>
        <w:tc>
          <w:tcPr>
            <w:tcW w:w="8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Arial" w:cs="Arial" w:eastAsia="Arial" w:hAnsi="Arial"/>
                <w:sz w:val="10"/>
                <w:szCs w:val="10"/>
                <w:color w:val="auto"/>
              </w:rPr>
              <w:t>27,365</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840"/>
          </w:cols>
          <w:pgMar w:left="300" w:top="140" w:right="759" w:bottom="1440" w:gutter="0" w:footer="0" w:header="0"/>
          <w:type w:val="continuous"/>
        </w:sectPr>
      </w:pPr>
    </w:p>
    <w:bookmarkStart w:id="12" w:name="page13"/>
    <w:bookmarkEnd w:id="12"/>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June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1540" w:type="dxa"/>
            <w:vAlign w:val="bottom"/>
            <w:gridSpan w:val="2"/>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1360" w:type="dxa"/>
            <w:vAlign w:val="bottom"/>
            <w:gridSpan w:val="2"/>
          </w:tcPr>
          <w:p>
            <w:pPr>
              <w:ind w:left="460"/>
              <w:spacing w:after="0"/>
              <w:rPr>
                <w:sz w:val="20"/>
                <w:szCs w:val="20"/>
                <w:color w:val="auto"/>
              </w:rPr>
            </w:pPr>
            <w:r>
              <w:rPr>
                <w:rFonts w:ascii="Arial" w:cs="Arial" w:eastAsia="Arial" w:hAnsi="Arial"/>
                <w:sz w:val="10"/>
                <w:szCs w:val="10"/>
                <w:b w:val="1"/>
                <w:bCs w:val="1"/>
                <w:color w:val="auto"/>
              </w:rPr>
              <w:t>Industry</w:t>
            </w:r>
          </w:p>
        </w:tc>
        <w:tc>
          <w:tcPr>
            <w:tcW w:w="13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w w:val="93"/>
              </w:rPr>
              <w:t>Acquisition Date</w:t>
            </w:r>
            <w:r>
              <w:rPr>
                <w:rFonts w:ascii="Arial" w:cs="Arial" w:eastAsia="Arial" w:hAnsi="Arial"/>
                <w:sz w:val="12"/>
                <w:szCs w:val="12"/>
                <w:b w:val="1"/>
                <w:bCs w:val="1"/>
                <w:color w:val="auto"/>
                <w:w w:val="93"/>
                <w:vertAlign w:val="superscript"/>
              </w:rPr>
              <w:t>14</w:t>
            </w:r>
          </w:p>
        </w:tc>
        <w:tc>
          <w:tcPr>
            <w:tcW w:w="900" w:type="dxa"/>
            <w:vAlign w:val="bottom"/>
            <w:gridSpan w:val="2"/>
          </w:tcPr>
          <w:p>
            <w:pPr>
              <w:ind w:left="220"/>
              <w:spacing w:after="0"/>
              <w:rPr>
                <w:sz w:val="20"/>
                <w:szCs w:val="20"/>
                <w:color w:val="auto"/>
              </w:rPr>
            </w:pPr>
            <w:r>
              <w:rPr>
                <w:rFonts w:ascii="Arial" w:cs="Arial" w:eastAsia="Arial" w:hAnsi="Arial"/>
                <w:sz w:val="10"/>
                <w:szCs w:val="10"/>
                <w:b w:val="1"/>
                <w:bCs w:val="1"/>
                <w:color w:val="auto"/>
              </w:rPr>
              <w:t>Maturity</w:t>
            </w:r>
          </w:p>
        </w:tc>
        <w:tc>
          <w:tcPr>
            <w:tcW w:w="880" w:type="dxa"/>
            <w:vAlign w:val="bottom"/>
            <w:gridSpan w:val="2"/>
          </w:tcPr>
          <w:p>
            <w:pPr>
              <w:ind w:left="220"/>
              <w:spacing w:after="0"/>
              <w:rPr>
                <w:sz w:val="20"/>
                <w:szCs w:val="20"/>
                <w:color w:val="auto"/>
              </w:rPr>
            </w:pPr>
            <w:r>
              <w:rPr>
                <w:rFonts w:ascii="Arial" w:cs="Arial" w:eastAsia="Arial" w:hAnsi="Arial"/>
                <w:sz w:val="10"/>
                <w:szCs w:val="10"/>
                <w:b w:val="1"/>
                <w:bCs w:val="1"/>
                <w:color w:val="auto"/>
              </w:rPr>
              <w:t>Principal</w:t>
            </w:r>
          </w:p>
        </w:tc>
        <w:tc>
          <w:tcPr>
            <w:tcW w:w="900" w:type="dxa"/>
            <w:vAlign w:val="bottom"/>
            <w:gridSpan w:val="2"/>
          </w:tcPr>
          <w:p>
            <w:pPr>
              <w:ind w:left="300"/>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820" w:type="dxa"/>
            <w:vAlign w:val="bottom"/>
          </w:tcPr>
          <w:p>
            <w:pPr>
              <w:jc w:val="right"/>
              <w:ind w:right="13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115"/>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NWN PARENT HOLDINGS, LLC</w:t>
            </w:r>
          </w:p>
        </w:tc>
        <w:tc>
          <w:tcPr>
            <w:tcW w:w="6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Software &amp; IT services</w:t>
            </w:r>
          </w:p>
        </w:tc>
        <w:tc>
          <w:tcPr>
            <w:tcW w:w="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L+6.50% (Floor 1.00%)</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7"/>
              </w:rPr>
              <w:t>5/7/2021</w:t>
            </w: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7"/>
              </w:rPr>
              <w:t>5/7/2026</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L+6.50%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5/7/2021</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5/7/2026</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13,167</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12,909</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12,909</w:t>
            </w:r>
          </w:p>
        </w:tc>
        <w:tc>
          <w:tcPr>
            <w:tcW w:w="0" w:type="dxa"/>
            <w:vAlign w:val="bottom"/>
          </w:tcPr>
          <w:p>
            <w:pPr>
              <w:spacing w:after="0"/>
              <w:rPr>
                <w:sz w:val="1"/>
                <w:szCs w:val="1"/>
                <w:color w:val="auto"/>
              </w:rPr>
            </w:pPr>
          </w:p>
        </w:tc>
      </w:tr>
      <w:tr>
        <w:trPr>
          <w:trHeight w:val="124"/>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vMerge w:val="continue"/>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7"/>
              </w:rPr>
              <w:t>Current Coupon 7.50%</w:t>
            </w: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12,874</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12,909</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RESEARCH NOW GROUP, INC.</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Second Lien</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Business services</w:t>
            </w: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L+9.50% (Floor 1.00%)/M,</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12/8/2017</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12/20/2025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10,500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10,000</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10,426</w:t>
            </w:r>
          </w:p>
        </w:tc>
        <w:tc>
          <w:tcPr>
            <w:tcW w:w="0" w:type="dxa"/>
            <w:vAlign w:val="bottom"/>
          </w:tcPr>
          <w:p>
            <w:pPr>
              <w:spacing w:after="0"/>
              <w:rPr>
                <w:sz w:val="1"/>
                <w:szCs w:val="1"/>
                <w:color w:val="auto"/>
              </w:rPr>
            </w:pPr>
          </w:p>
        </w:tc>
      </w:tr>
      <w:tr>
        <w:trPr>
          <w:trHeight w:val="124"/>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10.50%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ROSELAND MANAGEMENT, LLC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Healthcare services</w:t>
            </w: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L+7.00% (Floor 2.00%)/Q,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11/9/2018</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11/9/2023</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483</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9.00%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L+7.00% (Floor 2.00%)/Q,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11/9/2018</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11/9/2023</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14,234</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14,086</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14,234</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9.00%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13,811 Class A Units</w:t>
            </w: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11/9/2018</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1,381</w:t>
            </w:r>
          </w:p>
        </w:tc>
        <w:tc>
          <w:tcPr>
            <w:tcW w:w="8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1,720</w:t>
            </w: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15,950</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16,454</w:t>
            </w:r>
          </w:p>
        </w:tc>
        <w:tc>
          <w:tcPr>
            <w:tcW w:w="0" w:type="dxa"/>
            <w:vAlign w:val="bottom"/>
          </w:tcPr>
          <w:p>
            <w:pPr>
              <w:spacing w:after="0"/>
              <w:rPr>
                <w:sz w:val="1"/>
                <w:szCs w:val="1"/>
                <w:color w:val="auto"/>
              </w:rPr>
            </w:pPr>
          </w:p>
        </w:tc>
      </w:tr>
      <w:tr>
        <w:trPr>
          <w:trHeight w:val="128"/>
        </w:trPr>
        <w:tc>
          <w:tcPr>
            <w:tcW w:w="21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RTIC SUBSIDIARY HOLDINGS, LLC</w:t>
            </w:r>
          </w:p>
        </w:tc>
        <w:tc>
          <w:tcPr>
            <w:tcW w:w="15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Consumer products &amp; retail</w:t>
            </w: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9"/>
              </w:rPr>
              <w:t>L+7.75% (Floor 1.25%)</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9/1/2020</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9/1/2025</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L+7.75% (Floor 1.25%)/Q,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9/1/2020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9/1/2025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7,092</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7,015</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7,092</w:t>
            </w:r>
          </w:p>
        </w:tc>
        <w:tc>
          <w:tcPr>
            <w:tcW w:w="0" w:type="dxa"/>
            <w:vAlign w:val="bottom"/>
          </w:tcPr>
          <w:p>
            <w:pPr>
              <w:spacing w:after="0"/>
              <w:rPr>
                <w:sz w:val="1"/>
                <w:szCs w:val="1"/>
                <w:color w:val="auto"/>
              </w:rPr>
            </w:pPr>
          </w:p>
        </w:tc>
      </w:tr>
      <w:tr>
        <w:trPr>
          <w:trHeight w:val="124"/>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vMerge w:val="continue"/>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7"/>
              </w:rPr>
              <w:t>Current Coupon 9.00%</w:t>
            </w: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7,004</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7,092</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SCRIP INC.</w:t>
            </w:r>
            <w:r>
              <w:rPr>
                <w:rFonts w:ascii="Arial" w:cs="Arial" w:eastAsia="Arial" w:hAnsi="Arial"/>
                <w:sz w:val="12"/>
                <w:szCs w:val="12"/>
                <w:b w:val="1"/>
                <w:bCs w:val="1"/>
                <w:color w:val="auto"/>
                <w:vertAlign w:val="superscript"/>
              </w:rPr>
              <w:t>8</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Healthcare products</w:t>
            </w: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L+9.62% (Floor 2.00%)/M,</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3/21/2019</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3/21/2024</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16,750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16,446</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16,750</w:t>
            </w:r>
          </w:p>
        </w:tc>
        <w:tc>
          <w:tcPr>
            <w:tcW w:w="0" w:type="dxa"/>
            <w:vAlign w:val="bottom"/>
          </w:tcPr>
          <w:p>
            <w:pPr>
              <w:spacing w:after="0"/>
              <w:rPr>
                <w:sz w:val="1"/>
                <w:szCs w:val="1"/>
                <w:color w:val="auto"/>
              </w:rPr>
            </w:pPr>
          </w:p>
        </w:tc>
      </w:tr>
      <w:tr>
        <w:trPr>
          <w:trHeight w:val="126"/>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11.62%</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100 shares of common stock</w:t>
            </w: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3/21/2019</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1,264</w:t>
            </w: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17,446</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18,014</w:t>
            </w:r>
          </w:p>
        </w:tc>
        <w:tc>
          <w:tcPr>
            <w:tcW w:w="0" w:type="dxa"/>
            <w:vAlign w:val="bottom"/>
          </w:tcPr>
          <w:p>
            <w:pPr>
              <w:spacing w:after="0"/>
              <w:rPr>
                <w:sz w:val="1"/>
                <w:szCs w:val="1"/>
                <w:color w:val="auto"/>
              </w:rPr>
            </w:pPr>
          </w:p>
        </w:tc>
      </w:tr>
      <w:tr>
        <w:trPr>
          <w:trHeight w:val="128"/>
        </w:trPr>
        <w:tc>
          <w:tcPr>
            <w:tcW w:w="2180" w:type="dxa"/>
            <w:vAlign w:val="bottom"/>
            <w:gridSpan w:val="2"/>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SHEARWATER RESEARCH, INC.</w:t>
            </w:r>
            <w:r>
              <w:rPr>
                <w:rFonts w:ascii="Arial" w:cs="Arial" w:eastAsia="Arial" w:hAnsi="Arial"/>
                <w:sz w:val="12"/>
                <w:szCs w:val="12"/>
                <w:b w:val="1"/>
                <w:bCs w:val="1"/>
                <w:color w:val="auto"/>
                <w:vertAlign w:val="superscript"/>
              </w:rPr>
              <w:t>9</w:t>
            </w:r>
          </w:p>
        </w:tc>
        <w:tc>
          <w:tcPr>
            <w:tcW w:w="15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Consumer products &amp; retail</w:t>
            </w: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9"/>
              </w:rPr>
              <w:t>L+6.25% (Floor 1.00%)</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4/30/2021</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4/30/2026</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L+6.25%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4/30/2021</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4/30/2026</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13,863</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13,594</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13,594</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7.25%</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9"/>
              </w:rPr>
              <w:t>L+6.25% (Floor 1.00%)</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4/30/2021</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4/30/2026</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rPr>
                <w:sz w:val="20"/>
                <w:szCs w:val="20"/>
                <w:color w:val="auto"/>
              </w:rPr>
            </w:pPr>
            <w:r>
              <w:rPr>
                <w:rFonts w:ascii="Arial" w:cs="Arial" w:eastAsia="Arial" w:hAnsi="Arial"/>
                <w:sz w:val="10"/>
                <w:szCs w:val="10"/>
                <w:color w:val="auto"/>
                <w:w w:val="98"/>
              </w:rPr>
              <w:t>1,200,000 Class A Preferred Units</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4/30/2021</w:t>
            </w:r>
          </w:p>
        </w:tc>
        <w:tc>
          <w:tcPr>
            <w:tcW w:w="6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978</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978</w:t>
            </w: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40,000 Class A Common Units</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4/30/2021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Arial" w:cs="Arial" w:eastAsia="Arial" w:hAnsi="Arial"/>
                <w:sz w:val="10"/>
                <w:szCs w:val="10"/>
                <w:color w:val="auto"/>
              </w:rPr>
              <w:t>14,526</w:t>
            </w:r>
          </w:p>
        </w:tc>
        <w:tc>
          <w:tcPr>
            <w:tcW w:w="8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Arial" w:cs="Arial" w:eastAsia="Arial" w:hAnsi="Arial"/>
                <w:sz w:val="10"/>
                <w:szCs w:val="10"/>
                <w:color w:val="auto"/>
              </w:rPr>
              <w:t>14,605</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840"/>
          </w:cols>
          <w:pgMar w:left="300" w:top="140" w:right="759" w:bottom="1440" w:gutter="0" w:footer="0" w:header="0"/>
        </w:sectPr>
      </w:pPr>
    </w:p>
    <w:bookmarkStart w:id="13" w:name="page14"/>
    <w:bookmarkEnd w:id="13"/>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June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1540" w:type="dxa"/>
            <w:vAlign w:val="bottom"/>
            <w:gridSpan w:val="2"/>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1360" w:type="dxa"/>
            <w:vAlign w:val="bottom"/>
            <w:gridSpan w:val="2"/>
          </w:tcPr>
          <w:p>
            <w:pPr>
              <w:ind w:left="460"/>
              <w:spacing w:after="0"/>
              <w:rPr>
                <w:sz w:val="20"/>
                <w:szCs w:val="20"/>
                <w:color w:val="auto"/>
              </w:rPr>
            </w:pPr>
            <w:r>
              <w:rPr>
                <w:rFonts w:ascii="Arial" w:cs="Arial" w:eastAsia="Arial" w:hAnsi="Arial"/>
                <w:sz w:val="10"/>
                <w:szCs w:val="10"/>
                <w:b w:val="1"/>
                <w:bCs w:val="1"/>
                <w:color w:val="auto"/>
              </w:rPr>
              <w:t>Industry</w:t>
            </w:r>
          </w:p>
        </w:tc>
        <w:tc>
          <w:tcPr>
            <w:tcW w:w="13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w w:val="93"/>
              </w:rPr>
              <w:t>Acquisition Date</w:t>
            </w:r>
            <w:r>
              <w:rPr>
                <w:rFonts w:ascii="Arial" w:cs="Arial" w:eastAsia="Arial" w:hAnsi="Arial"/>
                <w:sz w:val="12"/>
                <w:szCs w:val="12"/>
                <w:b w:val="1"/>
                <w:bCs w:val="1"/>
                <w:color w:val="auto"/>
                <w:w w:val="93"/>
                <w:vertAlign w:val="superscript"/>
              </w:rPr>
              <w:t>14</w:t>
            </w:r>
          </w:p>
        </w:tc>
        <w:tc>
          <w:tcPr>
            <w:tcW w:w="900" w:type="dxa"/>
            <w:vAlign w:val="bottom"/>
            <w:gridSpan w:val="2"/>
          </w:tcPr>
          <w:p>
            <w:pPr>
              <w:ind w:left="220"/>
              <w:spacing w:after="0"/>
              <w:rPr>
                <w:sz w:val="20"/>
                <w:szCs w:val="20"/>
                <w:color w:val="auto"/>
              </w:rPr>
            </w:pPr>
            <w:r>
              <w:rPr>
                <w:rFonts w:ascii="Arial" w:cs="Arial" w:eastAsia="Arial" w:hAnsi="Arial"/>
                <w:sz w:val="10"/>
                <w:szCs w:val="10"/>
                <w:b w:val="1"/>
                <w:bCs w:val="1"/>
                <w:color w:val="auto"/>
              </w:rPr>
              <w:t>Maturity</w:t>
            </w:r>
          </w:p>
        </w:tc>
        <w:tc>
          <w:tcPr>
            <w:tcW w:w="106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rPr>
              <w:t>Principal</w:t>
            </w: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120" w:type="dxa"/>
            <w:vAlign w:val="bottom"/>
          </w:tcPr>
          <w:p>
            <w:pPr>
              <w:spacing w:after="0"/>
              <w:rPr>
                <w:sz w:val="12"/>
                <w:szCs w:val="12"/>
                <w:color w:val="auto"/>
              </w:rPr>
            </w:pPr>
          </w:p>
        </w:tc>
        <w:tc>
          <w:tcPr>
            <w:tcW w:w="700" w:type="dxa"/>
            <w:vAlign w:val="bottom"/>
          </w:tcPr>
          <w:p>
            <w:pPr>
              <w:jc w:val="right"/>
              <w:ind w:right="132"/>
              <w:spacing w:after="0"/>
              <w:rPr>
                <w:sz w:val="20"/>
                <w:szCs w:val="20"/>
                <w:color w:val="auto"/>
              </w:rPr>
            </w:pPr>
            <w:r>
              <w:rPr>
                <w:rFonts w:ascii="Arial" w:cs="Arial" w:eastAsia="Arial" w:hAnsi="Arial"/>
                <w:sz w:val="10"/>
                <w:szCs w:val="10"/>
                <w:b w:val="1"/>
                <w:bCs w:val="1"/>
                <w:color w:val="auto"/>
                <w:w w:val="95"/>
              </w:rPr>
              <w:t>Fair Value</w:t>
            </w:r>
            <w:r>
              <w:rPr>
                <w:rFonts w:ascii="Arial" w:cs="Arial" w:eastAsia="Arial" w:hAnsi="Arial"/>
                <w:sz w:val="12"/>
                <w:szCs w:val="12"/>
                <w:b w:val="1"/>
                <w:bCs w:val="1"/>
                <w:color w:val="auto"/>
                <w:w w:val="95"/>
                <w:vertAlign w:val="superscript"/>
              </w:rPr>
              <w:t>4</w:t>
            </w:r>
          </w:p>
        </w:tc>
        <w:tc>
          <w:tcPr>
            <w:tcW w:w="0" w:type="dxa"/>
            <w:vAlign w:val="bottom"/>
          </w:tcPr>
          <w:p>
            <w:pPr>
              <w:spacing w:after="0"/>
              <w:rPr>
                <w:sz w:val="1"/>
                <w:szCs w:val="1"/>
                <w:color w:val="auto"/>
              </w:rPr>
            </w:pPr>
          </w:p>
        </w:tc>
      </w:tr>
      <w:tr>
        <w:trPr>
          <w:trHeight w:val="115"/>
        </w:trPr>
        <w:tc>
          <w:tcPr>
            <w:tcW w:w="2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0"/>
                <w:szCs w:val="10"/>
                <w:b w:val="1"/>
                <w:bCs w:val="1"/>
                <w:color w:val="auto"/>
              </w:rPr>
              <w:t>STUDENT RESOURCE CENTER, LLC</w:t>
            </w:r>
            <w:r>
              <w:rPr>
                <w:rFonts w:ascii="Arial" w:cs="Arial" w:eastAsia="Arial" w:hAnsi="Arial"/>
                <w:sz w:val="12"/>
                <w:szCs w:val="12"/>
                <w:b w:val="1"/>
                <w:bCs w:val="1"/>
                <w:color w:val="auto"/>
                <w:vertAlign w:val="superscript"/>
              </w:rPr>
              <w:t>13</w:t>
            </w:r>
          </w:p>
        </w:tc>
        <w:tc>
          <w:tcPr>
            <w:tcW w:w="6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Education</w:t>
            </w:r>
          </w:p>
        </w:tc>
        <w:tc>
          <w:tcPr>
            <w:tcW w:w="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L+8.00% (Floor 1.00%)</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6/25/2021</w:t>
            </w: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5"/>
              </w:rPr>
              <w:t>6/25/2026</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L+8.00%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6/25/2021</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6/25/2026</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20,000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19,601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19,601</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9.00%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2,000 Preferred Units</w:t>
            </w:r>
            <w:r>
              <w:rPr>
                <w:rFonts w:ascii="Arial" w:cs="Arial" w:eastAsia="Arial" w:hAnsi="Arial"/>
                <w:sz w:val="12"/>
                <w:szCs w:val="12"/>
                <w:color w:val="auto"/>
                <w:vertAlign w:val="superscript"/>
              </w:rPr>
              <w:t>9</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6/25/2021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w:t>
            </w: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21,575</w:t>
            </w: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21,601</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TRAFERA, LLC (FKA TRINITY 3, LLC)</w:t>
            </w:r>
            <w:r>
              <w:rPr>
                <w:rFonts w:ascii="Arial" w:cs="Arial" w:eastAsia="Arial" w:hAnsi="Arial"/>
                <w:sz w:val="12"/>
                <w:szCs w:val="12"/>
                <w:b w:val="1"/>
                <w:bCs w:val="1"/>
                <w:color w:val="auto"/>
                <w:vertAlign w:val="superscript"/>
              </w:rPr>
              <w:t>13</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r>
              <w:rPr>
                <w:rFonts w:ascii="Arial" w:cs="Arial" w:eastAsia="Arial" w:hAnsi="Arial"/>
                <w:sz w:val="12"/>
                <w:szCs w:val="12"/>
                <w:color w:val="auto"/>
                <w:vertAlign w:val="superscript"/>
              </w:rPr>
              <w:t>15</w:t>
            </w:r>
          </w:p>
        </w:tc>
        <w:tc>
          <w:tcPr>
            <w:tcW w:w="136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Technology products &amp;</w:t>
            </w: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L+6.50%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9/30/2020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9/30/2025</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9,950</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9,819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9,950</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components</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7.50%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896.43 Class A units</w:t>
            </w:r>
            <w:r>
              <w:rPr>
                <w:rFonts w:ascii="Arial" w:cs="Arial" w:eastAsia="Arial" w:hAnsi="Arial"/>
                <w:sz w:val="12"/>
                <w:szCs w:val="12"/>
                <w:color w:val="auto"/>
                <w:vertAlign w:val="superscript"/>
              </w:rPr>
              <w:t>9</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Pr>
          <w:p>
            <w:pPr>
              <w:jc w:val="center"/>
              <w:spacing w:after="0"/>
              <w:rPr>
                <w:sz w:val="20"/>
                <w:szCs w:val="20"/>
                <w:color w:val="auto"/>
              </w:rPr>
            </w:pPr>
            <w:r>
              <w:rPr>
                <w:rFonts w:ascii="Arial" w:cs="Arial" w:eastAsia="Arial" w:hAnsi="Arial"/>
                <w:sz w:val="10"/>
                <w:szCs w:val="10"/>
                <w:color w:val="auto"/>
                <w:w w:val="87"/>
              </w:rPr>
              <w:t>11/15/2019</w:t>
            </w:r>
          </w:p>
        </w:tc>
        <w:tc>
          <w:tcPr>
            <w:tcW w:w="6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1,205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2,736</w:t>
            </w:r>
          </w:p>
        </w:tc>
        <w:tc>
          <w:tcPr>
            <w:tcW w:w="0" w:type="dxa"/>
            <w:vAlign w:val="bottom"/>
          </w:tcPr>
          <w:p>
            <w:pPr>
              <w:spacing w:after="0"/>
              <w:rPr>
                <w:sz w:val="1"/>
                <w:szCs w:val="1"/>
                <w:color w:val="auto"/>
              </w:rPr>
            </w:pPr>
          </w:p>
        </w:tc>
      </w:tr>
      <w:tr>
        <w:trPr>
          <w:trHeight w:val="115"/>
        </w:trPr>
        <w:tc>
          <w:tcPr>
            <w:tcW w:w="2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11,024</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12,686</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USA DEBUSK, LLC</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Industrial services</w:t>
            </w: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L+5.75% (Floor 1.00%)/M,</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2/25/2020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10/22/2024</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7,880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7,769</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7,880</w:t>
            </w:r>
          </w:p>
        </w:tc>
        <w:tc>
          <w:tcPr>
            <w:tcW w:w="0" w:type="dxa"/>
            <w:vAlign w:val="bottom"/>
          </w:tcPr>
          <w:p>
            <w:pPr>
              <w:spacing w:after="0"/>
              <w:rPr>
                <w:sz w:val="1"/>
                <w:szCs w:val="1"/>
                <w:color w:val="auto"/>
              </w:rPr>
            </w:pPr>
          </w:p>
        </w:tc>
      </w:tr>
      <w:tr>
        <w:trPr>
          <w:trHeight w:val="124"/>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6.75%</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Media, marketing &amp;</w:t>
            </w:r>
          </w:p>
        </w:tc>
        <w:tc>
          <w:tcPr>
            <w:tcW w:w="138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90"/>
              </w:rPr>
              <w:t>L+7.50%, 2.50% PIK (Floor</w:t>
            </w: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VISTAR MEDIA INC.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continue"/>
            <w:shd w:val="clear" w:color="auto" w:fill="CCEEFF"/>
          </w:tcPr>
          <w:p>
            <w:pPr>
              <w:spacing w:after="0"/>
              <w:rPr>
                <w:sz w:val="7"/>
                <w:szCs w:val="7"/>
                <w:color w:val="auto"/>
              </w:rPr>
            </w:pPr>
          </w:p>
        </w:tc>
        <w:tc>
          <w:tcPr>
            <w:tcW w:w="138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8"/>
              </w:rPr>
              <w:t>2.00%)/M, Current Coupon</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2/17/2017</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4/3/2023</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11,371</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10,874</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11,371</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entertainment</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12.00%</w:t>
            </w: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tcPr>
          <w:p>
            <w:pPr>
              <w:ind w:left="20"/>
              <w:spacing w:after="0" w:line="90" w:lineRule="exact"/>
              <w:rPr>
                <w:sz w:val="20"/>
                <w:szCs w:val="20"/>
                <w:color w:val="auto"/>
              </w:rPr>
            </w:pPr>
            <w:r>
              <w:rPr>
                <w:rFonts w:ascii="Arial" w:cs="Arial" w:eastAsia="Arial" w:hAnsi="Arial"/>
                <w:sz w:val="10"/>
                <w:szCs w:val="10"/>
                <w:color w:val="auto"/>
                <w:w w:val="91"/>
              </w:rPr>
              <w:t>171,617 shares of Series A preferred</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4/3/2019</w:t>
            </w:r>
          </w:p>
        </w:tc>
        <w:tc>
          <w:tcPr>
            <w:tcW w:w="60" w:type="dxa"/>
            <w:vAlign w:val="bottom"/>
          </w:tcPr>
          <w:p>
            <w:pPr>
              <w:spacing w:after="0"/>
              <w:rPr>
                <w:sz w:val="7"/>
                <w:szCs w:val="7"/>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vMerge w:val="restart"/>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1,874</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4,445</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rPr>
                <w:sz w:val="20"/>
                <w:szCs w:val="20"/>
                <w:color w:val="auto"/>
              </w:rPr>
            </w:pPr>
            <w:r>
              <w:rPr>
                <w:rFonts w:ascii="Arial" w:cs="Arial" w:eastAsia="Arial" w:hAnsi="Arial"/>
                <w:sz w:val="10"/>
                <w:szCs w:val="10"/>
                <w:color w:val="auto"/>
              </w:rPr>
              <w:t>stock</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94"/>
              </w:rPr>
              <w:t>Warrants (Expiration - April 3, 2029)</w:t>
            </w: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4/3/2019</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1,461</w:t>
            </w: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13,368</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17,277</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VTX HOLDINGS, INC.</w:t>
            </w:r>
            <w:r>
              <w:rPr>
                <w:rFonts w:ascii="Arial" w:cs="Arial" w:eastAsia="Arial" w:hAnsi="Arial"/>
                <w:sz w:val="12"/>
                <w:szCs w:val="12"/>
                <w:b w:val="1"/>
                <w:bCs w:val="1"/>
                <w:color w:val="auto"/>
                <w:vertAlign w:val="superscript"/>
              </w:rPr>
              <w:t>8</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Software &amp; IT services</w:t>
            </w: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L+8.95% (Floor 2.00%)/Q,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7/23/2019</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7/23/2024</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21,575</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21,207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21,575</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10.95%</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rPr>
                <w:sz w:val="20"/>
                <w:szCs w:val="20"/>
                <w:color w:val="auto"/>
              </w:rPr>
            </w:pPr>
            <w:r>
              <w:rPr>
                <w:rFonts w:ascii="Arial" w:cs="Arial" w:eastAsia="Arial" w:hAnsi="Arial"/>
                <w:sz w:val="10"/>
                <w:szCs w:val="10"/>
                <w:color w:val="auto"/>
                <w:w w:val="97"/>
              </w:rPr>
              <w:t>1,397,707 Series A Preferred units</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7/23/2019</w:t>
            </w:r>
          </w:p>
        </w:tc>
        <w:tc>
          <w:tcPr>
            <w:tcW w:w="6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1,398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1,654</w:t>
            </w:r>
          </w:p>
        </w:tc>
        <w:tc>
          <w:tcPr>
            <w:tcW w:w="0" w:type="dxa"/>
            <w:vAlign w:val="bottom"/>
          </w:tcPr>
          <w:p>
            <w:pPr>
              <w:spacing w:after="0"/>
              <w:rPr>
                <w:sz w:val="1"/>
                <w:szCs w:val="1"/>
                <w:color w:val="auto"/>
              </w:rPr>
            </w:pPr>
          </w:p>
        </w:tc>
      </w:tr>
      <w:tr>
        <w:trPr>
          <w:trHeight w:val="117"/>
        </w:trPr>
        <w:tc>
          <w:tcPr>
            <w:tcW w:w="2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22,605</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23,229</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ZENFOLIO INC.</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Revolving Loan</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Business services</w:t>
            </w: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L+9.00%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7/17/2017</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7/17/2023</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2,000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1,993</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1,820</w:t>
            </w:r>
          </w:p>
        </w:tc>
        <w:tc>
          <w:tcPr>
            <w:tcW w:w="0" w:type="dxa"/>
            <w:vAlign w:val="bottom"/>
          </w:tcPr>
          <w:p>
            <w:pPr>
              <w:spacing w:after="0"/>
              <w:rPr>
                <w:sz w:val="1"/>
                <w:szCs w:val="1"/>
                <w:color w:val="auto"/>
              </w:rPr>
            </w:pPr>
          </w:p>
        </w:tc>
      </w:tr>
      <w:tr>
        <w:trPr>
          <w:trHeight w:val="124"/>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10.00%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L+9.00%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7/17/2017</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7/17/2023</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14,888</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14,738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13,548</w:t>
            </w:r>
          </w:p>
        </w:tc>
        <w:tc>
          <w:tcPr>
            <w:tcW w:w="0" w:type="dxa"/>
            <w:vAlign w:val="bottom"/>
          </w:tcPr>
          <w:p>
            <w:pPr>
              <w:spacing w:after="0"/>
              <w:rPr>
                <w:sz w:val="1"/>
                <w:szCs w:val="1"/>
                <w:color w:val="auto"/>
              </w:rPr>
            </w:pPr>
          </w:p>
        </w:tc>
      </w:tr>
      <w:tr>
        <w:trPr>
          <w:trHeight w:val="124"/>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10.00%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16,731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15,368</w:t>
            </w:r>
          </w:p>
        </w:tc>
        <w:tc>
          <w:tcPr>
            <w:tcW w:w="0" w:type="dxa"/>
            <w:vAlign w:val="bottom"/>
          </w:tcPr>
          <w:p>
            <w:pPr>
              <w:spacing w:after="0"/>
              <w:rPr>
                <w:sz w:val="1"/>
                <w:szCs w:val="1"/>
                <w:color w:val="auto"/>
              </w:rPr>
            </w:pPr>
          </w:p>
        </w:tc>
      </w:tr>
      <w:tr>
        <w:trPr>
          <w:trHeight w:val="113"/>
        </w:trPr>
        <w:tc>
          <w:tcPr>
            <w:tcW w:w="2180" w:type="dxa"/>
            <w:vAlign w:val="bottom"/>
            <w:tcBorders>
              <w:bottom w:val="single" w:sz="8" w:color="CCEEFF"/>
            </w:tcBorders>
            <w:gridSpan w:val="2"/>
          </w:tcPr>
          <w:p>
            <w:pPr>
              <w:spacing w:after="0" w:line="107" w:lineRule="exact"/>
              <w:rPr>
                <w:sz w:val="20"/>
                <w:szCs w:val="20"/>
                <w:color w:val="auto"/>
              </w:rPr>
            </w:pPr>
            <w:r>
              <w:rPr>
                <w:rFonts w:ascii="Arial" w:cs="Arial" w:eastAsia="Arial" w:hAnsi="Arial"/>
                <w:sz w:val="10"/>
                <w:szCs w:val="10"/>
                <w:b w:val="1"/>
                <w:bCs w:val="1"/>
                <w:color w:val="auto"/>
              </w:rPr>
              <w:t>Total Non-control/Non-affiliate Investments</w:t>
            </w:r>
          </w:p>
        </w:tc>
        <w:tc>
          <w:tcPr>
            <w:tcW w:w="14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3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3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639,438</w:t>
            </w:r>
          </w:p>
        </w:tc>
        <w:tc>
          <w:tcPr>
            <w:tcW w:w="8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12"/>
              <w:spacing w:after="0" w:line="113"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651,940</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840"/>
          </w:cols>
          <w:pgMar w:left="300" w:top="140" w:right="759" w:bottom="1440" w:gutter="0" w:footer="0" w:header="0"/>
        </w:sectPr>
      </w:pPr>
    </w:p>
    <w:bookmarkStart w:id="14" w:name="page15"/>
    <w:bookmarkEnd w:id="14"/>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June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1540" w:type="dxa"/>
            <w:vAlign w:val="bottom"/>
            <w:gridSpan w:val="2"/>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1360" w:type="dxa"/>
            <w:vAlign w:val="bottom"/>
            <w:gridSpan w:val="2"/>
          </w:tcPr>
          <w:p>
            <w:pPr>
              <w:ind w:left="460"/>
              <w:spacing w:after="0"/>
              <w:rPr>
                <w:sz w:val="20"/>
                <w:szCs w:val="20"/>
                <w:color w:val="auto"/>
              </w:rPr>
            </w:pPr>
            <w:r>
              <w:rPr>
                <w:rFonts w:ascii="Arial" w:cs="Arial" w:eastAsia="Arial" w:hAnsi="Arial"/>
                <w:sz w:val="10"/>
                <w:szCs w:val="10"/>
                <w:b w:val="1"/>
                <w:bCs w:val="1"/>
                <w:color w:val="auto"/>
              </w:rPr>
              <w:t>Industry</w:t>
            </w:r>
          </w:p>
        </w:tc>
        <w:tc>
          <w:tcPr>
            <w:tcW w:w="13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w w:val="93"/>
              </w:rPr>
              <w:t>Acquisition Date</w:t>
            </w:r>
            <w:r>
              <w:rPr>
                <w:rFonts w:ascii="Arial" w:cs="Arial" w:eastAsia="Arial" w:hAnsi="Arial"/>
                <w:sz w:val="12"/>
                <w:szCs w:val="12"/>
                <w:b w:val="1"/>
                <w:bCs w:val="1"/>
                <w:color w:val="auto"/>
                <w:w w:val="93"/>
                <w:vertAlign w:val="superscript"/>
              </w:rPr>
              <w:t>14</w:t>
            </w:r>
          </w:p>
        </w:tc>
        <w:tc>
          <w:tcPr>
            <w:tcW w:w="900" w:type="dxa"/>
            <w:vAlign w:val="bottom"/>
            <w:gridSpan w:val="2"/>
          </w:tcPr>
          <w:p>
            <w:pPr>
              <w:ind w:left="220"/>
              <w:spacing w:after="0"/>
              <w:rPr>
                <w:sz w:val="20"/>
                <w:szCs w:val="20"/>
                <w:color w:val="auto"/>
              </w:rPr>
            </w:pPr>
            <w:r>
              <w:rPr>
                <w:rFonts w:ascii="Arial" w:cs="Arial" w:eastAsia="Arial" w:hAnsi="Arial"/>
                <w:sz w:val="10"/>
                <w:szCs w:val="10"/>
                <w:b w:val="1"/>
                <w:bCs w:val="1"/>
                <w:color w:val="auto"/>
              </w:rPr>
              <w:t>Maturity</w:t>
            </w:r>
          </w:p>
        </w:tc>
        <w:tc>
          <w:tcPr>
            <w:tcW w:w="14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Principal</w:t>
            </w:r>
          </w:p>
        </w:tc>
        <w:tc>
          <w:tcPr>
            <w:tcW w:w="180" w:type="dxa"/>
            <w:vAlign w:val="bottom"/>
          </w:tcPr>
          <w:p>
            <w:pPr>
              <w:spacing w:after="0"/>
              <w:rPr>
                <w:sz w:val="12"/>
                <w:szCs w:val="12"/>
                <w:color w:val="auto"/>
              </w:rPr>
            </w:pP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120" w:type="dxa"/>
            <w:vAlign w:val="bottom"/>
          </w:tcPr>
          <w:p>
            <w:pPr>
              <w:spacing w:after="0"/>
              <w:rPr>
                <w:sz w:val="12"/>
                <w:szCs w:val="12"/>
                <w:color w:val="auto"/>
              </w:rPr>
            </w:pPr>
          </w:p>
        </w:tc>
        <w:tc>
          <w:tcPr>
            <w:tcW w:w="700" w:type="dxa"/>
            <w:vAlign w:val="bottom"/>
          </w:tcPr>
          <w:p>
            <w:pPr>
              <w:jc w:val="right"/>
              <w:ind w:right="132"/>
              <w:spacing w:after="0"/>
              <w:rPr>
                <w:sz w:val="20"/>
                <w:szCs w:val="20"/>
                <w:color w:val="auto"/>
              </w:rPr>
            </w:pPr>
            <w:r>
              <w:rPr>
                <w:rFonts w:ascii="Arial" w:cs="Arial" w:eastAsia="Arial" w:hAnsi="Arial"/>
                <w:sz w:val="10"/>
                <w:szCs w:val="10"/>
                <w:b w:val="1"/>
                <w:bCs w:val="1"/>
                <w:color w:val="auto"/>
                <w:w w:val="95"/>
              </w:rPr>
              <w:t>Fair Value</w:t>
            </w:r>
            <w:r>
              <w:rPr>
                <w:rFonts w:ascii="Arial" w:cs="Arial" w:eastAsia="Arial" w:hAnsi="Arial"/>
                <w:sz w:val="12"/>
                <w:szCs w:val="12"/>
                <w:b w:val="1"/>
                <w:bCs w:val="1"/>
                <w:color w:val="auto"/>
                <w:w w:val="95"/>
                <w:vertAlign w:val="superscript"/>
              </w:rPr>
              <w:t>4</w:t>
            </w:r>
          </w:p>
        </w:tc>
        <w:tc>
          <w:tcPr>
            <w:tcW w:w="0" w:type="dxa"/>
            <w:vAlign w:val="bottom"/>
          </w:tcPr>
          <w:p>
            <w:pPr>
              <w:spacing w:after="0"/>
              <w:rPr>
                <w:sz w:val="1"/>
                <w:szCs w:val="1"/>
                <w:color w:val="auto"/>
              </w:rPr>
            </w:pPr>
          </w:p>
        </w:tc>
      </w:tr>
      <w:tr>
        <w:trPr>
          <w:trHeight w:val="115"/>
        </w:trPr>
        <w:tc>
          <w:tcPr>
            <w:tcW w:w="2120" w:type="dxa"/>
            <w:vAlign w:val="bottom"/>
            <w:tcBorders>
              <w:top w:val="single" w:sz="8" w:color="auto"/>
            </w:tcBorders>
          </w:tcPr>
          <w:p>
            <w:pPr>
              <w:spacing w:after="0" w:line="115" w:lineRule="exact"/>
              <w:rPr>
                <w:sz w:val="20"/>
                <w:szCs w:val="20"/>
                <w:color w:val="auto"/>
              </w:rPr>
            </w:pPr>
            <w:r>
              <w:rPr>
                <w:rFonts w:ascii="Arial" w:cs="Arial" w:eastAsia="Arial" w:hAnsi="Arial"/>
                <w:sz w:val="10"/>
                <w:szCs w:val="10"/>
                <w:b w:val="1"/>
                <w:bCs w:val="1"/>
                <w:color w:val="auto"/>
              </w:rPr>
              <w:t>Affiliate Investments</w:t>
            </w:r>
            <w:r>
              <w:rPr>
                <w:rFonts w:ascii="Arial" w:cs="Arial" w:eastAsia="Arial" w:hAnsi="Arial"/>
                <w:sz w:val="12"/>
                <w:szCs w:val="12"/>
                <w:b w:val="1"/>
                <w:bCs w:val="1"/>
                <w:color w:val="auto"/>
                <w:vertAlign w:val="superscript"/>
              </w:rPr>
              <w:t>6</w:t>
            </w:r>
          </w:p>
        </w:tc>
        <w:tc>
          <w:tcPr>
            <w:tcW w:w="6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CENTRAL MEDICAL SUPPLY LLC</w:t>
            </w:r>
            <w:r>
              <w:rPr>
                <w:rFonts w:ascii="Arial" w:cs="Arial" w:eastAsia="Arial" w:hAnsi="Arial"/>
                <w:sz w:val="12"/>
                <w:szCs w:val="12"/>
                <w:b w:val="1"/>
                <w:bCs w:val="1"/>
                <w:color w:val="auto"/>
                <w:vertAlign w:val="superscript"/>
              </w:rPr>
              <w:t>13</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Healthcare services</w:t>
            </w: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9"/>
              </w:rPr>
              <w:t>L+9.00% (Floor 1.75%)/Q,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5/22/2020</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5/22/2025</w:t>
            </w: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300</w:t>
            </w:r>
          </w:p>
        </w:tc>
        <w:tc>
          <w:tcPr>
            <w:tcW w:w="6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277</w:t>
            </w:r>
          </w:p>
        </w:tc>
        <w:tc>
          <w:tcPr>
            <w:tcW w:w="8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276</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10.75%</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L+9.00% (Floor 1.75%)/Q,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5/22/2020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5/22/2025</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7,500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7,378</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6,908</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10.75%</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w w:val="97"/>
              </w:rPr>
              <w:t>Delayed Draw Capex Term Loan</w:t>
            </w:r>
            <w:r>
              <w:rPr>
                <w:rFonts w:ascii="Arial" w:cs="Arial" w:eastAsia="Arial" w:hAnsi="Arial"/>
                <w:sz w:val="12"/>
                <w:szCs w:val="12"/>
                <w:color w:val="auto"/>
                <w:w w:val="97"/>
                <w:vertAlign w:val="superscript"/>
              </w:rPr>
              <w:t>10</w:t>
            </w:r>
          </w:p>
        </w:tc>
        <w:tc>
          <w:tcPr>
            <w:tcW w:w="1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L+9.00% (Floor 1.75%)/Q,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5/22/2020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5/22/2025</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92</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10.75%</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875,000 Preferred Units</w:t>
            </w:r>
            <w:r>
              <w:rPr>
                <w:rFonts w:ascii="Arial" w:cs="Arial" w:eastAsia="Arial" w:hAnsi="Arial"/>
                <w:sz w:val="12"/>
                <w:szCs w:val="12"/>
                <w:color w:val="auto"/>
                <w:vertAlign w:val="superscript"/>
              </w:rPr>
              <w:t>9</w:t>
            </w: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9"/>
              </w:rPr>
              <w:t>5/22/2020</w:t>
            </w:r>
          </w:p>
        </w:tc>
        <w:tc>
          <w:tcPr>
            <w:tcW w:w="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875</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249</w:t>
            </w: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8,607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7,525</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CHANDLER SIGNS, LLC</w:t>
            </w:r>
            <w:r>
              <w:rPr>
                <w:rFonts w:ascii="Arial" w:cs="Arial" w:eastAsia="Arial" w:hAnsi="Arial"/>
                <w:sz w:val="12"/>
                <w:szCs w:val="12"/>
                <w:b w:val="1"/>
                <w:bCs w:val="1"/>
                <w:color w:val="auto"/>
                <w:vertAlign w:val="superscript"/>
              </w:rPr>
              <w:t>13</w:t>
            </w:r>
          </w:p>
        </w:tc>
        <w:tc>
          <w:tcPr>
            <w:tcW w:w="1540" w:type="dxa"/>
            <w:vAlign w:val="bottom"/>
            <w:gridSpan w:val="2"/>
          </w:tcPr>
          <w:p>
            <w:pPr>
              <w:ind w:left="20"/>
              <w:spacing w:after="0" w:line="90" w:lineRule="exact"/>
              <w:rPr>
                <w:sz w:val="20"/>
                <w:szCs w:val="20"/>
                <w:color w:val="auto"/>
              </w:rPr>
            </w:pPr>
            <w:r>
              <w:rPr>
                <w:rFonts w:ascii="Arial" w:cs="Arial" w:eastAsia="Arial" w:hAnsi="Arial"/>
                <w:sz w:val="10"/>
                <w:szCs w:val="10"/>
                <w:color w:val="auto"/>
              </w:rPr>
              <w:t>1,500,000 units of Class A-1</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Business services</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1/4/2016</w:t>
            </w:r>
          </w:p>
        </w:tc>
        <w:tc>
          <w:tcPr>
            <w:tcW w:w="60" w:type="dxa"/>
            <w:vAlign w:val="bottom"/>
          </w:tcPr>
          <w:p>
            <w:pPr>
              <w:spacing w:after="0"/>
              <w:rPr>
                <w:sz w:val="7"/>
                <w:szCs w:val="7"/>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7"/>
                <w:szCs w:val="7"/>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1,500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768</w:t>
            </w:r>
          </w:p>
        </w:tc>
        <w:tc>
          <w:tcPr>
            <w:tcW w:w="0" w:type="dxa"/>
            <w:vAlign w:val="bottom"/>
          </w:tcPr>
          <w:p>
            <w:pPr>
              <w:spacing w:after="0"/>
              <w:rPr>
                <w:sz w:val="1"/>
                <w:szCs w:val="1"/>
                <w:color w:val="auto"/>
              </w:rPr>
            </w:pPr>
          </w:p>
        </w:tc>
      </w:tr>
      <w:tr>
        <w:trPr>
          <w:trHeight w:val="126"/>
        </w:trPr>
        <w:tc>
          <w:tcPr>
            <w:tcW w:w="2180" w:type="dxa"/>
            <w:vAlign w:val="bottom"/>
            <w:gridSpan w:val="2"/>
            <w:vMerge w:val="continue"/>
          </w:tcPr>
          <w:p>
            <w:pPr>
              <w:spacing w:after="0"/>
              <w:rPr>
                <w:sz w:val="10"/>
                <w:szCs w:val="10"/>
                <w:color w:val="auto"/>
              </w:rPr>
            </w:pP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common stock</w:t>
            </w:r>
            <w:r>
              <w:rPr>
                <w:rFonts w:ascii="Arial" w:cs="Arial" w:eastAsia="Arial" w:hAnsi="Arial"/>
                <w:sz w:val="12"/>
                <w:szCs w:val="12"/>
                <w:color w:val="auto"/>
                <w:vertAlign w:val="superscript"/>
              </w:rPr>
              <w:t>9</w:t>
            </w:r>
          </w:p>
        </w:tc>
        <w:tc>
          <w:tcPr>
            <w:tcW w:w="136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DELPHI BEHAVIORAL HEALTH GROUP, LLC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Healthcare services</w:t>
            </w: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90"/>
              </w:rPr>
              <w:t>L+9.50% (Floor 1.00%)/S,</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4/8/2020</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4/7/2023</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1,414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1,414</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1,398</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10.50%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L+9.00%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4/8/2020</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4/7/2023</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1,607</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1,607</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1,525</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10.00%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1,681.04 Common Units</w:t>
            </w: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4/8/2020</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3,615</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3,836</w:t>
            </w: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6,636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6,759</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DYNAMIC COMMUNITIES, LLC</w:t>
            </w:r>
            <w:r>
              <w:rPr>
                <w:rFonts w:ascii="Arial" w:cs="Arial" w:eastAsia="Arial" w:hAnsi="Arial"/>
                <w:sz w:val="12"/>
                <w:szCs w:val="12"/>
                <w:b w:val="1"/>
                <w:bCs w:val="1"/>
                <w:color w:val="auto"/>
                <w:vertAlign w:val="superscript"/>
              </w:rPr>
              <w:t>13</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Business services</w:t>
            </w:r>
          </w:p>
        </w:tc>
        <w:tc>
          <w:tcPr>
            <w:tcW w:w="138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90"/>
              </w:rPr>
              <w:t>L+3.75%, 7.75% PIK (Floor</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7/17/2018</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7/17/2023</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1.00%)</w:t>
            </w: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L+3.75%, 7.75% PIK (Floor</w:t>
            </w: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7"/>
              </w:rPr>
              <w:t>1.00%)/Q, Current Coupon</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9"/>
              </w:rPr>
              <w:t>7/17/2018</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7/17/2023</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11,278</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11,178</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10,161</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8"/>
              </w:rPr>
              <w:t>12.50%</w:t>
            </w: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Senior subordinated debt</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2"/>
              </w:rPr>
              <w:t>25% PIK</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12/4/2020</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1/16/2024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w:t>
            </w:r>
          </w:p>
        </w:tc>
        <w:tc>
          <w:tcPr>
            <w:tcW w:w="0" w:type="dxa"/>
            <w:vAlign w:val="bottom"/>
          </w:tcPr>
          <w:p>
            <w:pPr>
              <w:spacing w:after="0"/>
              <w:rPr>
                <w:sz w:val="1"/>
                <w:szCs w:val="1"/>
                <w:color w:val="auto"/>
              </w:rPr>
            </w:pPr>
          </w:p>
        </w:tc>
      </w:tr>
      <w:tr>
        <w:trPr>
          <w:trHeight w:val="126"/>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2,000,000 Preferred Units</w:t>
            </w:r>
            <w:r>
              <w:rPr>
                <w:rFonts w:ascii="Arial" w:cs="Arial" w:eastAsia="Arial" w:hAnsi="Arial"/>
                <w:sz w:val="12"/>
                <w:szCs w:val="12"/>
                <w:color w:val="auto"/>
                <w:vertAlign w:val="superscript"/>
              </w:rPr>
              <w:t>9</w:t>
            </w: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9"/>
              </w:rPr>
              <w:t>7/17/2018</w:t>
            </w:r>
          </w:p>
        </w:tc>
        <w:tc>
          <w:tcPr>
            <w:tcW w:w="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2,000</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1,274</w:t>
            </w: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13,571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11,830</w:t>
            </w: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GRAMMATECH, INC.</w:t>
            </w: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360" w:type="dxa"/>
            <w:vAlign w:val="bottom"/>
            <w:gridSpan w:val="2"/>
          </w:tcPr>
          <w:p>
            <w:pPr>
              <w:ind w:left="20"/>
              <w:spacing w:after="0"/>
              <w:rPr>
                <w:sz w:val="20"/>
                <w:szCs w:val="20"/>
                <w:color w:val="auto"/>
              </w:rPr>
            </w:pPr>
            <w:r>
              <w:rPr>
                <w:rFonts w:ascii="Arial" w:cs="Arial" w:eastAsia="Arial" w:hAnsi="Arial"/>
                <w:sz w:val="10"/>
                <w:szCs w:val="10"/>
                <w:color w:val="auto"/>
              </w:rPr>
              <w:t>Software &amp; IT services</w:t>
            </w:r>
          </w:p>
        </w:tc>
        <w:tc>
          <w:tcPr>
            <w:tcW w:w="1380" w:type="dxa"/>
            <w:vAlign w:val="bottom"/>
            <w:gridSpan w:val="2"/>
          </w:tcPr>
          <w:p>
            <w:pPr>
              <w:jc w:val="center"/>
              <w:ind w:right="60"/>
              <w:spacing w:after="0"/>
              <w:rPr>
                <w:sz w:val="20"/>
                <w:szCs w:val="20"/>
                <w:color w:val="auto"/>
              </w:rPr>
            </w:pPr>
            <w:r>
              <w:rPr>
                <w:rFonts w:ascii="Arial" w:cs="Arial" w:eastAsia="Arial" w:hAnsi="Arial"/>
                <w:sz w:val="10"/>
                <w:szCs w:val="10"/>
                <w:color w:val="auto"/>
                <w:w w:val="89"/>
              </w:rPr>
              <w:t>L+7.50% (Floor 2.00%)</w:t>
            </w:r>
          </w:p>
        </w:tc>
        <w:tc>
          <w:tcPr>
            <w:tcW w:w="820" w:type="dxa"/>
            <w:vAlign w:val="bottom"/>
          </w:tcPr>
          <w:p>
            <w:pPr>
              <w:jc w:val="center"/>
              <w:spacing w:after="0"/>
              <w:rPr>
                <w:sz w:val="20"/>
                <w:szCs w:val="20"/>
                <w:color w:val="auto"/>
              </w:rPr>
            </w:pPr>
            <w:r>
              <w:rPr>
                <w:rFonts w:ascii="Arial" w:cs="Arial" w:eastAsia="Arial" w:hAnsi="Arial"/>
                <w:sz w:val="10"/>
                <w:szCs w:val="10"/>
                <w:color w:val="auto"/>
                <w:w w:val="85"/>
              </w:rPr>
              <w:t>11/1/2019</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85"/>
              </w:rPr>
              <w:t>11/1/2024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9"/>
              </w:rPr>
              <w:t>L+7.50% (Floor 2.00%)/Q,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11/1/2019</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11/1/2024</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11,500</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11,355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11,224</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9.50%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1,000 Class A units</w:t>
            </w:r>
          </w:p>
        </w:tc>
        <w:tc>
          <w:tcPr>
            <w:tcW w:w="1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5"/>
              </w:rPr>
              <w:t>11/1/2019</w:t>
            </w:r>
          </w:p>
        </w:tc>
        <w:tc>
          <w:tcPr>
            <w:tcW w:w="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1,000</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1,005</w:t>
            </w:r>
          </w:p>
        </w:tc>
        <w:tc>
          <w:tcPr>
            <w:tcW w:w="0" w:type="dxa"/>
            <w:vAlign w:val="bottom"/>
          </w:tcPr>
          <w:p>
            <w:pPr>
              <w:spacing w:after="0"/>
              <w:rPr>
                <w:sz w:val="1"/>
                <w:szCs w:val="1"/>
                <w:color w:val="auto"/>
              </w:rPr>
            </w:pPr>
          </w:p>
        </w:tc>
      </w:tr>
      <w:tr>
        <w:trPr>
          <w:trHeight w:val="117"/>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12,326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12,229</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0840"/>
          </w:cols>
          <w:pgMar w:left="300" w:top="140" w:right="759" w:bottom="1440" w:gutter="0" w:footer="0" w:header="0"/>
        </w:sectPr>
      </w:pPr>
    </w:p>
    <w:bookmarkStart w:id="15" w:name="page16"/>
    <w:bookmarkEnd w:id="15"/>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80" w:lineRule="exact"/>
        <w:rPr>
          <w:sz w:val="20"/>
          <w:szCs w:val="20"/>
          <w:color w:val="auto"/>
        </w:rPr>
      </w:pPr>
    </w:p>
    <w:p>
      <w:pPr>
        <w:jc w:val="center"/>
        <w:ind w:right="452"/>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ind w:right="452"/>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ind w:left="5108"/>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p>
      <w:pPr>
        <w:ind w:left="5088"/>
        <w:spacing w:after="0"/>
        <w:rPr>
          <w:sz w:val="20"/>
          <w:szCs w:val="20"/>
          <w:color w:val="auto"/>
        </w:rPr>
      </w:pPr>
      <w:r>
        <w:rPr>
          <w:rFonts w:ascii="Arial" w:cs="Arial" w:eastAsia="Arial" w:hAnsi="Arial"/>
          <w:sz w:val="12"/>
          <w:szCs w:val="12"/>
          <w:color w:val="auto"/>
        </w:rPr>
        <w:t>June 30, 2021</w:t>
      </w:r>
    </w:p>
    <w:p>
      <w:pPr>
        <w:spacing w:after="0" w:line="52" w:lineRule="exact"/>
        <w:rPr>
          <w:sz w:val="20"/>
          <w:szCs w:val="20"/>
          <w:color w:val="auto"/>
        </w:rPr>
      </w:pPr>
    </w:p>
    <w:tbl>
      <w:tblPr>
        <w:tblLayout w:type="fixed"/>
        <w:tblInd w:w="8" w:type="dxa"/>
        <w:tblCellMar>
          <w:top w:w="0" w:type="dxa"/>
          <w:left w:w="0" w:type="dxa"/>
          <w:bottom w:w="0" w:type="dxa"/>
          <w:right w:w="0" w:type="dxa"/>
        </w:tblCellMar>
      </w:tblPr>
      <w:tr>
        <w:trPr>
          <w:trHeight w:val="143"/>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1540" w:type="dxa"/>
            <w:vAlign w:val="bottom"/>
            <w:gridSpan w:val="2"/>
          </w:tcPr>
          <w:p>
            <w:pPr>
              <w:ind w:left="3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1360" w:type="dxa"/>
            <w:vAlign w:val="bottom"/>
            <w:gridSpan w:val="2"/>
          </w:tcPr>
          <w:p>
            <w:pPr>
              <w:ind w:left="460"/>
              <w:spacing w:after="0"/>
              <w:rPr>
                <w:sz w:val="20"/>
                <w:szCs w:val="20"/>
                <w:color w:val="auto"/>
              </w:rPr>
            </w:pPr>
            <w:r>
              <w:rPr>
                <w:rFonts w:ascii="Arial" w:cs="Arial" w:eastAsia="Arial" w:hAnsi="Arial"/>
                <w:sz w:val="10"/>
                <w:szCs w:val="10"/>
                <w:b w:val="1"/>
                <w:bCs w:val="1"/>
                <w:color w:val="auto"/>
              </w:rPr>
              <w:t>Industry</w:t>
            </w:r>
          </w:p>
        </w:tc>
        <w:tc>
          <w:tcPr>
            <w:tcW w:w="13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w w:val="93"/>
              </w:rPr>
              <w:t>Acquisition Date</w:t>
            </w:r>
            <w:r>
              <w:rPr>
                <w:rFonts w:ascii="Arial" w:cs="Arial" w:eastAsia="Arial" w:hAnsi="Arial"/>
                <w:sz w:val="12"/>
                <w:szCs w:val="12"/>
                <w:b w:val="1"/>
                <w:bCs w:val="1"/>
                <w:color w:val="auto"/>
                <w:w w:val="93"/>
                <w:vertAlign w:val="superscript"/>
              </w:rPr>
              <w:t>14</w:t>
            </w:r>
          </w:p>
        </w:tc>
        <w:tc>
          <w:tcPr>
            <w:tcW w:w="900" w:type="dxa"/>
            <w:vAlign w:val="bottom"/>
            <w:gridSpan w:val="2"/>
          </w:tcPr>
          <w:p>
            <w:pPr>
              <w:ind w:left="220"/>
              <w:spacing w:after="0"/>
              <w:rPr>
                <w:sz w:val="20"/>
                <w:szCs w:val="20"/>
                <w:color w:val="auto"/>
              </w:rPr>
            </w:pPr>
            <w:r>
              <w:rPr>
                <w:rFonts w:ascii="Arial" w:cs="Arial" w:eastAsia="Arial" w:hAnsi="Arial"/>
                <w:sz w:val="10"/>
                <w:szCs w:val="10"/>
                <w:b w:val="1"/>
                <w:bCs w:val="1"/>
                <w:color w:val="auto"/>
              </w:rPr>
              <w:t>Maturity</w:t>
            </w:r>
          </w:p>
        </w:tc>
        <w:tc>
          <w:tcPr>
            <w:tcW w:w="106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rPr>
              <w:t>Principal</w:t>
            </w: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18</w:t>
            </w:r>
          </w:p>
        </w:tc>
        <w:tc>
          <w:tcPr>
            <w:tcW w:w="120" w:type="dxa"/>
            <w:vAlign w:val="bottom"/>
          </w:tcPr>
          <w:p>
            <w:pPr>
              <w:spacing w:after="0"/>
              <w:rPr>
                <w:sz w:val="12"/>
                <w:szCs w:val="12"/>
                <w:color w:val="auto"/>
              </w:rPr>
            </w:pPr>
          </w:p>
        </w:tc>
        <w:tc>
          <w:tcPr>
            <w:tcW w:w="700" w:type="dxa"/>
            <w:vAlign w:val="bottom"/>
          </w:tcPr>
          <w:p>
            <w:pPr>
              <w:jc w:val="right"/>
              <w:ind w:right="132"/>
              <w:spacing w:after="0"/>
              <w:rPr>
                <w:sz w:val="20"/>
                <w:szCs w:val="20"/>
                <w:color w:val="auto"/>
              </w:rPr>
            </w:pPr>
            <w:r>
              <w:rPr>
                <w:rFonts w:ascii="Arial" w:cs="Arial" w:eastAsia="Arial" w:hAnsi="Arial"/>
                <w:sz w:val="10"/>
                <w:szCs w:val="10"/>
                <w:b w:val="1"/>
                <w:bCs w:val="1"/>
                <w:color w:val="auto"/>
                <w:w w:val="95"/>
              </w:rPr>
              <w:t>Fair Value</w:t>
            </w:r>
            <w:r>
              <w:rPr>
                <w:rFonts w:ascii="Arial" w:cs="Arial" w:eastAsia="Arial" w:hAnsi="Arial"/>
                <w:sz w:val="12"/>
                <w:szCs w:val="12"/>
                <w:b w:val="1"/>
                <w:bCs w:val="1"/>
                <w:color w:val="auto"/>
                <w:w w:val="95"/>
                <w:vertAlign w:val="superscript"/>
              </w:rPr>
              <w:t>4</w:t>
            </w:r>
          </w:p>
        </w:tc>
        <w:tc>
          <w:tcPr>
            <w:tcW w:w="0" w:type="dxa"/>
            <w:vAlign w:val="bottom"/>
          </w:tcPr>
          <w:p>
            <w:pPr>
              <w:spacing w:after="0"/>
              <w:rPr>
                <w:sz w:val="1"/>
                <w:szCs w:val="1"/>
                <w:color w:val="auto"/>
              </w:rPr>
            </w:pPr>
          </w:p>
        </w:tc>
      </w:tr>
      <w:tr>
        <w:trPr>
          <w:trHeight w:val="115"/>
        </w:trPr>
        <w:tc>
          <w:tcPr>
            <w:tcW w:w="2120" w:type="dxa"/>
            <w:vAlign w:val="bottom"/>
            <w:tcBorders>
              <w:top w:val="single" w:sz="8" w:color="auto"/>
            </w:tcBorders>
          </w:tcPr>
          <w:p>
            <w:pPr>
              <w:spacing w:after="0" w:line="115" w:lineRule="exact"/>
              <w:rPr>
                <w:sz w:val="20"/>
                <w:szCs w:val="20"/>
                <w:color w:val="auto"/>
              </w:rPr>
            </w:pPr>
            <w:r>
              <w:rPr>
                <w:rFonts w:ascii="Arial" w:cs="Arial" w:eastAsia="Arial" w:hAnsi="Arial"/>
                <w:sz w:val="10"/>
                <w:szCs w:val="10"/>
                <w:b w:val="1"/>
                <w:bCs w:val="1"/>
                <w:color w:val="auto"/>
              </w:rPr>
              <w:t>ITA HOLDINGS GROUP, LLC</w:t>
            </w:r>
            <w:r>
              <w:rPr>
                <w:rFonts w:ascii="Arial" w:cs="Arial" w:eastAsia="Arial" w:hAnsi="Arial"/>
                <w:sz w:val="12"/>
                <w:szCs w:val="12"/>
                <w:b w:val="1"/>
                <w:bCs w:val="1"/>
                <w:color w:val="auto"/>
                <w:vertAlign w:val="superscript"/>
              </w:rPr>
              <w:t>13</w:t>
            </w:r>
          </w:p>
        </w:tc>
        <w:tc>
          <w:tcPr>
            <w:tcW w:w="60" w:type="dxa"/>
            <w:vAlign w:val="bottom"/>
          </w:tcPr>
          <w:p>
            <w:pPr>
              <w:spacing w:after="0"/>
              <w:rPr>
                <w:sz w:val="10"/>
                <w:szCs w:val="10"/>
                <w:color w:val="auto"/>
              </w:rPr>
            </w:pPr>
          </w:p>
        </w:tc>
        <w:tc>
          <w:tcPr>
            <w:tcW w:w="146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80" w:type="dxa"/>
            <w:vAlign w:val="bottom"/>
          </w:tcPr>
          <w:p>
            <w:pPr>
              <w:spacing w:after="0"/>
              <w:rPr>
                <w:sz w:val="10"/>
                <w:szCs w:val="10"/>
                <w:color w:val="auto"/>
              </w:rPr>
            </w:pPr>
          </w:p>
        </w:tc>
        <w:tc>
          <w:tcPr>
            <w:tcW w:w="13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Transportation &amp; logistics</w:t>
            </w:r>
          </w:p>
        </w:tc>
        <w:tc>
          <w:tcPr>
            <w:tcW w:w="60" w:type="dxa"/>
            <w:vAlign w:val="bottom"/>
          </w:tcPr>
          <w:p>
            <w:pPr>
              <w:spacing w:after="0"/>
              <w:rPr>
                <w:sz w:val="10"/>
                <w:szCs w:val="10"/>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9"/>
              </w:rPr>
              <w:t>L+7.00% (Floor 1.00%)</w:t>
            </w:r>
          </w:p>
        </w:tc>
        <w:tc>
          <w:tcPr>
            <w:tcW w:w="80" w:type="dxa"/>
            <w:vAlign w:val="bottom"/>
          </w:tcPr>
          <w:p>
            <w:pPr>
              <w:spacing w:after="0"/>
              <w:rPr>
                <w:sz w:val="10"/>
                <w:szCs w:val="1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9"/>
              </w:rPr>
              <w:t>2/14/2018</w:t>
            </w:r>
          </w:p>
        </w:tc>
        <w:tc>
          <w:tcPr>
            <w:tcW w:w="60" w:type="dxa"/>
            <w:vAlign w:val="bottom"/>
          </w:tcPr>
          <w:p>
            <w:pPr>
              <w:spacing w:after="0"/>
              <w:rPr>
                <w:sz w:val="10"/>
                <w:szCs w:val="1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5"/>
              </w:rPr>
              <w:t>2/14/2023</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 - Term Loan</w:t>
            </w:r>
          </w:p>
        </w:tc>
        <w:tc>
          <w:tcPr>
            <w:tcW w:w="1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9"/>
              </w:rPr>
              <w:t>L+7.00%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2/14/2018</w:t>
            </w:r>
          </w:p>
        </w:tc>
        <w:tc>
          <w:tcPr>
            <w:tcW w:w="6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2/14/2023</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10,071</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10,009</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10,061</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8.00%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 - Term B Loan</w:t>
            </w: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L+10.00% (Floor 1.00%)/Q,</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6/5/2018</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5"/>
              </w:rPr>
              <w:t>2/14/2023</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5,036</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4,990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5,101</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Current Coupon 11.00%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First Lien - PIK Note A</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0"/>
              </w:rPr>
              <w:t>10.00% PIK</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3/29/2019</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2/14/2023</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2,743</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2,694</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rPr>
                <w:sz w:val="20"/>
                <w:szCs w:val="20"/>
                <w:color w:val="auto"/>
              </w:rPr>
            </w:pPr>
            <w:r>
              <w:rPr>
                <w:rFonts w:ascii="Arial" w:cs="Arial" w:eastAsia="Arial" w:hAnsi="Arial"/>
                <w:sz w:val="10"/>
                <w:szCs w:val="10"/>
                <w:color w:val="auto"/>
              </w:rPr>
              <w:t>First Lien - PIK Note B</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0"/>
                <w:szCs w:val="10"/>
                <w:color w:val="auto"/>
                <w:w w:val="90"/>
              </w:rPr>
              <w:t>10.00% PIK</w:t>
            </w: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3/29/2019</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85"/>
              </w:rPr>
              <w:t>2/14/2023</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108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92"/>
        </w:trPr>
        <w:tc>
          <w:tcPr>
            <w:tcW w:w="2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54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Warrants (Expiration - March 29,</w:t>
            </w:r>
          </w:p>
        </w:tc>
        <w:tc>
          <w:tcPr>
            <w:tcW w:w="1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3/29/2019</w:t>
            </w:r>
          </w:p>
        </w:tc>
        <w:tc>
          <w:tcPr>
            <w:tcW w:w="6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vMerge w:val="restart"/>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538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3,275</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60" w:type="dxa"/>
            <w:vAlign w:val="bottom"/>
            <w:shd w:val="clear" w:color="auto" w:fill="CCEEFF"/>
          </w:tcPr>
          <w:p>
            <w:pPr>
              <w:ind w:left="20"/>
              <w:spacing w:after="0" w:line="126" w:lineRule="exact"/>
              <w:rPr>
                <w:sz w:val="20"/>
                <w:szCs w:val="20"/>
                <w:color w:val="auto"/>
              </w:rPr>
            </w:pPr>
            <w:r>
              <w:rPr>
                <w:rFonts w:ascii="Arial" w:cs="Arial" w:eastAsia="Arial" w:hAnsi="Arial"/>
                <w:sz w:val="10"/>
                <w:szCs w:val="10"/>
                <w:color w:val="auto"/>
              </w:rPr>
              <w:t>2029)</w:t>
            </w:r>
            <w:r>
              <w:rPr>
                <w:rFonts w:ascii="Arial" w:cs="Arial" w:eastAsia="Arial" w:hAnsi="Arial"/>
                <w:sz w:val="12"/>
                <w:szCs w:val="12"/>
                <w:color w:val="auto"/>
                <w:vertAlign w:val="superscript"/>
              </w:rPr>
              <w:t>9</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060" w:type="dxa"/>
            <w:vAlign w:val="bottom"/>
            <w:gridSpan w:val="3"/>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w w:val="91"/>
              </w:rPr>
              <w:t>9.25% Class A Membership Interest</w:t>
            </w:r>
            <w:r>
              <w:rPr>
                <w:rFonts w:ascii="Arial" w:cs="Arial" w:eastAsia="Arial" w:hAnsi="Arial"/>
                <w:sz w:val="12"/>
                <w:szCs w:val="12"/>
                <w:color w:val="auto"/>
                <w:w w:val="91"/>
                <w:vertAlign w:val="superscript"/>
              </w:rPr>
              <w:t>9</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2/14/2018</w:t>
            </w:r>
          </w:p>
        </w:tc>
        <w:tc>
          <w:tcPr>
            <w:tcW w:w="6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1,500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3,012</w:t>
            </w:r>
          </w:p>
        </w:tc>
        <w:tc>
          <w:tcPr>
            <w:tcW w:w="0" w:type="dxa"/>
            <w:vAlign w:val="bottom"/>
          </w:tcPr>
          <w:p>
            <w:pPr>
              <w:spacing w:after="0"/>
              <w:rPr>
                <w:sz w:val="1"/>
                <w:szCs w:val="1"/>
                <w:color w:val="auto"/>
              </w:rPr>
            </w:pPr>
          </w:p>
        </w:tc>
      </w:tr>
      <w:tr>
        <w:trPr>
          <w:trHeight w:val="115"/>
        </w:trPr>
        <w:tc>
          <w:tcPr>
            <w:tcW w:w="2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19,500</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24,249</w:t>
            </w:r>
          </w:p>
        </w:tc>
        <w:tc>
          <w:tcPr>
            <w:tcW w:w="0" w:type="dxa"/>
            <w:vAlign w:val="bottom"/>
          </w:tcPr>
          <w:p>
            <w:pPr>
              <w:spacing w:after="0"/>
              <w:rPr>
                <w:sz w:val="1"/>
                <w:szCs w:val="1"/>
                <w:color w:val="auto"/>
              </w:rPr>
            </w:pPr>
          </w:p>
        </w:tc>
      </w:tr>
      <w:tr>
        <w:trPr>
          <w:trHeight w:val="90"/>
        </w:trPr>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SIMR, LLC</w:t>
            </w:r>
          </w:p>
        </w:tc>
        <w:tc>
          <w:tcPr>
            <w:tcW w:w="154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r>
              <w:rPr>
                <w:rFonts w:ascii="Arial" w:cs="Arial" w:eastAsia="Arial" w:hAnsi="Arial"/>
                <w:sz w:val="12"/>
                <w:szCs w:val="12"/>
                <w:color w:val="auto"/>
                <w:vertAlign w:val="superscript"/>
              </w:rPr>
              <w:t>16</w:t>
            </w:r>
          </w:p>
        </w:tc>
        <w:tc>
          <w:tcPr>
            <w:tcW w:w="1360" w:type="dxa"/>
            <w:vAlign w:val="bottom"/>
            <w:gridSpan w:val="2"/>
            <w:vMerge w:val="restart"/>
          </w:tcPr>
          <w:p>
            <w:pPr>
              <w:ind w:left="20"/>
              <w:spacing w:after="0"/>
              <w:rPr>
                <w:sz w:val="20"/>
                <w:szCs w:val="20"/>
                <w:color w:val="auto"/>
              </w:rPr>
            </w:pPr>
            <w:r>
              <w:rPr>
                <w:rFonts w:ascii="Arial" w:cs="Arial" w:eastAsia="Arial" w:hAnsi="Arial"/>
                <w:sz w:val="10"/>
                <w:szCs w:val="10"/>
                <w:color w:val="auto"/>
              </w:rPr>
              <w:t>Healthcare services</w:t>
            </w:r>
          </w:p>
        </w:tc>
        <w:tc>
          <w:tcPr>
            <w:tcW w:w="138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L+17.00% (Floor 2.00%)</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9/7/2018</w:t>
            </w:r>
          </w:p>
        </w:tc>
        <w:tc>
          <w:tcPr>
            <w:tcW w:w="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color w:val="auto"/>
                <w:w w:val="87"/>
              </w:rPr>
              <w:t>9/7/2023</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color w:val="auto"/>
              </w:rPr>
              <w:t>13,884</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13,750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11,885</w:t>
            </w:r>
          </w:p>
        </w:tc>
        <w:tc>
          <w:tcPr>
            <w:tcW w:w="0" w:type="dxa"/>
            <w:vAlign w:val="bottom"/>
          </w:tcPr>
          <w:p>
            <w:pPr>
              <w:spacing w:after="0"/>
              <w:rPr>
                <w:sz w:val="1"/>
                <w:szCs w:val="1"/>
                <w:color w:val="auto"/>
              </w:rPr>
            </w:pPr>
          </w:p>
        </w:tc>
      </w:tr>
      <w:tr>
        <w:trPr>
          <w:trHeight w:val="126"/>
        </w:trPr>
        <w:tc>
          <w:tcPr>
            <w:tcW w:w="218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PIK/M, Current Coupon 19.00%</w:t>
            </w: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94"/>
              </w:rPr>
              <w:t>9,374,510.2 Class B Common Units</w:t>
            </w: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9/7/2018</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6,107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19,857</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11,885</w:t>
            </w:r>
          </w:p>
        </w:tc>
        <w:tc>
          <w:tcPr>
            <w:tcW w:w="0" w:type="dxa"/>
            <w:vAlign w:val="bottom"/>
          </w:tcPr>
          <w:p>
            <w:pPr>
              <w:spacing w:after="0"/>
              <w:rPr>
                <w:sz w:val="1"/>
                <w:szCs w:val="1"/>
                <w:color w:val="auto"/>
              </w:rPr>
            </w:pPr>
          </w:p>
        </w:tc>
      </w:tr>
      <w:tr>
        <w:trPr>
          <w:trHeight w:val="92"/>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SONOBI, INC.</w:t>
            </w:r>
            <w:r>
              <w:rPr>
                <w:rFonts w:ascii="Arial" w:cs="Arial" w:eastAsia="Arial" w:hAnsi="Arial"/>
                <w:sz w:val="12"/>
                <w:szCs w:val="12"/>
                <w:b w:val="1"/>
                <w:bCs w:val="1"/>
                <w:color w:val="auto"/>
                <w:vertAlign w:val="superscript"/>
              </w:rPr>
              <w:t>13</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6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Media, marketing, &amp;</w:t>
            </w:r>
          </w:p>
        </w:tc>
        <w:tc>
          <w:tcPr>
            <w:tcW w:w="138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89"/>
              </w:rPr>
              <w:t>L+8.00% (Floor 1.00%)/Q,</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9/17/2020</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9/16/2025</w:t>
            </w:r>
          </w:p>
        </w:tc>
        <w:tc>
          <w:tcPr>
            <w:tcW w:w="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8,500</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8,351</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8,500</w:t>
            </w:r>
          </w:p>
        </w:tc>
        <w:tc>
          <w:tcPr>
            <w:tcW w:w="0" w:type="dxa"/>
            <w:vAlign w:val="bottom"/>
          </w:tcPr>
          <w:p>
            <w:pPr>
              <w:spacing w:after="0"/>
              <w:rPr>
                <w:sz w:val="1"/>
                <w:szCs w:val="1"/>
                <w:color w:val="auto"/>
              </w:rPr>
            </w:pPr>
          </w:p>
        </w:tc>
      </w:tr>
      <w:tr>
        <w:trPr>
          <w:trHeight w:val="126"/>
        </w:trPr>
        <w:tc>
          <w:tcPr>
            <w:tcW w:w="2180" w:type="dxa"/>
            <w:vAlign w:val="bottom"/>
            <w:gridSpan w:val="2"/>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entertainment</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Current Coupon 9.00%</w:t>
            </w: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500,000 Class A Common Units</w:t>
            </w:r>
            <w:r>
              <w:rPr>
                <w:rFonts w:ascii="Arial" w:cs="Arial" w:eastAsia="Arial" w:hAnsi="Arial"/>
                <w:sz w:val="12"/>
                <w:szCs w:val="12"/>
                <w:color w:val="auto"/>
                <w:vertAlign w:val="superscript"/>
              </w:rPr>
              <w:t>9</w:t>
            </w: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Pr>
          <w:p>
            <w:pPr>
              <w:jc w:val="center"/>
              <w:spacing w:after="0"/>
              <w:rPr>
                <w:sz w:val="20"/>
                <w:szCs w:val="20"/>
                <w:color w:val="auto"/>
              </w:rPr>
            </w:pPr>
            <w:r>
              <w:rPr>
                <w:rFonts w:ascii="Arial" w:cs="Arial" w:eastAsia="Arial" w:hAnsi="Arial"/>
                <w:sz w:val="10"/>
                <w:szCs w:val="10"/>
                <w:color w:val="auto"/>
                <w:w w:val="89"/>
              </w:rPr>
              <w:t>9/17/2020</w:t>
            </w:r>
          </w:p>
        </w:tc>
        <w:tc>
          <w:tcPr>
            <w:tcW w:w="6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500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1,690</w:t>
            </w:r>
          </w:p>
        </w:tc>
        <w:tc>
          <w:tcPr>
            <w:tcW w:w="0" w:type="dxa"/>
            <w:vAlign w:val="bottom"/>
          </w:tcPr>
          <w:p>
            <w:pPr>
              <w:spacing w:after="0"/>
              <w:rPr>
                <w:sz w:val="1"/>
                <w:szCs w:val="1"/>
                <w:color w:val="auto"/>
              </w:rPr>
            </w:pPr>
          </w:p>
        </w:tc>
      </w:tr>
      <w:tr>
        <w:trPr>
          <w:trHeight w:val="115"/>
        </w:trPr>
        <w:tc>
          <w:tcPr>
            <w:tcW w:w="2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8,851</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10,190</w:t>
            </w:r>
          </w:p>
        </w:tc>
        <w:tc>
          <w:tcPr>
            <w:tcW w:w="0" w:type="dxa"/>
            <w:vAlign w:val="bottom"/>
          </w:tcPr>
          <w:p>
            <w:pPr>
              <w:spacing w:after="0"/>
              <w:rPr>
                <w:sz w:val="1"/>
                <w:szCs w:val="1"/>
                <w:color w:val="auto"/>
              </w:rPr>
            </w:pPr>
          </w:p>
        </w:tc>
      </w:tr>
      <w:tr>
        <w:trPr>
          <w:trHeight w:val="36"/>
        </w:trPr>
        <w:tc>
          <w:tcPr>
            <w:tcW w:w="21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180" w:type="dxa"/>
            <w:vAlign w:val="bottom"/>
            <w:gridSpan w:val="2"/>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Total Affiliate Investments</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color w:val="auto"/>
              </w:rPr>
              <w:t>90,848</w:t>
            </w: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12"/>
              <w:spacing w:after="0" w:line="113"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color w:val="auto"/>
              </w:rPr>
              <w:t>85,435</w:t>
            </w: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0"/>
                <w:szCs w:val="10"/>
                <w:b w:val="1"/>
                <w:bCs w:val="1"/>
                <w:color w:val="auto"/>
              </w:rPr>
              <w:t>Control Investments</w:t>
            </w:r>
            <w:r>
              <w:rPr>
                <w:rFonts w:ascii="Arial" w:cs="Arial" w:eastAsia="Arial" w:hAnsi="Arial"/>
                <w:sz w:val="12"/>
                <w:szCs w:val="12"/>
                <w:b w:val="1"/>
                <w:bCs w:val="1"/>
                <w:color w:val="auto"/>
                <w:vertAlign w:val="superscript"/>
              </w:rPr>
              <w:t>7</w:t>
            </w: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I-45 SLF LLC</w:t>
            </w:r>
            <w:r>
              <w:rPr>
                <w:rFonts w:ascii="Arial" w:cs="Arial" w:eastAsia="Arial" w:hAnsi="Arial"/>
                <w:sz w:val="12"/>
                <w:szCs w:val="12"/>
                <w:b w:val="1"/>
                <w:bCs w:val="1"/>
                <w:color w:val="auto"/>
                <w:vertAlign w:val="superscript"/>
              </w:rPr>
              <w:t>9, 10, 11</w:t>
            </w:r>
          </w:p>
        </w:tc>
        <w:tc>
          <w:tcPr>
            <w:tcW w:w="1540" w:type="dxa"/>
            <w:vAlign w:val="bottom"/>
            <w:gridSpan w:val="2"/>
          </w:tcPr>
          <w:p>
            <w:pPr>
              <w:ind w:left="20"/>
              <w:spacing w:after="0"/>
              <w:rPr>
                <w:sz w:val="20"/>
                <w:szCs w:val="20"/>
                <w:color w:val="auto"/>
              </w:rPr>
            </w:pPr>
            <w:r>
              <w:rPr>
                <w:rFonts w:ascii="Arial" w:cs="Arial" w:eastAsia="Arial" w:hAnsi="Arial"/>
                <w:sz w:val="10"/>
                <w:szCs w:val="10"/>
                <w:color w:val="auto"/>
              </w:rPr>
              <w:t>80% LLC equity interest</w:t>
            </w:r>
          </w:p>
        </w:tc>
        <w:tc>
          <w:tcPr>
            <w:tcW w:w="1360" w:type="dxa"/>
            <w:vAlign w:val="bottom"/>
            <w:gridSpan w:val="2"/>
          </w:tcPr>
          <w:p>
            <w:pPr>
              <w:ind w:left="20"/>
              <w:spacing w:after="0"/>
              <w:rPr>
                <w:sz w:val="20"/>
                <w:szCs w:val="20"/>
                <w:color w:val="auto"/>
              </w:rPr>
            </w:pPr>
            <w:r>
              <w:rPr>
                <w:rFonts w:ascii="Arial" w:cs="Arial" w:eastAsia="Arial" w:hAnsi="Arial"/>
                <w:sz w:val="10"/>
                <w:szCs w:val="10"/>
                <w:color w:val="auto"/>
              </w:rPr>
              <w:t>Multi-sector holdings</w:t>
            </w:r>
          </w:p>
        </w:tc>
        <w:tc>
          <w:tcPr>
            <w:tcW w:w="138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820" w:type="dxa"/>
            <w:vAlign w:val="bottom"/>
          </w:tcPr>
          <w:p>
            <w:pPr>
              <w:jc w:val="center"/>
              <w:spacing w:after="0"/>
              <w:rPr>
                <w:sz w:val="20"/>
                <w:szCs w:val="20"/>
                <w:color w:val="auto"/>
              </w:rPr>
            </w:pPr>
            <w:r>
              <w:rPr>
                <w:rFonts w:ascii="Arial" w:cs="Arial" w:eastAsia="Arial" w:hAnsi="Arial"/>
                <w:sz w:val="10"/>
                <w:szCs w:val="10"/>
                <w:color w:val="auto"/>
                <w:w w:val="87"/>
              </w:rPr>
              <w:t>10/20/2015</w:t>
            </w:r>
          </w:p>
        </w:tc>
        <w:tc>
          <w:tcPr>
            <w:tcW w:w="6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color w:val="auto"/>
                <w:w w:val="99"/>
              </w:rPr>
              <w:t>—</w:t>
            </w:r>
          </w:p>
        </w:tc>
        <w:tc>
          <w:tcPr>
            <w:tcW w:w="1060" w:type="dxa"/>
            <w:vAlign w:val="bottom"/>
            <w:gridSpan w:val="3"/>
          </w:tcPr>
          <w:p>
            <w:pPr>
              <w:jc w:val="right"/>
              <w:ind w:right="72"/>
              <w:spacing w:after="0"/>
              <w:rPr>
                <w:sz w:val="20"/>
                <w:szCs w:val="20"/>
                <w:color w:val="auto"/>
              </w:rPr>
            </w:pPr>
            <w:r>
              <w:rPr>
                <w:rFonts w:ascii="Arial" w:cs="Arial" w:eastAsia="Arial" w:hAnsi="Arial"/>
                <w:sz w:val="10"/>
                <w:szCs w:val="10"/>
                <w:color w:val="auto"/>
              </w:rPr>
              <w:t>—   $</w:t>
            </w:r>
          </w:p>
        </w:tc>
        <w:tc>
          <w:tcPr>
            <w:tcW w:w="640" w:type="dxa"/>
            <w:vAlign w:val="bottom"/>
          </w:tcPr>
          <w:p>
            <w:pPr>
              <w:jc w:val="right"/>
              <w:spacing w:after="0"/>
              <w:rPr>
                <w:sz w:val="20"/>
                <w:szCs w:val="20"/>
                <w:color w:val="auto"/>
              </w:rPr>
            </w:pPr>
            <w:r>
              <w:rPr>
                <w:rFonts w:ascii="Arial" w:cs="Arial" w:eastAsia="Arial" w:hAnsi="Arial"/>
                <w:sz w:val="10"/>
                <w:szCs w:val="10"/>
                <w:color w:val="auto"/>
              </w:rPr>
              <w:t>76,000</w:t>
            </w:r>
          </w:p>
        </w:tc>
        <w:tc>
          <w:tcPr>
            <w:tcW w:w="8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61,272</w:t>
            </w:r>
          </w:p>
        </w:tc>
        <w:tc>
          <w:tcPr>
            <w:tcW w:w="0" w:type="dxa"/>
            <w:vAlign w:val="bottom"/>
          </w:tcPr>
          <w:p>
            <w:pPr>
              <w:spacing w:after="0"/>
              <w:rPr>
                <w:sz w:val="1"/>
                <w:szCs w:val="1"/>
                <w:color w:val="auto"/>
              </w:rPr>
            </w:pPr>
          </w:p>
        </w:tc>
      </w:tr>
      <w:tr>
        <w:trPr>
          <w:trHeight w:val="115"/>
        </w:trPr>
        <w:tc>
          <w:tcPr>
            <w:tcW w:w="218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Total Control Investments</w:t>
            </w:r>
          </w:p>
        </w:tc>
        <w:tc>
          <w:tcPr>
            <w:tcW w:w="14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76,000</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61,272</w:t>
            </w:r>
          </w:p>
        </w:tc>
        <w:tc>
          <w:tcPr>
            <w:tcW w:w="0" w:type="dxa"/>
            <w:vAlign w:val="bottom"/>
          </w:tcPr>
          <w:p>
            <w:pPr>
              <w:spacing w:after="0"/>
              <w:rPr>
                <w:sz w:val="1"/>
                <w:szCs w:val="1"/>
                <w:color w:val="auto"/>
              </w:rPr>
            </w:pPr>
          </w:p>
        </w:tc>
      </w:tr>
      <w:tr>
        <w:trPr>
          <w:trHeight w:val="171"/>
        </w:trPr>
        <w:tc>
          <w:tcPr>
            <w:tcW w:w="2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180" w:type="dxa"/>
            <w:vAlign w:val="bottom"/>
            <w:tcBorders>
              <w:bottom w:val="single" w:sz="8" w:color="CCEEFF"/>
            </w:tcBorders>
            <w:gridSpan w:val="2"/>
            <w:shd w:val="clear" w:color="auto" w:fill="CCEEFF"/>
          </w:tcPr>
          <w:p>
            <w:pPr>
              <w:spacing w:after="0" w:line="115" w:lineRule="exact"/>
              <w:rPr>
                <w:sz w:val="20"/>
                <w:szCs w:val="20"/>
                <w:color w:val="auto"/>
              </w:rPr>
            </w:pPr>
            <w:r>
              <w:rPr>
                <w:rFonts w:ascii="Arial" w:cs="Arial" w:eastAsia="Arial" w:hAnsi="Arial"/>
                <w:sz w:val="10"/>
                <w:szCs w:val="10"/>
                <w:b w:val="1"/>
                <w:bCs w:val="1"/>
                <w:color w:val="auto"/>
              </w:rPr>
              <w:t>TOTAL INVESTMENTS</w:t>
            </w:r>
            <w:r>
              <w:rPr>
                <w:rFonts w:ascii="Arial" w:cs="Arial" w:eastAsia="Arial" w:hAnsi="Arial"/>
                <w:sz w:val="12"/>
                <w:szCs w:val="12"/>
                <w:b w:val="1"/>
                <w:bCs w:val="1"/>
                <w:color w:val="auto"/>
                <w:vertAlign w:val="superscript"/>
              </w:rPr>
              <w:t>12</w:t>
            </w:r>
          </w:p>
        </w:tc>
        <w:tc>
          <w:tcPr>
            <w:tcW w:w="1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806,286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798,647</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All debt investments are income-producing, unless otherwise noted. Equity investments are non-income producing, unless otherwise noted.</w:t>
      </w:r>
    </w:p>
    <w:p>
      <w:pPr>
        <w:spacing w:after="0" w:line="89" w:lineRule="exact"/>
        <w:rPr>
          <w:sz w:val="20"/>
          <w:szCs w:val="20"/>
          <w:color w:val="auto"/>
        </w:rPr>
      </w:pPr>
    </w:p>
    <w:p>
      <w:pPr>
        <w:ind w:left="208" w:hanging="208"/>
        <w:spacing w:after="0" w:line="226" w:lineRule="auto"/>
        <w:tabs>
          <w:tab w:leader="none" w:pos="207"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All of the Company’s investments and the investments of SBIC I (as defined below), unless otherwise noted, are pledged as collateral for the Company’s senior secured credit facility or in support of the SBA-guaranteed debentures to be issued by Capital Southwest SBIC I, LP, our wholly-owned subsidiary that operates as a small business investment company ("SBIC I"), respectively.</w:t>
      </w:r>
    </w:p>
    <w:p>
      <w:pPr>
        <w:spacing w:after="0" w:line="2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8"/>
          </w:cols>
          <w:pgMar w:left="292" w:top="140" w:right="299" w:bottom="1440" w:gutter="0" w:footer="0" w:header="0"/>
        </w:sectPr>
      </w:pPr>
    </w:p>
    <w:bookmarkStart w:id="16" w:name="page17"/>
    <w:bookmarkEnd w:id="16"/>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361" w:lineRule="exact"/>
        <w:rPr>
          <w:sz w:val="20"/>
          <w:szCs w:val="20"/>
          <w:color w:val="auto"/>
        </w:rPr>
      </w:pPr>
    </w:p>
    <w:p>
      <w:pPr>
        <w:jc w:val="both"/>
        <w:ind w:left="208" w:right="20" w:hanging="208"/>
        <w:spacing w:after="0" w:line="235" w:lineRule="auto"/>
        <w:tabs>
          <w:tab w:leader="none" w:pos="207"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The majority of investments bear interest at a rate that may be determined by reference to London Interbank Offered Rate (“LIBOR” or “L”) or Prime (“P”) and reset daily (D), monthly (M), quarterly (Q), or semiannually (S). For each investment, the Company has provided the spread over LIBOR or Prime and the current contractual interest rate in effect at June 30, 2021. Certain investments are subject to a LIBOR or Prime interest rate floor. Certain investments, as noted, accrue payment-in-kind ("PIK") interest.</w:t>
      </w:r>
    </w:p>
    <w:p>
      <w:pPr>
        <w:spacing w:after="0" w:line="99" w:lineRule="exact"/>
        <w:rPr>
          <w:sz w:val="20"/>
          <w:szCs w:val="20"/>
          <w:color w:val="auto"/>
        </w:rPr>
      </w:pPr>
    </w:p>
    <w:p>
      <w:pPr>
        <w:ind w:left="208" w:hanging="208"/>
        <w:spacing w:after="0" w:line="226" w:lineRule="auto"/>
        <w:tabs>
          <w:tab w:leader="none" w:pos="207" w:val="left"/>
        </w:tabs>
        <w:numPr>
          <w:ilvl w:val="0"/>
          <w:numId w:val="6"/>
        </w:numPr>
        <w:rPr>
          <w:rFonts w:ascii="Arial" w:cs="Arial" w:eastAsia="Arial" w:hAnsi="Arial"/>
          <w:sz w:val="14"/>
          <w:szCs w:val="14"/>
          <w:color w:val="auto"/>
          <w:vertAlign w:val="superscript"/>
        </w:rPr>
      </w:pPr>
      <w:r>
        <w:rPr>
          <w:rFonts w:ascii="Arial" w:cs="Arial" w:eastAsia="Arial" w:hAnsi="Arial"/>
          <w:sz w:val="11"/>
          <w:szCs w:val="11"/>
          <w:color w:val="auto"/>
        </w:rPr>
        <w:t>The Company's investment portfolio is comprised entirely of debt and equity securities of privately held companies for which quoted prices falling within the categories of Level 1 and Level 2 inputs are not readily available. Therefore, the Company values all of its portfolio investments at fair value, as determined in good faith by the Board of Directors, using significant unobservable Level 3 inputs. Refer to Note 4 for further discussion.</w:t>
      </w:r>
    </w:p>
    <w:p>
      <w:pPr>
        <w:spacing w:after="0" w:line="89" w:lineRule="exact"/>
        <w:rPr>
          <w:sz w:val="20"/>
          <w:szCs w:val="20"/>
          <w:color w:val="auto"/>
        </w:rPr>
      </w:pPr>
    </w:p>
    <w:p>
      <w:pPr>
        <w:ind w:left="208" w:hanging="208"/>
        <w:spacing w:after="0" w:line="226" w:lineRule="auto"/>
        <w:tabs>
          <w:tab w:leader="none" w:pos="207"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Non-Control/Non-Affiliate investments are generally defined by the Investment Company Act of 1940, as amended (the “1940 Act”), as investments that are neither control investments nor affiliate investments. At June 30, 2021, approximately 81.6% of the Company’s investment assets were non-control/non-affiliate investments. The fair value of these investments as a percent of net assets is 177.1%.</w:t>
      </w:r>
    </w:p>
    <w:p>
      <w:pPr>
        <w:spacing w:after="0" w:line="98" w:lineRule="exact"/>
        <w:rPr>
          <w:sz w:val="20"/>
          <w:szCs w:val="20"/>
          <w:color w:val="auto"/>
        </w:rPr>
      </w:pPr>
    </w:p>
    <w:p>
      <w:pPr>
        <w:ind w:left="208" w:hanging="208"/>
        <w:spacing w:after="0" w:line="226" w:lineRule="auto"/>
        <w:tabs>
          <w:tab w:leader="none" w:pos="207"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Affiliate investments are generally defined by the 1940 Act as investments in which between 5% and 25% of the voting securities are owned and the investments are not classified as control investments. At June 30, 2021, approximately 10.7% of the Company’s investment assets were affiliate investments. The fair value of these investments as a percent of net assets is 23.2%.</w:t>
      </w:r>
    </w:p>
    <w:p>
      <w:pPr>
        <w:spacing w:after="0" w:line="98" w:lineRule="exact"/>
        <w:rPr>
          <w:sz w:val="20"/>
          <w:szCs w:val="20"/>
          <w:color w:val="auto"/>
        </w:rPr>
      </w:pPr>
    </w:p>
    <w:p>
      <w:pPr>
        <w:ind w:left="208" w:hanging="208"/>
        <w:spacing w:after="0" w:line="226" w:lineRule="auto"/>
        <w:tabs>
          <w:tab w:leader="none" w:pos="207"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Control investments are generally defined by the 1940 Act as investments in which more than 25% of the voting securities are owned. At June 30, 2021, approximately 7.7% of the Company’s investment assets were control investments. The fair value of these investments as a percent of net assets is 16.7%.</w:t>
      </w:r>
    </w:p>
    <w:p>
      <w:pPr>
        <w:spacing w:after="0" w:line="65"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The investment is structured as a first lien last out term loan.</w:t>
      </w:r>
    </w:p>
    <w:p>
      <w:pPr>
        <w:spacing w:after="0" w:line="98" w:lineRule="exact"/>
        <w:rPr>
          <w:sz w:val="20"/>
          <w:szCs w:val="20"/>
          <w:color w:val="auto"/>
        </w:rPr>
      </w:pPr>
    </w:p>
    <w:p>
      <w:pPr>
        <w:ind w:left="208" w:hanging="208"/>
        <w:spacing w:after="0" w:line="226" w:lineRule="auto"/>
        <w:tabs>
          <w:tab w:leader="none" w:pos="207"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Indicates assets that are not considered "qualifying assets" under Section 55(a) of the 1940 Act. Qualifying assets must represent at least 70% of total assets at the time of acquisition of any additional non-qualifying assets. As of June 30, 2021, approximately 13.7% of the Company's assets are non-qualifying assets.</w:t>
      </w:r>
    </w:p>
    <w:p>
      <w:pPr>
        <w:spacing w:after="0" w:line="74"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The investment has an unfunded commitment as of June 30, 2021. Refer to Note 10 - Commitments and Contingencies for further discussion.</w:t>
      </w:r>
    </w:p>
    <w:p>
      <w:pPr>
        <w:spacing w:after="0" w:line="64"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Income producing through dividends or distributions.</w:t>
      </w:r>
    </w:p>
    <w:p>
      <w:pPr>
        <w:spacing w:after="0" w:line="97" w:lineRule="exact"/>
        <w:rPr>
          <w:rFonts w:ascii="Arial" w:cs="Arial" w:eastAsia="Arial" w:hAnsi="Arial"/>
          <w:sz w:val="14"/>
          <w:szCs w:val="14"/>
          <w:color w:val="auto"/>
          <w:vertAlign w:val="superscript"/>
        </w:rPr>
      </w:pPr>
    </w:p>
    <w:p>
      <w:pPr>
        <w:ind w:left="208" w:hanging="208"/>
        <w:spacing w:after="0" w:line="226" w:lineRule="auto"/>
        <w:tabs>
          <w:tab w:leader="none" w:pos="206"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As of June 30, 2021, the cumulative gross unrealized appreciation for U.S. federal income tax purposes is approximately $46.3 million; cumulative gross unrealized depreciation for federal income tax purposes is $49.8 million. Cumulative net unrealized depreciation is $3.5 million, based on a tax cost of $797.5 million.</w:t>
      </w:r>
    </w:p>
    <w:p>
      <w:pPr>
        <w:spacing w:after="0" w:line="73"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Investment is held through a wholly-owned taxable subsidiary.</w:t>
      </w:r>
    </w:p>
    <w:p>
      <w:pPr>
        <w:spacing w:after="0" w:line="88" w:lineRule="exact"/>
        <w:rPr>
          <w:rFonts w:ascii="Arial" w:cs="Arial" w:eastAsia="Arial" w:hAnsi="Arial"/>
          <w:sz w:val="14"/>
          <w:szCs w:val="14"/>
          <w:color w:val="auto"/>
          <w:vertAlign w:val="superscript"/>
        </w:rPr>
      </w:pPr>
    </w:p>
    <w:p>
      <w:pPr>
        <w:ind w:left="208" w:right="20" w:hanging="208"/>
        <w:spacing w:after="0" w:line="226" w:lineRule="auto"/>
        <w:tabs>
          <w:tab w:leader="none" w:pos="206"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The Company generally acquires its investments in private transactions exempt from registration under the Securities Act of 1933, as amended (the "Securities Act"). These investments, which as of June 30, 2021 represented 217.0% of the Company's net assets or 95.5% of the Company's total assets, are generally subject to certain limitations on resale, and may be deemed "restricted securities" under the Securities Act.</w:t>
      </w:r>
    </w:p>
    <w:p>
      <w:pPr>
        <w:spacing w:after="0" w:line="73"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The investment is structured as a split lien term loan, which provides the Company with a first lien priority on certain assets of the obligor and a second lien priority on different assets of the obligor.</w:t>
      </w:r>
    </w:p>
    <w:p>
      <w:pPr>
        <w:spacing w:after="0" w:line="73"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Investment is on non-accrual status as of June 30, 2021, meaning the Company has ceased to recognize interest income on the investment.</w:t>
      </w:r>
    </w:p>
    <w:p>
      <w:pPr>
        <w:spacing w:after="0" w:line="64"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The investment is structured as a first lien first out term loan.</w:t>
      </w:r>
    </w:p>
    <w:p>
      <w:pPr>
        <w:spacing w:after="0" w:line="73"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Negative cost in this column represents the original issue discount of certain undrawn revolvers and delayed draw term loans.</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1"/>
          <w:szCs w:val="11"/>
          <w:color w:val="auto"/>
        </w:rPr>
        <w:t>A brief description of the portfolio company in which we made an investment that represents greater than 5% of our total assets as of June 30, 2021 is included in Note 13. Significant Subsidiaries.</w:t>
      </w: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8"/>
          </w:cols>
          <w:pgMar w:left="292" w:top="140" w:right="299" w:bottom="1440" w:gutter="0" w:footer="0" w:header="0"/>
        </w:sectPr>
      </w:pPr>
    </w:p>
    <w:bookmarkStart w:id="17" w:name="page18"/>
    <w:bookmarkEnd w:id="17"/>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6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Industry</w:t>
            </w: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88"/>
              </w:rPr>
              <w:t>Acquisition Date</w:t>
            </w:r>
            <w:r>
              <w:rPr>
                <w:rFonts w:ascii="Arial" w:cs="Arial" w:eastAsia="Arial" w:hAnsi="Arial"/>
                <w:sz w:val="12"/>
                <w:szCs w:val="12"/>
                <w:b w:val="1"/>
                <w:bCs w:val="1"/>
                <w:color w:val="auto"/>
                <w:w w:val="88"/>
                <w:vertAlign w:val="superscript"/>
              </w:rPr>
              <w:t>14</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Maturity</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Principal</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16</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99"/>
              </w:rPr>
              <w:t>Fair Value</w:t>
            </w:r>
            <w:r>
              <w:rPr>
                <w:rFonts w:ascii="Arial" w:cs="Arial" w:eastAsia="Arial" w:hAnsi="Arial"/>
                <w:sz w:val="12"/>
                <w:szCs w:val="12"/>
                <w:b w:val="1"/>
                <w:bCs w:val="1"/>
                <w:color w:val="auto"/>
                <w:w w:val="99"/>
                <w:vertAlign w:val="superscript"/>
              </w:rPr>
              <w:t>4</w:t>
            </w:r>
          </w:p>
        </w:tc>
        <w:tc>
          <w:tcPr>
            <w:tcW w:w="0" w:type="dxa"/>
            <w:vAlign w:val="bottom"/>
          </w:tcPr>
          <w:p>
            <w:pPr>
              <w:spacing w:after="0"/>
              <w:rPr>
                <w:sz w:val="1"/>
                <w:szCs w:val="1"/>
                <w:color w:val="auto"/>
              </w:rPr>
            </w:pPr>
          </w:p>
        </w:tc>
      </w:tr>
      <w:tr>
        <w:trPr>
          <w:trHeight w:val="133"/>
        </w:trPr>
        <w:tc>
          <w:tcPr>
            <w:tcW w:w="2360" w:type="dxa"/>
            <w:vAlign w:val="bottom"/>
            <w:gridSpan w:val="2"/>
            <w:shd w:val="clear" w:color="auto" w:fill="CCEEFF"/>
          </w:tcPr>
          <w:p>
            <w:pPr>
              <w:spacing w:after="0" w:line="133" w:lineRule="exact"/>
              <w:rPr>
                <w:sz w:val="20"/>
                <w:szCs w:val="20"/>
                <w:color w:val="auto"/>
              </w:rPr>
            </w:pPr>
            <w:r>
              <w:rPr>
                <w:rFonts w:ascii="Arial" w:cs="Arial" w:eastAsia="Arial" w:hAnsi="Arial"/>
                <w:sz w:val="10"/>
                <w:szCs w:val="10"/>
                <w:b w:val="1"/>
                <w:bCs w:val="1"/>
                <w:color w:val="auto"/>
              </w:rPr>
              <w:t>Non-control/Non-affiliate Investments</w:t>
            </w:r>
            <w:r>
              <w:rPr>
                <w:rFonts w:ascii="Arial" w:cs="Arial" w:eastAsia="Arial" w:hAnsi="Arial"/>
                <w:sz w:val="12"/>
                <w:szCs w:val="12"/>
                <w:b w:val="1"/>
                <w:bCs w:val="1"/>
                <w:color w:val="auto"/>
                <w:vertAlign w:val="superscript"/>
              </w:rPr>
              <w:t>5</w:t>
            </w:r>
          </w:p>
        </w:tc>
        <w:tc>
          <w:tcPr>
            <w:tcW w:w="1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360" w:type="dxa"/>
            <w:vAlign w:val="bottom"/>
            <w:gridSpan w:val="2"/>
          </w:tcPr>
          <w:p>
            <w:pPr>
              <w:spacing w:after="0"/>
              <w:rPr>
                <w:sz w:val="20"/>
                <w:szCs w:val="20"/>
                <w:color w:val="auto"/>
              </w:rPr>
            </w:pPr>
            <w:r>
              <w:rPr>
                <w:rFonts w:ascii="Arial" w:cs="Arial" w:eastAsia="Arial" w:hAnsi="Arial"/>
                <w:sz w:val="10"/>
                <w:szCs w:val="10"/>
                <w:b w:val="1"/>
                <w:bCs w:val="1"/>
                <w:color w:val="auto"/>
              </w:rPr>
              <w:t>AAC NEW HOLDCO INC.</w:t>
            </w: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Healthcare services</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10.00%, 8.00% PIK</w:t>
            </w:r>
          </w:p>
        </w:tc>
        <w:tc>
          <w:tcPr>
            <w:tcW w:w="860" w:type="dxa"/>
            <w:vAlign w:val="bottom"/>
          </w:tcPr>
          <w:p>
            <w:pPr>
              <w:jc w:val="center"/>
              <w:spacing w:after="0"/>
              <w:rPr>
                <w:sz w:val="20"/>
                <w:szCs w:val="20"/>
                <w:color w:val="auto"/>
              </w:rPr>
            </w:pPr>
            <w:r>
              <w:rPr>
                <w:rFonts w:ascii="Arial" w:cs="Arial" w:eastAsia="Arial" w:hAnsi="Arial"/>
                <w:sz w:val="10"/>
                <w:szCs w:val="10"/>
                <w:color w:val="auto"/>
                <w:w w:val="83"/>
              </w:rPr>
              <w:t>12/11/2020</w:t>
            </w: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89"/>
              </w:rPr>
              <w:t>6/25/2025</w:t>
            </w:r>
          </w:p>
        </w:tc>
        <w:tc>
          <w:tcPr>
            <w:tcW w:w="10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7,981</w:t>
            </w: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7,981</w:t>
            </w:r>
          </w:p>
        </w:tc>
        <w:tc>
          <w:tcPr>
            <w:tcW w:w="8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7,941</w:t>
            </w:r>
          </w:p>
        </w:tc>
        <w:tc>
          <w:tcPr>
            <w:tcW w:w="0" w:type="dxa"/>
            <w:vAlign w:val="bottom"/>
          </w:tcPr>
          <w:p>
            <w:pPr>
              <w:spacing w:after="0"/>
              <w:rPr>
                <w:sz w:val="1"/>
                <w:szCs w:val="1"/>
                <w:color w:val="auto"/>
              </w:rPr>
            </w:pPr>
          </w:p>
        </w:tc>
      </w:tr>
      <w:tr>
        <w:trPr>
          <w:trHeight w:val="127"/>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374,543 shares common stock</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12/11/2020</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1,785</w:t>
            </w: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tcPr>
          <w:p>
            <w:pPr>
              <w:ind w:left="20"/>
              <w:spacing w:after="0" w:line="90" w:lineRule="exact"/>
              <w:rPr>
                <w:sz w:val="20"/>
                <w:szCs w:val="20"/>
                <w:color w:val="auto"/>
              </w:rPr>
            </w:pPr>
            <w:r>
              <w:rPr>
                <w:rFonts w:ascii="Arial" w:cs="Arial" w:eastAsia="Arial" w:hAnsi="Arial"/>
                <w:sz w:val="10"/>
                <w:szCs w:val="10"/>
                <w:color w:val="auto"/>
              </w:rPr>
              <w:t>Warrants (Expiration - December 11,</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3"/>
              </w:rPr>
              <w:t>12/11/2020</w:t>
            </w:r>
          </w:p>
        </w:tc>
        <w:tc>
          <w:tcPr>
            <w:tcW w:w="60" w:type="dxa"/>
            <w:vAlign w:val="bottom"/>
          </w:tcPr>
          <w:p>
            <w:pPr>
              <w:spacing w:after="0"/>
              <w:rPr>
                <w:sz w:val="7"/>
                <w:szCs w:val="7"/>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tcPr>
          <w:p>
            <w:pPr>
              <w:spacing w:after="0"/>
              <w:rPr>
                <w:sz w:val="7"/>
                <w:szCs w:val="7"/>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2,198</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2,198</w:t>
            </w: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2025)</w:t>
            </w:r>
          </w:p>
        </w:tc>
        <w:tc>
          <w:tcPr>
            <w:tcW w:w="60" w:type="dxa"/>
            <w:vAlign w:val="bottom"/>
            <w:tcBorders>
              <w:bottom w:val="single" w:sz="8" w:color="CCEEFF"/>
            </w:tcBorders>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vMerge w:val="continue"/>
          </w:tcPr>
          <w:p>
            <w:pPr>
              <w:spacing w:after="0"/>
              <w:rPr>
                <w:sz w:val="10"/>
                <w:szCs w:val="10"/>
                <w:color w:val="auto"/>
              </w:rPr>
            </w:pPr>
          </w:p>
        </w:tc>
        <w:tc>
          <w:tcPr>
            <w:tcW w:w="86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gridSpan w:val="2"/>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11,964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11,924</w:t>
            </w: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ACCELERATION PARTNERS, LLC</w:t>
            </w:r>
            <w:r>
              <w:rPr>
                <w:rFonts w:ascii="Arial" w:cs="Arial" w:eastAsia="Arial" w:hAnsi="Arial"/>
                <w:sz w:val="12"/>
                <w:szCs w:val="12"/>
                <w:b w:val="1"/>
                <w:bCs w:val="1"/>
                <w:color w:val="auto"/>
                <w:vertAlign w:val="superscript"/>
              </w:rPr>
              <w:t>8,13</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tcPr>
          <w:p>
            <w:pPr>
              <w:ind w:left="20"/>
              <w:spacing w:after="0" w:line="90" w:lineRule="exact"/>
              <w:rPr>
                <w:sz w:val="20"/>
                <w:szCs w:val="20"/>
                <w:color w:val="auto"/>
              </w:rPr>
            </w:pPr>
            <w:r>
              <w:rPr>
                <w:rFonts w:ascii="Arial" w:cs="Arial" w:eastAsia="Arial" w:hAnsi="Arial"/>
                <w:sz w:val="10"/>
                <w:szCs w:val="10"/>
                <w:color w:val="auto"/>
              </w:rPr>
              <w:t>Media, marketing &amp;</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L+8.21%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12/1/2020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12/1/2025</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8,750</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8,500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8,750</w:t>
            </w:r>
          </w:p>
        </w:tc>
        <w:tc>
          <w:tcPr>
            <w:tcW w:w="0" w:type="dxa"/>
            <w:vAlign w:val="bottom"/>
          </w:tcPr>
          <w:p>
            <w:pPr>
              <w:spacing w:after="0"/>
              <w:rPr>
                <w:sz w:val="1"/>
                <w:szCs w:val="1"/>
                <w:color w:val="auto"/>
              </w:rPr>
            </w:pPr>
          </w:p>
        </w:tc>
      </w:tr>
      <w:tr>
        <w:trPr>
          <w:trHeight w:val="126"/>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entertainment</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9.21%</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L+8.21% (Floor 1.00%)/Q,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12/1/2020</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12/1/2025</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2,965</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2,889</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2,965</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9.21%</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1,000 Preferred Units</w:t>
            </w:r>
            <w:r>
              <w:rPr>
                <w:rFonts w:ascii="Arial" w:cs="Arial" w:eastAsia="Arial" w:hAnsi="Arial"/>
                <w:sz w:val="12"/>
                <w:szCs w:val="12"/>
                <w:color w:val="auto"/>
                <w:vertAlign w:val="superscript"/>
              </w:rPr>
              <w:t>9</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12/1/2020</w:t>
            </w:r>
          </w:p>
        </w:tc>
        <w:tc>
          <w:tcPr>
            <w:tcW w:w="6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0"/>
                <w:szCs w:val="10"/>
                <w:color w:val="auto"/>
              </w:rPr>
              <w:t>1,000 Class A Common Units</w:t>
            </w:r>
            <w:r>
              <w:rPr>
                <w:rFonts w:ascii="Arial" w:cs="Arial" w:eastAsia="Arial" w:hAnsi="Arial"/>
                <w:sz w:val="12"/>
                <w:szCs w:val="12"/>
                <w:color w:val="auto"/>
                <w:vertAlign w:val="superscript"/>
              </w:rPr>
              <w:t>9</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12/1/2020</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12,389</w:t>
            </w: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12,715</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ACE GATHERING, INC.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Second Lien</w:t>
            </w:r>
            <w:r>
              <w:rPr>
                <w:rFonts w:ascii="Arial" w:cs="Arial" w:eastAsia="Arial" w:hAnsi="Arial"/>
                <w:sz w:val="12"/>
                <w:szCs w:val="12"/>
                <w:color w:val="auto"/>
                <w:vertAlign w:val="superscript"/>
              </w:rPr>
              <w:t>15</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Energy services (midstream)</w:t>
            </w: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L+10.50% (Floor 2.00%)/Q,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12/13/2018</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12/13/2023</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9,438</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9,319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8,975</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12.50%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ADAMS PUBLISHING GROUP, LLC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tcPr>
          <w:p>
            <w:pPr>
              <w:ind w:left="20"/>
              <w:spacing w:after="0" w:line="90" w:lineRule="exact"/>
              <w:rPr>
                <w:sz w:val="20"/>
                <w:szCs w:val="20"/>
                <w:color w:val="auto"/>
              </w:rPr>
            </w:pPr>
            <w:r>
              <w:rPr>
                <w:rFonts w:ascii="Arial" w:cs="Arial" w:eastAsia="Arial" w:hAnsi="Arial"/>
                <w:sz w:val="10"/>
                <w:szCs w:val="10"/>
                <w:color w:val="auto"/>
              </w:rPr>
              <w:t>Media, marketing &amp;</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L+7.00% (Floor 1.75%)/Q,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7/2/2018</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7/2/2023</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9,920</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9,795</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9,920</w:t>
            </w:r>
          </w:p>
        </w:tc>
        <w:tc>
          <w:tcPr>
            <w:tcW w:w="0" w:type="dxa"/>
            <w:vAlign w:val="bottom"/>
          </w:tcPr>
          <w:p>
            <w:pPr>
              <w:spacing w:after="0"/>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entertainment</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8.75%</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ALLIANCE SPORTS GROUP, L.P.</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Senior subordinated debt</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Consumer products &amp; retail</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0"/>
              </w:rPr>
              <w:t>14.00% PIK</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8/1/2017</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2/1/2023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11,134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11,043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10,989</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Unsecured convertible note</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93"/>
              </w:rPr>
              <w:t>6.00% PIK</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7/15/2020</w:t>
            </w: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89"/>
              </w:rPr>
              <w:t>9/30/2024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173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173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173</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3.88% preferred membership interest</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8/1/2017</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2,500</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2,500</w:t>
            </w: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13,716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13,662</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ALLOVER MEDIA, LLC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Media, marketing &amp;</w:t>
            </w:r>
          </w:p>
        </w:tc>
        <w:tc>
          <w:tcPr>
            <w:tcW w:w="12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0"/>
                <w:szCs w:val="10"/>
                <w:color w:val="auto"/>
                <w:w w:val="89"/>
              </w:rPr>
              <w:t>L+8.50% (Floor 1.00%)</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3/10/2021</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3/10/2026</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entertainment</w:t>
            </w:r>
          </w:p>
        </w:tc>
        <w:tc>
          <w:tcPr>
            <w:tcW w:w="124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L+8.50%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3/10/2021</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3/10/2026</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13,000</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12,742</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12,742</w:t>
            </w: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vMerge w:val="continue"/>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5"/>
              </w:rPr>
              <w:t>Current Coupon 9.50%</w:t>
            </w:r>
          </w:p>
        </w:tc>
        <w:tc>
          <w:tcPr>
            <w:tcW w:w="86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0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12,703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12,742</w:t>
            </w: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AMERICAN NUTS OPERATIONS LLC</w:t>
            </w:r>
            <w:r>
              <w:rPr>
                <w:rFonts w:ascii="Arial" w:cs="Arial" w:eastAsia="Arial" w:hAnsi="Arial"/>
                <w:sz w:val="12"/>
                <w:szCs w:val="12"/>
                <w:b w:val="1"/>
                <w:bCs w:val="1"/>
                <w:color w:val="auto"/>
                <w:vertAlign w:val="superscript"/>
              </w:rPr>
              <w:t>13</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 - Term Loan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w w:val="99"/>
              </w:rPr>
              <w:t>Food, agriculture and beverage</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L+8.00%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4/10/2018</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4/10/2023</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17,019</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16,856</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17,019</w:t>
            </w:r>
          </w:p>
        </w:tc>
        <w:tc>
          <w:tcPr>
            <w:tcW w:w="0" w:type="dxa"/>
            <w:vAlign w:val="bottom"/>
          </w:tcPr>
          <w:p>
            <w:pPr>
              <w:spacing w:after="0"/>
              <w:rPr>
                <w:sz w:val="1"/>
                <w:szCs w:val="1"/>
                <w:color w:val="auto"/>
              </w:rPr>
            </w:pPr>
          </w:p>
        </w:tc>
      </w:tr>
      <w:tr>
        <w:trPr>
          <w:trHeight w:val="126"/>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 - Term Loan C</w:t>
            </w:r>
            <w:r>
              <w:rPr>
                <w:rFonts w:ascii="Arial" w:cs="Arial" w:eastAsia="Arial" w:hAnsi="Arial"/>
                <w:sz w:val="12"/>
                <w:szCs w:val="12"/>
                <w:color w:val="auto"/>
                <w:vertAlign w:val="superscript"/>
              </w:rPr>
              <w:t>10</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L+8.00% (Floor 1.00%)/Q,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12/21/2018</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4/10/2023</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1,804</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1,785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1,804</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tcPr>
          <w:p>
            <w:pPr>
              <w:ind w:left="20"/>
              <w:spacing w:after="0" w:line="90" w:lineRule="exact"/>
              <w:rPr>
                <w:sz w:val="20"/>
                <w:szCs w:val="20"/>
                <w:color w:val="auto"/>
              </w:rPr>
            </w:pPr>
            <w:r>
              <w:rPr>
                <w:rFonts w:ascii="Arial" w:cs="Arial" w:eastAsia="Arial" w:hAnsi="Arial"/>
                <w:sz w:val="10"/>
                <w:szCs w:val="10"/>
                <w:color w:val="auto"/>
              </w:rPr>
              <w:t>3,000,000 units of Class A common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4/10/2018</w:t>
            </w:r>
          </w:p>
        </w:tc>
        <w:tc>
          <w:tcPr>
            <w:tcW w:w="60" w:type="dxa"/>
            <w:vAlign w:val="bottom"/>
          </w:tcPr>
          <w:p>
            <w:pPr>
              <w:spacing w:after="0"/>
              <w:rPr>
                <w:sz w:val="7"/>
                <w:szCs w:val="7"/>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tcPr>
          <w:p>
            <w:pPr>
              <w:spacing w:after="0"/>
              <w:rPr>
                <w:sz w:val="7"/>
                <w:szCs w:val="7"/>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3,000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2,752</w:t>
            </w:r>
          </w:p>
        </w:tc>
        <w:tc>
          <w:tcPr>
            <w:tcW w:w="0" w:type="dxa"/>
            <w:vAlign w:val="bottom"/>
          </w:tcPr>
          <w:p>
            <w:pPr>
              <w:spacing w:after="0"/>
              <w:rPr>
                <w:sz w:val="1"/>
                <w:szCs w:val="1"/>
                <w:color w:val="auto"/>
              </w:rPr>
            </w:pPr>
          </w:p>
        </w:tc>
      </w:tr>
      <w:tr>
        <w:trPr>
          <w:trHeight w:val="126"/>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stock</w:t>
            </w:r>
            <w:r>
              <w:rPr>
                <w:rFonts w:ascii="Arial" w:cs="Arial" w:eastAsia="Arial" w:hAnsi="Arial"/>
                <w:sz w:val="12"/>
                <w:szCs w:val="12"/>
                <w:color w:val="auto"/>
                <w:vertAlign w:val="superscript"/>
              </w:rPr>
              <w:t>9</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vMerge w:val="continue"/>
          </w:tcPr>
          <w:p>
            <w:pPr>
              <w:spacing w:after="0"/>
              <w:rPr>
                <w:sz w:val="10"/>
                <w:szCs w:val="10"/>
                <w:color w:val="auto"/>
              </w:rPr>
            </w:pPr>
          </w:p>
        </w:tc>
        <w:tc>
          <w:tcPr>
            <w:tcW w:w="86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gridSpan w:val="2"/>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21,641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21,575</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40" w:right="299" w:bottom="1440" w:gutter="0" w:footer="0" w:header="0"/>
        </w:sectPr>
      </w:pPr>
    </w:p>
    <w:bookmarkStart w:id="18" w:name="page19"/>
    <w:bookmarkEnd w:id="18"/>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80" w:type="dxa"/>
            <w:vAlign w:val="bottom"/>
          </w:tcPr>
          <w:p>
            <w:pPr>
              <w:spacing w:after="0"/>
              <w:rPr>
                <w:sz w:val="12"/>
                <w:szCs w:val="12"/>
                <w:color w:val="auto"/>
              </w:rPr>
            </w:pPr>
          </w:p>
        </w:tc>
        <w:tc>
          <w:tcPr>
            <w:tcW w:w="162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80" w:type="dxa"/>
            <w:vAlign w:val="bottom"/>
          </w:tcPr>
          <w:p>
            <w:pPr>
              <w:spacing w:after="0"/>
              <w:rPr>
                <w:sz w:val="12"/>
                <w:szCs w:val="12"/>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Industry</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60" w:type="dxa"/>
            <w:vAlign w:val="bottom"/>
          </w:tcPr>
          <w:p>
            <w:pPr>
              <w:spacing w:after="0"/>
              <w:rPr>
                <w:sz w:val="12"/>
                <w:szCs w:val="1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88"/>
              </w:rPr>
              <w:t>Acquisition Date</w:t>
            </w:r>
            <w:r>
              <w:rPr>
                <w:rFonts w:ascii="Arial" w:cs="Arial" w:eastAsia="Arial" w:hAnsi="Arial"/>
                <w:sz w:val="12"/>
                <w:szCs w:val="12"/>
                <w:b w:val="1"/>
                <w:bCs w:val="1"/>
                <w:color w:val="auto"/>
                <w:w w:val="88"/>
                <w:vertAlign w:val="superscript"/>
              </w:rPr>
              <w:t>14</w:t>
            </w:r>
          </w:p>
        </w:tc>
        <w:tc>
          <w:tcPr>
            <w:tcW w:w="60" w:type="dxa"/>
            <w:vAlign w:val="bottom"/>
          </w:tcPr>
          <w:p>
            <w:pPr>
              <w:spacing w:after="0"/>
              <w:rPr>
                <w:sz w:val="12"/>
                <w:szCs w:val="12"/>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Maturity</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16</w:t>
            </w: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2280" w:type="dxa"/>
            <w:vAlign w:val="bottom"/>
          </w:tcPr>
          <w:p>
            <w:pPr>
              <w:spacing w:after="0" w:line="79" w:lineRule="exact"/>
              <w:rPr>
                <w:sz w:val="20"/>
                <w:szCs w:val="20"/>
                <w:color w:val="auto"/>
              </w:rPr>
            </w:pPr>
            <w:r>
              <w:rPr>
                <w:rFonts w:ascii="Arial" w:cs="Arial" w:eastAsia="Arial" w:hAnsi="Arial"/>
                <w:sz w:val="8"/>
                <w:szCs w:val="8"/>
                <w:b w:val="1"/>
                <w:bCs w:val="1"/>
                <w:color w:val="auto"/>
              </w:rPr>
              <w:t>AMERICAN TELECONFERENCING SERVICES,</w:t>
            </w:r>
          </w:p>
        </w:tc>
        <w:tc>
          <w:tcPr>
            <w:tcW w:w="80" w:type="dxa"/>
            <w:vAlign w:val="bottom"/>
          </w:tcPr>
          <w:p>
            <w:pPr>
              <w:spacing w:after="0"/>
              <w:rPr>
                <w:sz w:val="6"/>
                <w:szCs w:val="6"/>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Telecommunications</w:t>
            </w:r>
          </w:p>
        </w:tc>
        <w:tc>
          <w:tcPr>
            <w:tcW w:w="1180" w:type="dxa"/>
            <w:vAlign w:val="bottom"/>
          </w:tcPr>
          <w:p>
            <w:pPr>
              <w:jc w:val="center"/>
              <w:spacing w:after="0" w:line="79" w:lineRule="exact"/>
              <w:rPr>
                <w:sz w:val="20"/>
                <w:szCs w:val="20"/>
                <w:color w:val="auto"/>
              </w:rPr>
            </w:pPr>
            <w:r>
              <w:rPr>
                <w:rFonts w:ascii="Arial" w:cs="Arial" w:eastAsia="Arial" w:hAnsi="Arial"/>
                <w:sz w:val="8"/>
                <w:szCs w:val="8"/>
                <w:color w:val="auto"/>
              </w:rPr>
              <w:t>L+6.50% (Floor 1.00%)/Q,</w:t>
            </w:r>
          </w:p>
        </w:tc>
        <w:tc>
          <w:tcPr>
            <w:tcW w:w="60" w:type="dxa"/>
            <w:vAlign w:val="bottom"/>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9/21/2016</w:t>
            </w:r>
          </w:p>
        </w:tc>
        <w:tc>
          <w:tcPr>
            <w:tcW w:w="60" w:type="dxa"/>
            <w:vAlign w:val="bottom"/>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6/8/2023</w:t>
            </w:r>
          </w:p>
        </w:tc>
        <w:tc>
          <w:tcPr>
            <w:tcW w:w="10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5,915</w:t>
            </w:r>
          </w:p>
        </w:tc>
        <w:tc>
          <w:tcPr>
            <w:tcW w:w="80" w:type="dxa"/>
            <w:vAlign w:val="bottom"/>
          </w:tcPr>
          <w:p>
            <w:pPr>
              <w:spacing w:after="0"/>
              <w:rPr>
                <w:sz w:val="6"/>
                <w:szCs w:val="6"/>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5,865</w:t>
            </w:r>
          </w:p>
        </w:tc>
        <w:tc>
          <w:tcPr>
            <w:tcW w:w="8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3,141</w:t>
            </w:r>
          </w:p>
        </w:tc>
        <w:tc>
          <w:tcPr>
            <w:tcW w:w="0" w:type="dxa"/>
            <w:vAlign w:val="bottom"/>
          </w:tcPr>
          <w:p>
            <w:pPr>
              <w:spacing w:after="0"/>
              <w:rPr>
                <w:sz w:val="1"/>
                <w:szCs w:val="1"/>
                <w:color w:val="auto"/>
              </w:rPr>
            </w:pPr>
          </w:p>
        </w:tc>
      </w:tr>
      <w:tr>
        <w:trPr>
          <w:trHeight w:val="125"/>
        </w:trPr>
        <w:tc>
          <w:tcPr>
            <w:tcW w:w="2360" w:type="dxa"/>
            <w:vAlign w:val="bottom"/>
            <w:gridSpan w:val="2"/>
          </w:tcPr>
          <w:p>
            <w:pPr>
              <w:spacing w:after="0"/>
              <w:rPr>
                <w:sz w:val="20"/>
                <w:szCs w:val="20"/>
                <w:color w:val="auto"/>
              </w:rPr>
            </w:pPr>
            <w:r>
              <w:rPr>
                <w:rFonts w:ascii="Arial" w:cs="Arial" w:eastAsia="Arial" w:hAnsi="Arial"/>
                <w:sz w:val="10"/>
                <w:szCs w:val="10"/>
                <w:b w:val="1"/>
                <w:bCs w:val="1"/>
                <w:color w:val="auto"/>
              </w:rPr>
              <w:t>LTD. (DBA PREMIERE GLOBAL SERVICES, INC.)</w:t>
            </w: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7.50%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9"/>
              </w:rPr>
              <w:t>0.5%, L+9.00% PIK (Floor</w:t>
            </w: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Second Lien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7"/>
              </w:rPr>
              <w:t>1.00%)/Q, 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11/3/2016</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6/6/2024</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2,341</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2,317</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129"/>
        </w:trPr>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10.50%</w:t>
            </w:r>
          </w:p>
        </w:tc>
        <w:tc>
          <w:tcPr>
            <w:tcW w:w="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8,182</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3,196</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AMWARE FULFILLMENT LLC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Distribution</w:t>
            </w: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L+9.00% (Floor 1.00%)/M,</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7/29/2016</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12/31/2021</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17,407</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17,315</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17,407</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10.00%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ASC ORTHO MANAGEMENT COMPANY, LLC</w:t>
            </w:r>
            <w:r>
              <w:rPr>
                <w:rFonts w:ascii="Arial" w:cs="Arial" w:eastAsia="Arial" w:hAnsi="Arial"/>
                <w:sz w:val="12"/>
                <w:szCs w:val="12"/>
                <w:b w:val="1"/>
                <w:bCs w:val="1"/>
                <w:color w:val="auto"/>
                <w:vertAlign w:val="superscript"/>
              </w:rPr>
              <w:t>13</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Revolving Loan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Healthcare services</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L+7.50%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8/31/2018</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8/31/2023</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1,500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1,485</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1,410</w:t>
            </w:r>
          </w:p>
        </w:tc>
        <w:tc>
          <w:tcPr>
            <w:tcW w:w="0" w:type="dxa"/>
            <w:vAlign w:val="bottom"/>
          </w:tcPr>
          <w:p>
            <w:pPr>
              <w:spacing w:after="0"/>
              <w:rPr>
                <w:sz w:val="1"/>
                <w:szCs w:val="1"/>
                <w:color w:val="auto"/>
              </w:rPr>
            </w:pPr>
          </w:p>
        </w:tc>
      </w:tr>
      <w:tr>
        <w:trPr>
          <w:trHeight w:val="126"/>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8.50%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L+7.50% (Floor 1.00%)/Q,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8/31/2018</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8/31/2023</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8,854</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8,756</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8,322</w:t>
            </w:r>
          </w:p>
        </w:tc>
        <w:tc>
          <w:tcPr>
            <w:tcW w:w="0" w:type="dxa"/>
            <w:vAlign w:val="bottom"/>
          </w:tcPr>
          <w:p>
            <w:pPr>
              <w:spacing w:after="0"/>
              <w:rPr>
                <w:sz w:val="1"/>
                <w:szCs w:val="1"/>
                <w:color w:val="auto"/>
              </w:rPr>
            </w:pPr>
          </w:p>
        </w:tc>
      </w:tr>
      <w:tr>
        <w:trPr>
          <w:trHeight w:val="126"/>
        </w:trPr>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8.50%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Second Lien</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90"/>
              </w:rPr>
              <w:t>13.25% PIK</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8/31/2018</w:t>
            </w: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89"/>
              </w:rPr>
              <w:t>12/1/2023</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4,237</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4,191</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3,822</w:t>
            </w: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2,042 Common Units</w:t>
            </w:r>
            <w:r>
              <w:rPr>
                <w:rFonts w:ascii="Arial" w:cs="Arial" w:eastAsia="Arial" w:hAnsi="Arial"/>
                <w:sz w:val="12"/>
                <w:szCs w:val="12"/>
                <w:color w:val="auto"/>
                <w:vertAlign w:val="superscript"/>
              </w:rPr>
              <w:t>9</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8/31/2018</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750</w:t>
            </w:r>
          </w:p>
        </w:tc>
        <w:tc>
          <w:tcPr>
            <w:tcW w:w="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356</w:t>
            </w: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15,182</w:t>
            </w:r>
          </w:p>
        </w:tc>
        <w:tc>
          <w:tcPr>
            <w:tcW w:w="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0"/>
                <w:szCs w:val="10"/>
                <w:color w:val="auto"/>
              </w:rPr>
              <w:t>13,910</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BINSWANGER HOLDING CORP.</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Distribution</w:t>
            </w: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L+8.50% (Floor 1.00%)/M,</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3/9/2017</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3/9/2022</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10,942</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10,890</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10,942</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9.50%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2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900,000 shares of common stock</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3/9/2017</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900</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924</w:t>
            </w:r>
          </w:p>
        </w:tc>
        <w:tc>
          <w:tcPr>
            <w:tcW w:w="0" w:type="dxa"/>
            <w:vAlign w:val="bottom"/>
          </w:tcPr>
          <w:p>
            <w:pPr>
              <w:spacing w:after="0"/>
              <w:rPr>
                <w:sz w:val="1"/>
                <w:szCs w:val="1"/>
                <w:color w:val="auto"/>
              </w:rPr>
            </w:pPr>
          </w:p>
        </w:tc>
      </w:tr>
      <w:tr>
        <w:trPr>
          <w:trHeight w:val="117"/>
        </w:trPr>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11,790</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11,866</w:t>
            </w:r>
          </w:p>
        </w:tc>
        <w:tc>
          <w:tcPr>
            <w:tcW w:w="0" w:type="dxa"/>
            <w:vAlign w:val="bottom"/>
          </w:tcPr>
          <w:p>
            <w:pPr>
              <w:spacing w:after="0"/>
              <w:rPr>
                <w:sz w:val="1"/>
                <w:szCs w:val="1"/>
                <w:color w:val="auto"/>
              </w:rPr>
            </w:pPr>
          </w:p>
        </w:tc>
      </w:tr>
      <w:tr>
        <w:trPr>
          <w:trHeight w:val="90"/>
        </w:trPr>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1"/>
              </w:rPr>
              <w:t>L+13.00%, 1.00% PIK (Floor</w:t>
            </w: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BLASCHAK COAL CORP.</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Second Lien Term Loan</w:t>
            </w:r>
            <w:r>
              <w:rPr>
                <w:rFonts w:ascii="Arial" w:cs="Arial" w:eastAsia="Arial" w:hAnsi="Arial"/>
                <w:sz w:val="12"/>
                <w:szCs w:val="12"/>
                <w:color w:val="auto"/>
                <w:vertAlign w:val="superscript"/>
              </w:rPr>
              <w:t>15</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Commodities &amp; mining</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7"/>
              </w:rPr>
              <w:t>1.00%)/Q, Current Coupon</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7/30/2018</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7/30/2023</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8,712</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8,617</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8,233</w:t>
            </w:r>
          </w:p>
        </w:tc>
        <w:tc>
          <w:tcPr>
            <w:tcW w:w="0" w:type="dxa"/>
            <w:vAlign w:val="bottom"/>
          </w:tcPr>
          <w:p>
            <w:pPr>
              <w:spacing w:after="0"/>
              <w:rPr>
                <w:sz w:val="1"/>
                <w:szCs w:val="1"/>
                <w:color w:val="auto"/>
              </w:rPr>
            </w:pPr>
          </w:p>
        </w:tc>
      </w:tr>
      <w:tr>
        <w:trPr>
          <w:trHeight w:val="126"/>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color w:val="auto"/>
                <w:w w:val="88"/>
              </w:rPr>
              <w:t>15.00%</w:t>
            </w: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91"/>
              </w:rPr>
              <w:t>L+13.00%, 1.00% PIK (Floor</w:t>
            </w: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Second Lien- Term Loan B</w:t>
            </w:r>
            <w:r>
              <w:rPr>
                <w:rFonts w:ascii="Arial" w:cs="Arial" w:eastAsia="Arial" w:hAnsi="Arial"/>
                <w:sz w:val="12"/>
                <w:szCs w:val="12"/>
                <w:color w:val="auto"/>
                <w:vertAlign w:val="superscript"/>
              </w:rPr>
              <w:t>15</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7"/>
              </w:rPr>
              <w:t>1.00%)/Q, 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3/30/2020</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7/30/2023</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2,016</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1,986</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1,905</w:t>
            </w:r>
          </w:p>
        </w:tc>
        <w:tc>
          <w:tcPr>
            <w:tcW w:w="0" w:type="dxa"/>
            <w:vAlign w:val="bottom"/>
          </w:tcPr>
          <w:p>
            <w:pPr>
              <w:spacing w:after="0"/>
              <w:rPr>
                <w:sz w:val="1"/>
                <w:szCs w:val="1"/>
                <w:color w:val="auto"/>
              </w:rPr>
            </w:pPr>
          </w:p>
        </w:tc>
      </w:tr>
      <w:tr>
        <w:trPr>
          <w:trHeight w:val="131"/>
        </w:trPr>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15.00%</w:t>
            </w:r>
          </w:p>
        </w:tc>
        <w:tc>
          <w:tcPr>
            <w:tcW w:w="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10,603</w:t>
            </w:r>
          </w:p>
        </w:tc>
        <w:tc>
          <w:tcPr>
            <w:tcW w:w="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0"/>
                <w:szCs w:val="10"/>
                <w:color w:val="auto"/>
              </w:rPr>
              <w:t>10,138</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BROAD SKY NETWORKS LLC</w:t>
            </w:r>
            <w:r>
              <w:rPr>
                <w:rFonts w:ascii="Arial" w:cs="Arial" w:eastAsia="Arial" w:hAnsi="Arial"/>
                <w:sz w:val="12"/>
                <w:szCs w:val="12"/>
                <w:b w:val="1"/>
                <w:bCs w:val="1"/>
                <w:color w:val="auto"/>
                <w:vertAlign w:val="superscript"/>
              </w:rPr>
              <w:t>13</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Telecommunications</w:t>
            </w: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9"/>
              </w:rPr>
              <w:t>L+7.50% (Floor 1.00%)/Q,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3"/>
              </w:rPr>
              <w:t>12/11/2020</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12/11/2025</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453</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496</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8.50%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L+7.50%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3"/>
              </w:rPr>
              <w:t>12/11/2020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12/11/2025</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15,000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14,715</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14,880</w:t>
            </w: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8.50%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1,000,000 Series A Preferred units</w:t>
            </w:r>
            <w:r>
              <w:rPr>
                <w:rFonts w:ascii="Arial" w:cs="Arial" w:eastAsia="Arial" w:hAnsi="Arial"/>
                <w:sz w:val="12"/>
                <w:szCs w:val="12"/>
                <w:color w:val="auto"/>
                <w:vertAlign w:val="superscript"/>
              </w:rPr>
              <w:t>9</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12/11/2020</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Arial" w:cs="Arial" w:eastAsia="Arial" w:hAnsi="Arial"/>
                <w:sz w:val="10"/>
                <w:szCs w:val="10"/>
                <w:color w:val="auto"/>
              </w:rPr>
              <w:t>16,168</w:t>
            </w:r>
          </w:p>
        </w:tc>
        <w:tc>
          <w:tcPr>
            <w:tcW w:w="80" w:type="dxa"/>
            <w:vAlign w:val="bottom"/>
          </w:tcPr>
          <w:p>
            <w:pPr>
              <w:spacing w:after="0"/>
              <w:rPr>
                <w:sz w:val="9"/>
                <w:szCs w:val="9"/>
                <w:color w:val="auto"/>
              </w:rPr>
            </w:pPr>
          </w:p>
        </w:tc>
        <w:tc>
          <w:tcPr>
            <w:tcW w:w="860" w:type="dxa"/>
            <w:vAlign w:val="bottom"/>
          </w:tcPr>
          <w:p>
            <w:pPr>
              <w:jc w:val="right"/>
              <w:spacing w:after="0" w:line="111" w:lineRule="exact"/>
              <w:rPr>
                <w:sz w:val="20"/>
                <w:szCs w:val="20"/>
                <w:color w:val="auto"/>
              </w:rPr>
            </w:pPr>
            <w:r>
              <w:rPr>
                <w:rFonts w:ascii="Arial" w:cs="Arial" w:eastAsia="Arial" w:hAnsi="Arial"/>
                <w:sz w:val="10"/>
                <w:szCs w:val="10"/>
                <w:color w:val="auto"/>
              </w:rPr>
              <w:t>16,376</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140" w:right="299" w:bottom="1440" w:gutter="0" w:footer="0" w:header="0"/>
        </w:sectPr>
      </w:pPr>
    </w:p>
    <w:bookmarkStart w:id="19" w:name="page20"/>
    <w:bookmarkEnd w:id="19"/>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6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Industry</w:t>
            </w: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88"/>
              </w:rPr>
              <w:t>Acquisition Date</w:t>
            </w:r>
            <w:r>
              <w:rPr>
                <w:rFonts w:ascii="Arial" w:cs="Arial" w:eastAsia="Arial" w:hAnsi="Arial"/>
                <w:sz w:val="12"/>
                <w:szCs w:val="12"/>
                <w:b w:val="1"/>
                <w:bCs w:val="1"/>
                <w:color w:val="auto"/>
                <w:w w:val="88"/>
                <w:vertAlign w:val="superscript"/>
              </w:rPr>
              <w:t>14</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Maturity</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Principal</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16</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CALIFORNIA PIZZA KITCHEN, INC.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Restaurants</w:t>
            </w:r>
          </w:p>
        </w:tc>
        <w:tc>
          <w:tcPr>
            <w:tcW w:w="1180" w:type="dxa"/>
            <w:vAlign w:val="bottom"/>
            <w:shd w:val="clear" w:color="auto" w:fill="CCEEFF"/>
          </w:tcPr>
          <w:p>
            <w:pPr>
              <w:jc w:val="center"/>
              <w:spacing w:after="0" w:line="79" w:lineRule="exact"/>
              <w:rPr>
                <w:sz w:val="20"/>
                <w:szCs w:val="20"/>
                <w:color w:val="auto"/>
              </w:rPr>
            </w:pPr>
            <w:r>
              <w:rPr>
                <w:rFonts w:ascii="Arial" w:cs="Arial" w:eastAsia="Arial" w:hAnsi="Arial"/>
                <w:sz w:val="8"/>
                <w:szCs w:val="8"/>
                <w:color w:val="auto"/>
              </w:rPr>
              <w:t>L+10.00% (Floor 1.50%)/Q,</w:t>
            </w:r>
          </w:p>
        </w:tc>
        <w:tc>
          <w:tcPr>
            <w:tcW w:w="6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3"/>
              </w:rPr>
              <w:t>11/23/2020</w:t>
            </w:r>
          </w:p>
        </w:tc>
        <w:tc>
          <w:tcPr>
            <w:tcW w:w="60" w:type="dxa"/>
            <w:vAlign w:val="bottom"/>
            <w:shd w:val="clear" w:color="auto" w:fill="CCEEFF"/>
          </w:tcPr>
          <w:p>
            <w:pPr>
              <w:spacing w:after="0"/>
              <w:rPr>
                <w:sz w:val="6"/>
                <w:szCs w:val="6"/>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11/23/2024</w:t>
            </w:r>
          </w:p>
        </w:tc>
        <w:tc>
          <w:tcPr>
            <w:tcW w:w="10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669</w:t>
            </w:r>
          </w:p>
        </w:tc>
        <w:tc>
          <w:tcPr>
            <w:tcW w:w="80" w:type="dxa"/>
            <w:vAlign w:val="bottom"/>
            <w:shd w:val="clear" w:color="auto" w:fill="CCEEFF"/>
          </w:tcPr>
          <w:p>
            <w:pPr>
              <w:spacing w:after="0"/>
              <w:rPr>
                <w:sz w:val="6"/>
                <w:szCs w:val="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652</w:t>
            </w:r>
          </w:p>
        </w:tc>
        <w:tc>
          <w:tcPr>
            <w:tcW w:w="8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668</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11.50%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9"/>
              </w:rPr>
              <w:t>1.00%, L+11.00% PIK (Floor</w:t>
            </w: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 Rolled Up</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7"/>
              </w:rPr>
              <w:t>1.50%)/Q, Current Coupon</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3"/>
              </w:rPr>
              <w:t>11/23/2020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11/23/2024</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741</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739</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737</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color w:val="auto"/>
                <w:w w:val="88"/>
              </w:rPr>
              <w:t>13.50%</w:t>
            </w: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91"/>
              </w:rPr>
              <w:t>1.00%, L+12.50% PIK (Floor</w:t>
            </w: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Second Lien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7"/>
              </w:rPr>
              <w:t>1.50%)/Q, 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3"/>
              </w:rPr>
              <w:t>11/23/2020</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5/23/2025</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814</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814</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796</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15.00%</w:t>
            </w:r>
          </w:p>
        </w:tc>
        <w:tc>
          <w:tcPr>
            <w:tcW w:w="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48,423 shares of common stock</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3"/>
              </w:rPr>
              <w:t>11/23/2020</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1,317</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1,317</w:t>
            </w: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3,522</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3,518</w:t>
            </w: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CAPITAL PAWN HOLDINGS, LLC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Consumer products &amp; retail</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L+7.25%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12/21/2017</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7/8/2023</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8,854</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8,840</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8,854</w:t>
            </w:r>
          </w:p>
        </w:tc>
        <w:tc>
          <w:tcPr>
            <w:tcW w:w="0" w:type="dxa"/>
            <w:vAlign w:val="bottom"/>
          </w:tcPr>
          <w:p>
            <w:pPr>
              <w:spacing w:after="0"/>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8.25%</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CHEMISTRY RX HOLDINGS, LLC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Specialty chemicals</w:t>
            </w: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9"/>
              </w:rPr>
              <w:t>L+7.00% (Floor 1.00%)/Q,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3/15/2021</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3/13/2026</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8,000</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7,841</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7,841</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CITYVET, INC.</w:t>
            </w:r>
            <w:r>
              <w:rPr>
                <w:rFonts w:ascii="Arial" w:cs="Arial" w:eastAsia="Arial" w:hAnsi="Arial"/>
                <w:sz w:val="12"/>
                <w:szCs w:val="12"/>
                <w:b w:val="1"/>
                <w:bCs w:val="1"/>
                <w:color w:val="auto"/>
                <w:vertAlign w:val="superscript"/>
              </w:rPr>
              <w:t>13</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Healthcare services</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L+7.50%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3/5/2021</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3/5/2026</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3,250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3,053</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3,053</w:t>
            </w:r>
          </w:p>
        </w:tc>
        <w:tc>
          <w:tcPr>
            <w:tcW w:w="0" w:type="dxa"/>
            <w:vAlign w:val="bottom"/>
          </w:tcPr>
          <w:p>
            <w:pPr>
              <w:spacing w:after="0"/>
              <w:rPr>
                <w:sz w:val="1"/>
                <w:szCs w:val="1"/>
                <w:color w:val="auto"/>
              </w:rPr>
            </w:pPr>
          </w:p>
        </w:tc>
      </w:tr>
      <w:tr>
        <w:trPr>
          <w:trHeight w:val="126"/>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8.50%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0"/>
                <w:szCs w:val="10"/>
                <w:color w:val="auto"/>
              </w:rPr>
              <w:t>271,739 Class A units</w:t>
            </w:r>
            <w:r>
              <w:rPr>
                <w:rFonts w:ascii="Arial" w:cs="Arial" w:eastAsia="Arial" w:hAnsi="Arial"/>
                <w:sz w:val="12"/>
                <w:szCs w:val="12"/>
                <w:color w:val="auto"/>
                <w:vertAlign w:val="superscript"/>
              </w:rPr>
              <w:t>9</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3/5/2021</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113"/>
        </w:trPr>
        <w:tc>
          <w:tcPr>
            <w:tcW w:w="2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3,553</w:t>
            </w:r>
          </w:p>
        </w:tc>
        <w:tc>
          <w:tcPr>
            <w:tcW w:w="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0"/>
                <w:szCs w:val="10"/>
                <w:color w:val="auto"/>
              </w:rPr>
              <w:t>3,553</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CLICKBOOTH.COM, LLC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Media, marketing &amp;</w:t>
            </w:r>
          </w:p>
        </w:tc>
        <w:tc>
          <w:tcPr>
            <w:tcW w:w="12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0"/>
                <w:szCs w:val="10"/>
                <w:color w:val="auto"/>
                <w:w w:val="89"/>
              </w:rPr>
              <w:t>L+8.50% (Floor 1.00%)</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12/5/2017</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1/31/2025</w:t>
            </w:r>
          </w:p>
        </w:tc>
        <w:tc>
          <w:tcPr>
            <w:tcW w:w="10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entertainment</w:t>
            </w:r>
          </w:p>
        </w:tc>
        <w:tc>
          <w:tcPr>
            <w:tcW w:w="124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L+8.50%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12/5/2017</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1/31/2025</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18,525</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18,308</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18,525</w:t>
            </w: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vMerge w:val="continue"/>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5"/>
              </w:rPr>
              <w:t>Current Coupon 9.50%</w:t>
            </w:r>
          </w:p>
        </w:tc>
        <w:tc>
          <w:tcPr>
            <w:tcW w:w="86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18,303</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18,525</w:t>
            </w: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DANFORTH ADVISORS, LLC</w:t>
            </w:r>
            <w:r>
              <w:rPr>
                <w:rFonts w:ascii="Arial" w:cs="Arial" w:eastAsia="Arial" w:hAnsi="Arial"/>
                <w:sz w:val="12"/>
                <w:szCs w:val="12"/>
                <w:b w:val="1"/>
                <w:bCs w:val="1"/>
                <w:color w:val="auto"/>
                <w:vertAlign w:val="superscript"/>
              </w:rPr>
              <w:t>13</w:t>
            </w: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875 Class A equity units</w:t>
            </w:r>
            <w:r>
              <w:rPr>
                <w:rFonts w:ascii="Arial" w:cs="Arial" w:eastAsia="Arial" w:hAnsi="Arial"/>
                <w:sz w:val="12"/>
                <w:szCs w:val="12"/>
                <w:color w:val="auto"/>
                <w:vertAlign w:val="superscript"/>
              </w:rPr>
              <w:t>9</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Business services</w:t>
            </w: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9/28/2018</w:t>
            </w:r>
          </w:p>
        </w:tc>
        <w:tc>
          <w:tcPr>
            <w:tcW w:w="6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875</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2,855</w:t>
            </w:r>
          </w:p>
        </w:tc>
        <w:tc>
          <w:tcPr>
            <w:tcW w:w="0" w:type="dxa"/>
            <w:vAlign w:val="bottom"/>
          </w:tcPr>
          <w:p>
            <w:pPr>
              <w:spacing w:after="0"/>
              <w:rPr>
                <w:sz w:val="1"/>
                <w:szCs w:val="1"/>
                <w:color w:val="auto"/>
              </w:rPr>
            </w:pPr>
          </w:p>
        </w:tc>
      </w:tr>
      <w:tr>
        <w:trPr>
          <w:trHeight w:val="90"/>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DRIVEN, INC.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Business services</w:t>
            </w: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L+8.00% (Floor 2.00%)/Q,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6/28/2019</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6/28/2024</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5,820</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5,737</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5,878</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10.00%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DUNN PAPER, INC.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Second Lien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Paper &amp; forest products</w:t>
            </w:r>
          </w:p>
        </w:tc>
        <w:tc>
          <w:tcPr>
            <w:tcW w:w="124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90"/>
              </w:rPr>
              <w:t>L+8.75% (Floor 1.00%)/M,</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9/28/2016</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8/26/2023</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3,000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2,974</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3,000</w:t>
            </w:r>
          </w:p>
        </w:tc>
        <w:tc>
          <w:tcPr>
            <w:tcW w:w="0" w:type="dxa"/>
            <w:vAlign w:val="bottom"/>
          </w:tcPr>
          <w:p>
            <w:pPr>
              <w:spacing w:after="0"/>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9.75%</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gridSpan w:val="2"/>
            <w:shd w:val="clear" w:color="auto" w:fill="CCEEFF"/>
          </w:tcPr>
          <w:p>
            <w:pPr>
              <w:spacing w:after="0" w:line="92" w:lineRule="exact"/>
              <w:rPr>
                <w:sz w:val="20"/>
                <w:szCs w:val="20"/>
                <w:color w:val="auto"/>
              </w:rPr>
            </w:pPr>
            <w:r>
              <w:rPr>
                <w:rFonts w:ascii="Arial" w:cs="Arial" w:eastAsia="Arial" w:hAnsi="Arial"/>
                <w:sz w:val="10"/>
                <w:szCs w:val="10"/>
                <w:b w:val="1"/>
                <w:bCs w:val="1"/>
                <w:color w:val="auto"/>
              </w:rPr>
              <w:t>ELECTRONIC TRANSACTION CONSULTANTS</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Software &amp; IT services</w:t>
            </w:r>
          </w:p>
        </w:tc>
        <w:tc>
          <w:tcPr>
            <w:tcW w:w="12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0"/>
                <w:szCs w:val="10"/>
                <w:color w:val="auto"/>
                <w:w w:val="89"/>
              </w:rPr>
              <w:t>L+7.50% (Floor 1.00%)</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7/24/2020</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7/24/2025</w:t>
            </w:r>
          </w:p>
        </w:tc>
        <w:tc>
          <w:tcPr>
            <w:tcW w:w="10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gridSpan w:val="2"/>
            <w:shd w:val="clear" w:color="auto" w:fill="CCEEFF"/>
          </w:tcPr>
          <w:p>
            <w:pPr>
              <w:spacing w:after="0" w:line="126" w:lineRule="exact"/>
              <w:rPr>
                <w:sz w:val="20"/>
                <w:szCs w:val="20"/>
                <w:color w:val="auto"/>
              </w:rPr>
            </w:pPr>
            <w:r>
              <w:rPr>
                <w:rFonts w:ascii="Arial" w:cs="Arial" w:eastAsia="Arial" w:hAnsi="Arial"/>
                <w:sz w:val="10"/>
                <w:szCs w:val="10"/>
                <w:b w:val="1"/>
                <w:bCs w:val="1"/>
                <w:color w:val="auto"/>
              </w:rPr>
              <w:t>LLC</w:t>
            </w:r>
            <w:r>
              <w:rPr>
                <w:rFonts w:ascii="Arial" w:cs="Arial" w:eastAsia="Arial" w:hAnsi="Arial"/>
                <w:sz w:val="12"/>
                <w:szCs w:val="12"/>
                <w:b w:val="1"/>
                <w:bCs w:val="1"/>
                <w:color w:val="auto"/>
                <w:vertAlign w:val="superscript"/>
              </w:rPr>
              <w:t>13</w:t>
            </w: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L+7.50%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7/24/2020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7/24/2025</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10,000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9,845</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9,840</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8.50%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1,000 Class A units</w:t>
            </w:r>
            <w:r>
              <w:rPr>
                <w:rFonts w:ascii="Arial" w:cs="Arial" w:eastAsia="Arial" w:hAnsi="Arial"/>
                <w:sz w:val="12"/>
                <w:szCs w:val="12"/>
                <w:color w:val="auto"/>
                <w:vertAlign w:val="superscript"/>
              </w:rPr>
              <w:t>9</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7/24/2020</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Arial" w:cs="Arial" w:eastAsia="Arial" w:hAnsi="Arial"/>
                <w:sz w:val="10"/>
                <w:szCs w:val="10"/>
                <w:color w:val="auto"/>
              </w:rPr>
              <w:t>10,789</w:t>
            </w:r>
          </w:p>
        </w:tc>
        <w:tc>
          <w:tcPr>
            <w:tcW w:w="80" w:type="dxa"/>
            <w:vAlign w:val="bottom"/>
          </w:tcPr>
          <w:p>
            <w:pPr>
              <w:spacing w:after="0"/>
              <w:rPr>
                <w:sz w:val="9"/>
                <w:szCs w:val="9"/>
                <w:color w:val="auto"/>
              </w:rPr>
            </w:pPr>
          </w:p>
        </w:tc>
        <w:tc>
          <w:tcPr>
            <w:tcW w:w="860" w:type="dxa"/>
            <w:vAlign w:val="bottom"/>
          </w:tcPr>
          <w:p>
            <w:pPr>
              <w:jc w:val="right"/>
              <w:spacing w:after="0" w:line="111" w:lineRule="exact"/>
              <w:rPr>
                <w:sz w:val="20"/>
                <w:szCs w:val="20"/>
                <w:color w:val="auto"/>
              </w:rPr>
            </w:pPr>
            <w:r>
              <w:rPr>
                <w:rFonts w:ascii="Arial" w:cs="Arial" w:eastAsia="Arial" w:hAnsi="Arial"/>
                <w:sz w:val="10"/>
                <w:szCs w:val="10"/>
                <w:color w:val="auto"/>
              </w:rPr>
              <w:t>10,840</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140" w:right="299" w:bottom="1440" w:gutter="0" w:footer="0" w:header="0"/>
        </w:sectPr>
      </w:pPr>
    </w:p>
    <w:bookmarkStart w:id="20" w:name="page21"/>
    <w:bookmarkEnd w:id="20"/>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6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Industry</w:t>
            </w: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88"/>
              </w:rPr>
              <w:t>Acquisition Date</w:t>
            </w:r>
            <w:r>
              <w:rPr>
                <w:rFonts w:ascii="Arial" w:cs="Arial" w:eastAsia="Arial" w:hAnsi="Arial"/>
                <w:sz w:val="12"/>
                <w:szCs w:val="12"/>
                <w:b w:val="1"/>
                <w:bCs w:val="1"/>
                <w:color w:val="auto"/>
                <w:w w:val="88"/>
                <w:vertAlign w:val="superscript"/>
              </w:rPr>
              <w:t>14</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Maturity</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Principal</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16</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ESCP DTFS, INC.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 - Term Loan A</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Industrial services</w:t>
            </w:r>
          </w:p>
        </w:tc>
        <w:tc>
          <w:tcPr>
            <w:tcW w:w="1180" w:type="dxa"/>
            <w:vAlign w:val="bottom"/>
            <w:shd w:val="clear" w:color="auto" w:fill="CCEEFF"/>
          </w:tcPr>
          <w:p>
            <w:pPr>
              <w:jc w:val="center"/>
              <w:spacing w:after="0" w:line="79" w:lineRule="exact"/>
              <w:rPr>
                <w:sz w:val="20"/>
                <w:szCs w:val="20"/>
                <w:color w:val="auto"/>
              </w:rPr>
            </w:pPr>
            <w:r>
              <w:rPr>
                <w:rFonts w:ascii="Arial" w:cs="Arial" w:eastAsia="Arial" w:hAnsi="Arial"/>
                <w:sz w:val="8"/>
                <w:szCs w:val="8"/>
                <w:color w:val="auto"/>
              </w:rPr>
              <w:t>L+6.50% (Floor 1.75%)/Q,</w:t>
            </w:r>
          </w:p>
        </w:tc>
        <w:tc>
          <w:tcPr>
            <w:tcW w:w="6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1/31/2020</w:t>
            </w:r>
          </w:p>
        </w:tc>
        <w:tc>
          <w:tcPr>
            <w:tcW w:w="60" w:type="dxa"/>
            <w:vAlign w:val="bottom"/>
            <w:shd w:val="clear" w:color="auto" w:fill="CCEEFF"/>
          </w:tcPr>
          <w:p>
            <w:pPr>
              <w:spacing w:after="0"/>
              <w:rPr>
                <w:sz w:val="6"/>
                <w:szCs w:val="6"/>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1/31/2025</w:t>
            </w:r>
          </w:p>
        </w:tc>
        <w:tc>
          <w:tcPr>
            <w:tcW w:w="10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5,350</w:t>
            </w:r>
          </w:p>
        </w:tc>
        <w:tc>
          <w:tcPr>
            <w:tcW w:w="80" w:type="dxa"/>
            <w:vAlign w:val="bottom"/>
            <w:shd w:val="clear" w:color="auto" w:fill="CCEEFF"/>
          </w:tcPr>
          <w:p>
            <w:pPr>
              <w:spacing w:after="0"/>
              <w:rPr>
                <w:sz w:val="6"/>
                <w:szCs w:val="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5,269</w:t>
            </w:r>
          </w:p>
        </w:tc>
        <w:tc>
          <w:tcPr>
            <w:tcW w:w="8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4,986</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8.25%</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 - Term Loan B</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L+8.50% (Floor 1.75%)/Q,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1/31/2020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1/31/2025</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5,350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5,270</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4,986</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87"/>
              </w:rPr>
              <w:t>Current Coupon 10.25%</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Delayed Draw Term Loan B1</w:t>
            </w: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9"/>
              </w:rPr>
              <w:t>L+6.50% (Floor 1.75%)/Q,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1/31/2020</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1/31/2025</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491</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466</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8.25%</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Delayed Draw Term Loan B2</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L+8.50% (Floor 1.75%)/Q,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1/31/2020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1/31/2025</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500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491</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466</w:t>
            </w: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vMerge w:val="continue"/>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87"/>
              </w:rPr>
              <w:t>Current Coupon 10.25%</w:t>
            </w:r>
          </w:p>
        </w:tc>
        <w:tc>
          <w:tcPr>
            <w:tcW w:w="86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11,521</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10,904</w:t>
            </w: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rPr>
                <w:sz w:val="20"/>
                <w:szCs w:val="20"/>
                <w:color w:val="auto"/>
              </w:rPr>
            </w:pPr>
            <w:r>
              <w:rPr>
                <w:rFonts w:ascii="Arial" w:cs="Arial" w:eastAsia="Arial" w:hAnsi="Arial"/>
                <w:sz w:val="10"/>
                <w:szCs w:val="10"/>
                <w:b w:val="1"/>
                <w:bCs w:val="1"/>
                <w:color w:val="auto"/>
              </w:rPr>
              <w:t>FAST SANDWICH, LLC</w:t>
            </w: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Restaurants</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L+9.00% (Floor 1.00%)</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5/24/2018</w:t>
            </w: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89"/>
              </w:rPr>
              <w:t>5/23/2023</w:t>
            </w:r>
          </w:p>
        </w:tc>
        <w:tc>
          <w:tcPr>
            <w:tcW w:w="10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90"/>
              </w:rPr>
              <w:t>L+9.00% (Floor</w:t>
            </w: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7"/>
              </w:rPr>
              <w:t>1.00%)/Q,Current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5/24/2018</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5/23/2023</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3,359</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3,332</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3,023</w:t>
            </w: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10.00%</w:t>
            </w:r>
          </w:p>
        </w:tc>
        <w:tc>
          <w:tcPr>
            <w:tcW w:w="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3,300</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3,023</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FLIP ELECTRONICS, LLC</w:t>
            </w:r>
            <w:r>
              <w:rPr>
                <w:rFonts w:ascii="Arial" w:cs="Arial" w:eastAsia="Arial" w:hAnsi="Arial"/>
                <w:sz w:val="12"/>
                <w:szCs w:val="12"/>
                <w:b w:val="1"/>
                <w:bCs w:val="1"/>
                <w:color w:val="auto"/>
                <w:vertAlign w:val="superscript"/>
              </w:rPr>
              <w:t>8,13</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Technology products &amp;</w:t>
            </w: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L+8.05% (Floor 1.00%)/M,</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1/4/2021</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1/2/2026</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15,500</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15,177</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15,252</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components</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9.05%</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2,000,000 Common Units</w:t>
            </w:r>
            <w:r>
              <w:rPr>
                <w:rFonts w:ascii="Arial" w:cs="Arial" w:eastAsia="Arial" w:hAnsi="Arial"/>
                <w:sz w:val="12"/>
                <w:szCs w:val="12"/>
                <w:color w:val="auto"/>
                <w:vertAlign w:val="superscript"/>
              </w:rPr>
              <w:t>9</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1/4/2021</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2,000</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2,285</w:t>
            </w:r>
          </w:p>
        </w:tc>
        <w:tc>
          <w:tcPr>
            <w:tcW w:w="0" w:type="dxa"/>
            <w:vAlign w:val="bottom"/>
          </w:tcPr>
          <w:p>
            <w:pPr>
              <w:spacing w:after="0"/>
              <w:rPr>
                <w:sz w:val="1"/>
                <w:szCs w:val="1"/>
                <w:color w:val="auto"/>
              </w:rPr>
            </w:pPr>
          </w:p>
        </w:tc>
      </w:tr>
      <w:tr>
        <w:trPr>
          <w:trHeight w:val="115"/>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17,177</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17,537</w:t>
            </w: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GS OPERATING, LLC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Distribution</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1"/>
              </w:rPr>
              <w:t>L+6.50%(Floor 1.50%)/M,</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3/6/2020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2/24/2025</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7,920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7,791</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7,920</w:t>
            </w:r>
          </w:p>
        </w:tc>
        <w:tc>
          <w:tcPr>
            <w:tcW w:w="0" w:type="dxa"/>
            <w:vAlign w:val="bottom"/>
          </w:tcPr>
          <w:p>
            <w:pPr>
              <w:spacing w:after="0"/>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8.00%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gridSpan w:val="2"/>
            <w:shd w:val="clear" w:color="auto" w:fill="CCEEFF"/>
          </w:tcPr>
          <w:p>
            <w:pPr>
              <w:spacing w:after="0" w:line="92" w:lineRule="exact"/>
              <w:rPr>
                <w:sz w:val="20"/>
                <w:szCs w:val="20"/>
                <w:color w:val="auto"/>
              </w:rPr>
            </w:pPr>
            <w:r>
              <w:rPr>
                <w:rFonts w:ascii="Arial" w:cs="Arial" w:eastAsia="Arial" w:hAnsi="Arial"/>
                <w:sz w:val="10"/>
                <w:szCs w:val="10"/>
                <w:b w:val="1"/>
                <w:bCs w:val="1"/>
                <w:color w:val="auto"/>
              </w:rPr>
              <w:t>IAN, EVAN, &amp; ALEXANDER CORPORATION (DBA</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Aerospace &amp; defense</w:t>
            </w:r>
          </w:p>
        </w:tc>
        <w:tc>
          <w:tcPr>
            <w:tcW w:w="12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0"/>
                <w:szCs w:val="10"/>
                <w:color w:val="auto"/>
                <w:w w:val="89"/>
              </w:rPr>
              <w:t>L+8.50% (Floor 1.00%)</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7/31/2020</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7/31/2025</w:t>
            </w:r>
          </w:p>
        </w:tc>
        <w:tc>
          <w:tcPr>
            <w:tcW w:w="10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(34)</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EVERWATCH)</w:t>
            </w: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L+8.50%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7/31/2020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7/31/2025</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9,668</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9,493</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9,668</w:t>
            </w: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vMerge w:val="continue"/>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5"/>
              </w:rPr>
              <w:t>Current Coupon 9.50%</w:t>
            </w:r>
          </w:p>
        </w:tc>
        <w:tc>
          <w:tcPr>
            <w:tcW w:w="86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9,459</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9,668</w:t>
            </w: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ICS DISTRIBUTION, LLC</w:t>
            </w:r>
            <w:r>
              <w:rPr>
                <w:rFonts w:ascii="Arial" w:cs="Arial" w:eastAsia="Arial" w:hAnsi="Arial"/>
                <w:sz w:val="12"/>
                <w:szCs w:val="12"/>
                <w:b w:val="1"/>
                <w:bCs w:val="1"/>
                <w:color w:val="auto"/>
                <w:vertAlign w:val="superscript"/>
              </w:rPr>
              <w:t>8</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Industrial services</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L+8.48% (Floor 2.00%)/Q,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10/31/2019</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10/31/2024</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20,500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20,121</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20,275</w:t>
            </w:r>
          </w:p>
        </w:tc>
        <w:tc>
          <w:tcPr>
            <w:tcW w:w="0" w:type="dxa"/>
            <w:vAlign w:val="bottom"/>
          </w:tcPr>
          <w:p>
            <w:pPr>
              <w:spacing w:after="0"/>
              <w:rPr>
                <w:sz w:val="1"/>
                <w:szCs w:val="1"/>
                <w:color w:val="auto"/>
              </w:rPr>
            </w:pPr>
          </w:p>
        </w:tc>
      </w:tr>
      <w:tr>
        <w:trPr>
          <w:trHeight w:val="126"/>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87"/>
              </w:rPr>
              <w:t>Current Coupon 10.48%</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JVMC HOLDINGS CORP.</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Financial services</w:t>
            </w:r>
          </w:p>
        </w:tc>
        <w:tc>
          <w:tcPr>
            <w:tcW w:w="124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90"/>
              </w:rPr>
              <w:t>L+7.75% (Floor 1.00%)/M,</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2/28/2019</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2/28/2024</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7,047</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7,000</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6,850</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8.75%</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rPr>
                <w:sz w:val="20"/>
                <w:szCs w:val="20"/>
                <w:color w:val="auto"/>
              </w:rPr>
            </w:pPr>
            <w:r>
              <w:rPr>
                <w:rFonts w:ascii="Arial" w:cs="Arial" w:eastAsia="Arial" w:hAnsi="Arial"/>
                <w:sz w:val="10"/>
                <w:szCs w:val="10"/>
                <w:b w:val="1"/>
                <w:bCs w:val="1"/>
                <w:color w:val="auto"/>
              </w:rPr>
              <w:t>KLEIN HERSH, LLC</w:t>
            </w: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Business services</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L+8.00% (Floor 0.75%)</w:t>
            </w:r>
          </w:p>
        </w:tc>
        <w:tc>
          <w:tcPr>
            <w:tcW w:w="860" w:type="dxa"/>
            <w:vAlign w:val="bottom"/>
          </w:tcPr>
          <w:p>
            <w:pPr>
              <w:jc w:val="center"/>
              <w:spacing w:after="0"/>
              <w:rPr>
                <w:sz w:val="20"/>
                <w:szCs w:val="20"/>
                <w:color w:val="auto"/>
              </w:rPr>
            </w:pPr>
            <w:r>
              <w:rPr>
                <w:rFonts w:ascii="Arial" w:cs="Arial" w:eastAsia="Arial" w:hAnsi="Arial"/>
                <w:sz w:val="10"/>
                <w:szCs w:val="10"/>
                <w:color w:val="auto"/>
                <w:w w:val="83"/>
              </w:rPr>
              <w:t>11/13/2020</w:t>
            </w: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87"/>
              </w:rPr>
              <w:t>11/13/2025</w:t>
            </w:r>
          </w:p>
        </w:tc>
        <w:tc>
          <w:tcPr>
            <w:tcW w:w="10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90"/>
              </w:rPr>
              <w:t>L+8.00% (Floor 0.75%)/S,</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3"/>
              </w:rPr>
              <w:t>11/13/2020</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11/13/2025</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14,813</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14,534</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14,813</w:t>
            </w: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8.75%</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Arial" w:cs="Arial" w:eastAsia="Arial" w:hAnsi="Arial"/>
                <w:sz w:val="10"/>
                <w:szCs w:val="10"/>
                <w:color w:val="auto"/>
              </w:rPr>
              <w:t>14,517</w:t>
            </w:r>
          </w:p>
        </w:tc>
        <w:tc>
          <w:tcPr>
            <w:tcW w:w="80" w:type="dxa"/>
            <w:vAlign w:val="bottom"/>
          </w:tcPr>
          <w:p>
            <w:pPr>
              <w:spacing w:after="0"/>
              <w:rPr>
                <w:sz w:val="9"/>
                <w:szCs w:val="9"/>
                <w:color w:val="auto"/>
              </w:rPr>
            </w:pPr>
          </w:p>
        </w:tc>
        <w:tc>
          <w:tcPr>
            <w:tcW w:w="860" w:type="dxa"/>
            <w:vAlign w:val="bottom"/>
          </w:tcPr>
          <w:p>
            <w:pPr>
              <w:jc w:val="right"/>
              <w:spacing w:after="0" w:line="111" w:lineRule="exact"/>
              <w:rPr>
                <w:sz w:val="20"/>
                <w:szCs w:val="20"/>
                <w:color w:val="auto"/>
              </w:rPr>
            </w:pPr>
            <w:r>
              <w:rPr>
                <w:rFonts w:ascii="Arial" w:cs="Arial" w:eastAsia="Arial" w:hAnsi="Arial"/>
                <w:sz w:val="10"/>
                <w:szCs w:val="10"/>
                <w:color w:val="auto"/>
              </w:rPr>
              <w:t>14,813</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140" w:right="299" w:bottom="1440" w:gutter="0" w:footer="0" w:header="0"/>
        </w:sectPr>
      </w:pPr>
    </w:p>
    <w:bookmarkStart w:id="21" w:name="page22"/>
    <w:bookmarkEnd w:id="21"/>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6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Industry</w:t>
            </w: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88"/>
              </w:rPr>
              <w:t>Acquisition Date</w:t>
            </w:r>
            <w:r>
              <w:rPr>
                <w:rFonts w:ascii="Arial" w:cs="Arial" w:eastAsia="Arial" w:hAnsi="Arial"/>
                <w:sz w:val="12"/>
                <w:szCs w:val="12"/>
                <w:b w:val="1"/>
                <w:bCs w:val="1"/>
                <w:color w:val="auto"/>
                <w:w w:val="88"/>
                <w:vertAlign w:val="superscript"/>
              </w:rPr>
              <w:t>14</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Maturity</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Principal</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16</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KMS, LLC</w:t>
            </w:r>
            <w:r>
              <w:rPr>
                <w:rFonts w:ascii="Arial" w:cs="Arial" w:eastAsia="Arial" w:hAnsi="Arial"/>
                <w:sz w:val="12"/>
                <w:szCs w:val="12"/>
                <w:b w:val="1"/>
                <w:bCs w:val="1"/>
                <w:color w:val="auto"/>
                <w:vertAlign w:val="superscript"/>
              </w:rPr>
              <w:t>17</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r>
              <w:rPr>
                <w:rFonts w:ascii="Arial" w:cs="Arial" w:eastAsia="Arial" w:hAnsi="Arial"/>
                <w:sz w:val="12"/>
                <w:szCs w:val="12"/>
                <w:color w:val="auto"/>
                <w:vertAlign w:val="superscript"/>
              </w:rPr>
              <w:t>15</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Distribution</w:t>
            </w:r>
          </w:p>
        </w:tc>
        <w:tc>
          <w:tcPr>
            <w:tcW w:w="1180" w:type="dxa"/>
            <w:vAlign w:val="bottom"/>
            <w:shd w:val="clear" w:color="auto" w:fill="CCEEFF"/>
          </w:tcPr>
          <w:p>
            <w:pPr>
              <w:jc w:val="center"/>
              <w:spacing w:after="0" w:line="79" w:lineRule="exact"/>
              <w:rPr>
                <w:sz w:val="20"/>
                <w:szCs w:val="20"/>
                <w:color w:val="auto"/>
              </w:rPr>
            </w:pPr>
            <w:r>
              <w:rPr>
                <w:rFonts w:ascii="Arial" w:cs="Arial" w:eastAsia="Arial" w:hAnsi="Arial"/>
                <w:sz w:val="8"/>
                <w:szCs w:val="8"/>
                <w:color w:val="auto"/>
              </w:rPr>
              <w:t>L+6.00% (Floor 1.00%)/Q,</w:t>
            </w:r>
          </w:p>
        </w:tc>
        <w:tc>
          <w:tcPr>
            <w:tcW w:w="6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1/5/2021</w:t>
            </w:r>
          </w:p>
        </w:tc>
        <w:tc>
          <w:tcPr>
            <w:tcW w:w="60" w:type="dxa"/>
            <w:vAlign w:val="bottom"/>
            <w:shd w:val="clear" w:color="auto" w:fill="CCEEFF"/>
          </w:tcPr>
          <w:p>
            <w:pPr>
              <w:spacing w:after="0"/>
              <w:rPr>
                <w:sz w:val="6"/>
                <w:szCs w:val="6"/>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11/23/2025</w:t>
            </w:r>
          </w:p>
        </w:tc>
        <w:tc>
          <w:tcPr>
            <w:tcW w:w="10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16,000</w:t>
            </w:r>
          </w:p>
        </w:tc>
        <w:tc>
          <w:tcPr>
            <w:tcW w:w="80" w:type="dxa"/>
            <w:vAlign w:val="bottom"/>
            <w:shd w:val="clear" w:color="auto" w:fill="CCEEFF"/>
          </w:tcPr>
          <w:p>
            <w:pPr>
              <w:spacing w:after="0"/>
              <w:rPr>
                <w:sz w:val="6"/>
                <w:szCs w:val="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15,923</w:t>
            </w:r>
          </w:p>
        </w:tc>
        <w:tc>
          <w:tcPr>
            <w:tcW w:w="8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15,968</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7.00%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LANDPOINT HOLDCO, INC.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Business services</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L+11.00%(Floor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12/30/2019</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12/30/2024</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18,840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18,540</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17,239</w:t>
            </w:r>
          </w:p>
        </w:tc>
        <w:tc>
          <w:tcPr>
            <w:tcW w:w="0" w:type="dxa"/>
            <w:vAlign w:val="bottom"/>
          </w:tcPr>
          <w:p>
            <w:pPr>
              <w:spacing w:after="0"/>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87"/>
              </w:rPr>
              <w:t>Current Coupon 12.00%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LGM PHARMA, LLC</w:t>
            </w:r>
            <w:r>
              <w:rPr>
                <w:rFonts w:ascii="Arial" w:cs="Arial" w:eastAsia="Arial" w:hAnsi="Arial"/>
                <w:sz w:val="12"/>
                <w:szCs w:val="12"/>
                <w:b w:val="1"/>
                <w:bCs w:val="1"/>
                <w:color w:val="auto"/>
                <w:vertAlign w:val="superscript"/>
              </w:rPr>
              <w:t>13</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Healthcare products</w:t>
            </w: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L+8.50% (Floor 1.00%)/M,</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3"/>
              </w:rPr>
              <w:t>11/15/2017</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11/15/2023</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11,424</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11,315</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11,424</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9.50%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Delayed Draw Term Loan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90"/>
              </w:rPr>
              <w:t>L+10.00%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7/24/2020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11/15/2023</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2,488</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2,448</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2,487</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87"/>
              </w:rPr>
              <w:t>Current Coupon 11.00%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70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142,278.89 units of Class A common</w:t>
            </w: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3"/>
              </w:rPr>
              <w:t>11/15/2017</w:t>
            </w: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1,600</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2,309</w:t>
            </w: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0"/>
                <w:szCs w:val="10"/>
                <w:color w:val="auto"/>
              </w:rPr>
              <w:t>stock</w:t>
            </w:r>
            <w:r>
              <w:rPr>
                <w:rFonts w:ascii="Arial" w:cs="Arial" w:eastAsia="Arial" w:hAnsi="Arial"/>
                <w:sz w:val="12"/>
                <w:szCs w:val="12"/>
                <w:color w:val="auto"/>
                <w:vertAlign w:val="superscript"/>
              </w:rPr>
              <w:t>9</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8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15,363</w:t>
            </w:r>
          </w:p>
        </w:tc>
        <w:tc>
          <w:tcPr>
            <w:tcW w:w="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0"/>
                <w:szCs w:val="10"/>
                <w:color w:val="auto"/>
              </w:rPr>
              <w:t>16,220</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LIGHTING RETROFIT INTERNATIONAL, LLC</w:t>
            </w:r>
          </w:p>
        </w:tc>
        <w:tc>
          <w:tcPr>
            <w:tcW w:w="1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7.50%, L+1.50% PIK (Floor</w:t>
            </w: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continue"/>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Environmental services</w:t>
            </w: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7"/>
              </w:rPr>
              <w:t>2.00%)/Q, 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6/30/2017</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6/30/2022</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14,027</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13,984</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12,021</w:t>
            </w:r>
          </w:p>
        </w:tc>
        <w:tc>
          <w:tcPr>
            <w:tcW w:w="0" w:type="dxa"/>
            <w:vAlign w:val="bottom"/>
          </w:tcPr>
          <w:p>
            <w:pPr>
              <w:spacing w:after="0"/>
              <w:rPr>
                <w:sz w:val="1"/>
                <w:szCs w:val="1"/>
                <w:color w:val="auto"/>
              </w:rPr>
            </w:pPr>
          </w:p>
        </w:tc>
      </w:tr>
      <w:tr>
        <w:trPr>
          <w:trHeight w:val="126"/>
        </w:trPr>
        <w:tc>
          <w:tcPr>
            <w:tcW w:w="23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(DBA ENVOCORE)</w:t>
            </w: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11.00%</w:t>
            </w:r>
          </w:p>
        </w:tc>
        <w:tc>
          <w:tcPr>
            <w:tcW w:w="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w w:val="89"/>
              </w:rPr>
              <w:t>25,603 shares of Series C preferred stock</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8/13/2018</w:t>
            </w:r>
          </w:p>
        </w:tc>
        <w:tc>
          <w:tcPr>
            <w:tcW w:w="6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2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70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396,825 shares of Series B preferred</w:t>
            </w: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6/30/2017</w:t>
            </w: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500</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stock</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8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14,509</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12,021</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MAKO STEEL LP</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Business services</w:t>
            </w: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90"/>
              </w:rPr>
              <w:t>L+7.25% (Floor (0.75%)/Q,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03/15/2021</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03/13/2026</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660</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623</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647</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L+7.25% (Floor (0.75%)/Q,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03/15/2021</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03/13/2026</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8,113</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7,952</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7,952</w:t>
            </w: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vMerge w:val="continue"/>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5"/>
              </w:rPr>
              <w:t>Current Coupon 8.00%</w:t>
            </w:r>
          </w:p>
        </w:tc>
        <w:tc>
          <w:tcPr>
            <w:tcW w:w="86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8,575</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8,599</w:t>
            </w: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NINJATRADER, INC.</w:t>
            </w:r>
            <w:r>
              <w:rPr>
                <w:rFonts w:ascii="Arial" w:cs="Arial" w:eastAsia="Arial" w:hAnsi="Arial"/>
                <w:sz w:val="12"/>
                <w:szCs w:val="12"/>
                <w:b w:val="1"/>
                <w:bCs w:val="1"/>
                <w:color w:val="auto"/>
                <w:vertAlign w:val="superscript"/>
              </w:rPr>
              <w:t>13</w:t>
            </w: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Financial services</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L+6.75% (Floor 1.50%)</w:t>
            </w:r>
          </w:p>
        </w:tc>
        <w:tc>
          <w:tcPr>
            <w:tcW w:w="860" w:type="dxa"/>
            <w:vAlign w:val="bottom"/>
          </w:tcPr>
          <w:p>
            <w:pPr>
              <w:jc w:val="center"/>
              <w:spacing w:after="0"/>
              <w:rPr>
                <w:sz w:val="20"/>
                <w:szCs w:val="20"/>
                <w:color w:val="auto"/>
              </w:rPr>
            </w:pPr>
            <w:r>
              <w:rPr>
                <w:rFonts w:ascii="Arial" w:cs="Arial" w:eastAsia="Arial" w:hAnsi="Arial"/>
                <w:sz w:val="10"/>
                <w:szCs w:val="10"/>
                <w:color w:val="auto"/>
                <w:w w:val="87"/>
              </w:rPr>
              <w:t>12/18/2019</w:t>
            </w: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87"/>
              </w:rPr>
              <w:t>12/18/2024</w:t>
            </w:r>
          </w:p>
        </w:tc>
        <w:tc>
          <w:tcPr>
            <w:tcW w:w="10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L+6.75% (Floor 1.50%)/Q,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12/18/2019</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12/18/2024</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19,250</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18,784</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19,250</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8.25%</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Delayed Draw Term Loan</w:t>
            </w:r>
            <w:r>
              <w:rPr>
                <w:rFonts w:ascii="Arial" w:cs="Arial" w:eastAsia="Arial" w:hAnsi="Arial"/>
                <w:sz w:val="12"/>
                <w:szCs w:val="12"/>
                <w:color w:val="auto"/>
                <w:vertAlign w:val="superscript"/>
              </w:rPr>
              <w:t>10</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89"/>
              </w:rPr>
              <w:t>L+6.75% (Floor 1.50%)/Q</w:t>
            </w:r>
          </w:p>
        </w:tc>
        <w:tc>
          <w:tcPr>
            <w:tcW w:w="860" w:type="dxa"/>
            <w:vAlign w:val="bottom"/>
          </w:tcPr>
          <w:p>
            <w:pPr>
              <w:jc w:val="center"/>
              <w:spacing w:after="0"/>
              <w:rPr>
                <w:sz w:val="20"/>
                <w:szCs w:val="20"/>
                <w:color w:val="auto"/>
              </w:rPr>
            </w:pPr>
            <w:r>
              <w:rPr>
                <w:rFonts w:ascii="Arial" w:cs="Arial" w:eastAsia="Arial" w:hAnsi="Arial"/>
                <w:sz w:val="10"/>
                <w:szCs w:val="10"/>
                <w:color w:val="auto"/>
                <w:w w:val="87"/>
              </w:rPr>
              <w:t>12/31/2020</w:t>
            </w: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87"/>
              </w:rPr>
              <w:t>12/18/2024</w:t>
            </w:r>
          </w:p>
        </w:tc>
        <w:tc>
          <w:tcPr>
            <w:tcW w:w="10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(36)</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0"/>
                <w:szCs w:val="10"/>
                <w:color w:val="auto"/>
              </w:rPr>
              <w:t>2,000,000 Preferred Units</w:t>
            </w:r>
            <w:r>
              <w:rPr>
                <w:rFonts w:ascii="Arial" w:cs="Arial" w:eastAsia="Arial" w:hAnsi="Arial"/>
                <w:sz w:val="12"/>
                <w:szCs w:val="12"/>
                <w:color w:val="auto"/>
                <w:vertAlign w:val="superscript"/>
              </w:rPr>
              <w:t>9</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12/18/2019</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2,000</w:t>
            </w: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6,223</w:t>
            </w:r>
          </w:p>
        </w:tc>
        <w:tc>
          <w:tcPr>
            <w:tcW w:w="0" w:type="dxa"/>
            <w:vAlign w:val="bottom"/>
          </w:tcPr>
          <w:p>
            <w:pPr>
              <w:spacing w:after="0"/>
              <w:rPr>
                <w:sz w:val="1"/>
                <w:szCs w:val="1"/>
                <w:color w:val="auto"/>
              </w:rPr>
            </w:pPr>
          </w:p>
        </w:tc>
      </w:tr>
      <w:tr>
        <w:trPr>
          <w:trHeight w:val="113"/>
        </w:trPr>
        <w:tc>
          <w:tcPr>
            <w:tcW w:w="2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20,742</w:t>
            </w:r>
          </w:p>
        </w:tc>
        <w:tc>
          <w:tcPr>
            <w:tcW w:w="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0"/>
                <w:szCs w:val="10"/>
                <w:color w:val="auto"/>
              </w:rPr>
              <w:t>25,473</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RESEARCH NOW GROUP, INC.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Second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Business services</w:t>
            </w: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L+9.50% (Floor 1.00%)/M,</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12/8/2017</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12/20/2025</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10,500</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9,980</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10,132</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10.50%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140" w:right="299" w:bottom="1440" w:gutter="0" w:footer="0" w:header="0"/>
        </w:sectPr>
      </w:pPr>
    </w:p>
    <w:bookmarkStart w:id="22" w:name="page23"/>
    <w:bookmarkEnd w:id="22"/>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Pr>
          <w:p>
            <w:pPr>
              <w:spacing w:after="0"/>
              <w:rPr>
                <w:sz w:val="12"/>
                <w:szCs w:val="12"/>
                <w:color w:val="auto"/>
              </w:rPr>
            </w:pP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60" w:type="dxa"/>
            <w:vAlign w:val="bottom"/>
          </w:tcPr>
          <w:p>
            <w:pPr>
              <w:spacing w:after="0"/>
              <w:rPr>
                <w:sz w:val="12"/>
                <w:szCs w:val="12"/>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Industry</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60" w:type="dxa"/>
            <w:vAlign w:val="bottom"/>
          </w:tcPr>
          <w:p>
            <w:pPr>
              <w:spacing w:after="0"/>
              <w:rPr>
                <w:sz w:val="12"/>
                <w:szCs w:val="1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88"/>
              </w:rPr>
              <w:t>Acquisition Date</w:t>
            </w:r>
            <w:r>
              <w:rPr>
                <w:rFonts w:ascii="Arial" w:cs="Arial" w:eastAsia="Arial" w:hAnsi="Arial"/>
                <w:sz w:val="12"/>
                <w:szCs w:val="12"/>
                <w:b w:val="1"/>
                <w:bCs w:val="1"/>
                <w:color w:val="auto"/>
                <w:w w:val="88"/>
                <w:vertAlign w:val="superscript"/>
              </w:rPr>
              <w:t>14</w:t>
            </w:r>
          </w:p>
        </w:tc>
        <w:tc>
          <w:tcPr>
            <w:tcW w:w="60" w:type="dxa"/>
            <w:vAlign w:val="bottom"/>
          </w:tcPr>
          <w:p>
            <w:pPr>
              <w:spacing w:after="0"/>
              <w:rPr>
                <w:sz w:val="12"/>
                <w:szCs w:val="12"/>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Maturity</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16</w:t>
            </w: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4</w:t>
            </w:r>
          </w:p>
        </w:tc>
        <w:tc>
          <w:tcPr>
            <w:tcW w:w="0" w:type="dxa"/>
            <w:vAlign w:val="bottom"/>
          </w:tcPr>
          <w:p>
            <w:pPr>
              <w:spacing w:after="0"/>
              <w:rPr>
                <w:sz w:val="1"/>
                <w:szCs w:val="1"/>
                <w:color w:val="auto"/>
              </w:rPr>
            </w:pPr>
          </w:p>
        </w:tc>
      </w:tr>
      <w:tr>
        <w:trPr>
          <w:trHeight w:val="79"/>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ROSELAND MANAGEMENT, LLC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Healthcare services</w:t>
            </w:r>
          </w:p>
        </w:tc>
        <w:tc>
          <w:tcPr>
            <w:tcW w:w="1180" w:type="dxa"/>
            <w:vAlign w:val="bottom"/>
          </w:tcPr>
          <w:p>
            <w:pPr>
              <w:jc w:val="center"/>
              <w:spacing w:after="0" w:line="79" w:lineRule="exact"/>
              <w:rPr>
                <w:sz w:val="20"/>
                <w:szCs w:val="20"/>
                <w:color w:val="auto"/>
              </w:rPr>
            </w:pPr>
            <w:r>
              <w:rPr>
                <w:rFonts w:ascii="Arial" w:cs="Arial" w:eastAsia="Arial" w:hAnsi="Arial"/>
                <w:sz w:val="8"/>
                <w:szCs w:val="8"/>
                <w:color w:val="auto"/>
              </w:rPr>
              <w:t>L+7.00% (Floor 2.00%)/Q,</w:t>
            </w:r>
          </w:p>
        </w:tc>
        <w:tc>
          <w:tcPr>
            <w:tcW w:w="60" w:type="dxa"/>
            <w:vAlign w:val="bottom"/>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11/9/2018</w:t>
            </w:r>
          </w:p>
        </w:tc>
        <w:tc>
          <w:tcPr>
            <w:tcW w:w="60" w:type="dxa"/>
            <w:vAlign w:val="bottom"/>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11/9/2023</w:t>
            </w:r>
          </w:p>
        </w:tc>
        <w:tc>
          <w:tcPr>
            <w:tcW w:w="10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500</w:t>
            </w:r>
          </w:p>
        </w:tc>
        <w:tc>
          <w:tcPr>
            <w:tcW w:w="80" w:type="dxa"/>
            <w:vAlign w:val="bottom"/>
          </w:tcPr>
          <w:p>
            <w:pPr>
              <w:spacing w:after="0"/>
              <w:rPr>
                <w:sz w:val="6"/>
                <w:szCs w:val="6"/>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482</w:t>
            </w:r>
          </w:p>
        </w:tc>
        <w:tc>
          <w:tcPr>
            <w:tcW w:w="8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126"/>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L+7.00% (Floor 2.00%)/Q,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11/9/2018</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11/9/2023</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14,270</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14,108</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14,270</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13,811 Class A Units</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5"/>
              </w:rPr>
              <w:t>11/9/2018</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1,381</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1,720</w:t>
            </w: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15,971</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16,490</w:t>
            </w: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RTIC SUBSIDIARY HOLDINGS, LLC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Consumer products &amp; retail</w:t>
            </w: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L+7.75% (Floor 1.25%)/Q,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9/1/2020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9/1/2025</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329</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317</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329</w:t>
            </w:r>
          </w:p>
        </w:tc>
        <w:tc>
          <w:tcPr>
            <w:tcW w:w="0" w:type="dxa"/>
            <w:vAlign w:val="bottom"/>
          </w:tcPr>
          <w:p>
            <w:pPr>
              <w:spacing w:after="0"/>
              <w:rPr>
                <w:sz w:val="1"/>
                <w:szCs w:val="1"/>
                <w:color w:val="auto"/>
              </w:rPr>
            </w:pPr>
          </w:p>
        </w:tc>
      </w:tr>
      <w:tr>
        <w:trPr>
          <w:trHeight w:val="126"/>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L+7.75% (Floor 1.25%)/Q,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9/1/2020</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9/1/2025</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7,135</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7,054</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7,135</w:t>
            </w: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7,371</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7,464</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SCRIP, INC.</w:t>
            </w:r>
            <w:r>
              <w:rPr>
                <w:rFonts w:ascii="Arial" w:cs="Arial" w:eastAsia="Arial" w:hAnsi="Arial"/>
                <w:sz w:val="12"/>
                <w:szCs w:val="12"/>
                <w:b w:val="1"/>
                <w:bCs w:val="1"/>
                <w:color w:val="auto"/>
                <w:vertAlign w:val="superscript"/>
              </w:rPr>
              <w:t>8</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Healthcare products</w:t>
            </w: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L+9.68% (Floor 2.00%)/M,</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3/21/2019</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3/21/2024</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16,750</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16,422</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16,750</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11.68%</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100 shares of common stock</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5"/>
              </w:rPr>
              <w:t>3/21/2019</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1,000</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967</w:t>
            </w: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17,422</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17,717</w:t>
            </w: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TAX ADVISORS GROUP, LLC</w:t>
            </w:r>
            <w:r>
              <w:rPr>
                <w:rFonts w:ascii="Arial" w:cs="Arial" w:eastAsia="Arial" w:hAnsi="Arial"/>
                <w:sz w:val="12"/>
                <w:szCs w:val="12"/>
                <w:b w:val="1"/>
                <w:bCs w:val="1"/>
                <w:color w:val="auto"/>
                <w:vertAlign w:val="superscript"/>
              </w:rPr>
              <w:t>13</w:t>
            </w: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143.3 Class A units</w:t>
            </w:r>
            <w:r>
              <w:rPr>
                <w:rFonts w:ascii="Arial" w:cs="Arial" w:eastAsia="Arial" w:hAnsi="Arial"/>
                <w:sz w:val="12"/>
                <w:szCs w:val="12"/>
                <w:color w:val="auto"/>
                <w:vertAlign w:val="superscript"/>
              </w:rPr>
              <w:t>9</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Financial services</w:t>
            </w: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6/23/2017</w:t>
            </w:r>
          </w:p>
        </w:tc>
        <w:tc>
          <w:tcPr>
            <w:tcW w:w="6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541</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1,539</w:t>
            </w:r>
          </w:p>
        </w:tc>
        <w:tc>
          <w:tcPr>
            <w:tcW w:w="0" w:type="dxa"/>
            <w:vAlign w:val="bottom"/>
          </w:tcPr>
          <w:p>
            <w:pPr>
              <w:spacing w:after="0"/>
              <w:rPr>
                <w:sz w:val="1"/>
                <w:szCs w:val="1"/>
                <w:color w:val="auto"/>
              </w:rPr>
            </w:pPr>
          </w:p>
        </w:tc>
      </w:tr>
      <w:tr>
        <w:trPr>
          <w:trHeight w:val="90"/>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TRAFERA, LLC (FKA TRINITY 3, LLC)</w:t>
            </w:r>
            <w:r>
              <w:rPr>
                <w:rFonts w:ascii="Arial" w:cs="Arial" w:eastAsia="Arial" w:hAnsi="Arial"/>
                <w:sz w:val="12"/>
                <w:szCs w:val="12"/>
                <w:b w:val="1"/>
                <w:bCs w:val="1"/>
                <w:color w:val="auto"/>
                <w:vertAlign w:val="superscript"/>
              </w:rPr>
              <w:t>13</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r>
              <w:rPr>
                <w:rFonts w:ascii="Arial" w:cs="Arial" w:eastAsia="Arial" w:hAnsi="Arial"/>
                <w:sz w:val="12"/>
                <w:szCs w:val="12"/>
                <w:color w:val="auto"/>
                <w:vertAlign w:val="superscript"/>
              </w:rPr>
              <w:t>15</w:t>
            </w:r>
          </w:p>
        </w:tc>
        <w:tc>
          <w:tcPr>
            <w:tcW w:w="1420" w:type="dxa"/>
            <w:vAlign w:val="bottom"/>
            <w:gridSpan w:val="2"/>
            <w:shd w:val="clear" w:color="auto" w:fill="CCEEFF"/>
          </w:tcPr>
          <w:p>
            <w:pPr>
              <w:ind w:left="20"/>
              <w:spacing w:after="0" w:line="90" w:lineRule="exact"/>
              <w:rPr>
                <w:sz w:val="20"/>
                <w:szCs w:val="20"/>
                <w:color w:val="auto"/>
              </w:rPr>
            </w:pPr>
            <w:r>
              <w:rPr>
                <w:rFonts w:ascii="Arial" w:cs="Arial" w:eastAsia="Arial" w:hAnsi="Arial"/>
                <w:sz w:val="10"/>
                <w:szCs w:val="10"/>
                <w:color w:val="auto"/>
              </w:rPr>
              <w:t>Technology products &amp;</w:t>
            </w: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L+7.00% (Floor 1.00%)/Q,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9/30/2020</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9/30/2025</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9,975</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9,838</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9,975</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components</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896.43 Class A units</w:t>
            </w:r>
            <w:r>
              <w:rPr>
                <w:rFonts w:ascii="Arial" w:cs="Arial" w:eastAsia="Arial" w:hAnsi="Arial"/>
                <w:sz w:val="12"/>
                <w:szCs w:val="12"/>
                <w:color w:val="auto"/>
                <w:vertAlign w:val="superscript"/>
              </w:rPr>
              <w:t>9</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3"/>
              </w:rPr>
              <w:t>11/15/2019</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1,205</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3,204</w:t>
            </w:r>
          </w:p>
        </w:tc>
        <w:tc>
          <w:tcPr>
            <w:tcW w:w="0" w:type="dxa"/>
            <w:vAlign w:val="bottom"/>
          </w:tcPr>
          <w:p>
            <w:pPr>
              <w:spacing w:after="0"/>
              <w:rPr>
                <w:sz w:val="1"/>
                <w:szCs w:val="1"/>
                <w:color w:val="auto"/>
              </w:rPr>
            </w:pPr>
          </w:p>
        </w:tc>
      </w:tr>
      <w:tr>
        <w:trPr>
          <w:trHeight w:val="115"/>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11,043</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13,179</w:t>
            </w: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USA DEBUSK, LLC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Industrial services</w:t>
            </w:r>
          </w:p>
        </w:tc>
        <w:tc>
          <w:tcPr>
            <w:tcW w:w="124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90"/>
              </w:rPr>
              <w:t>L+5.75% (Floor 1.00%)/M,</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2/25/2020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10/22/2024</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7,900</w:t>
            </w:r>
          </w:p>
        </w:tc>
        <w:tc>
          <w:tcPr>
            <w:tcW w:w="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7,782</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7,892</w:t>
            </w:r>
          </w:p>
        </w:tc>
        <w:tc>
          <w:tcPr>
            <w:tcW w:w="0" w:type="dxa"/>
            <w:vAlign w:val="bottom"/>
          </w:tcPr>
          <w:p>
            <w:pPr>
              <w:spacing w:after="0"/>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6.75%</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Media, marketing &amp;</w:t>
            </w: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L+7.50%, 2.50% PIK (Floor</w:t>
            </w: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VISTAR MEDIA INC.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continue"/>
            <w:shd w:val="clear" w:color="auto" w:fill="CCEEFF"/>
          </w:tcPr>
          <w:p>
            <w:pPr>
              <w:spacing w:after="0"/>
              <w:rPr>
                <w:sz w:val="7"/>
                <w:szCs w:val="7"/>
                <w:color w:val="auto"/>
              </w:rPr>
            </w:pPr>
          </w:p>
        </w:tc>
        <w:tc>
          <w:tcPr>
            <w:tcW w:w="124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88"/>
              </w:rPr>
              <w:t>2.00%)/M, 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2/17/2017</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4/3/2023</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11,481</w:t>
            </w:r>
          </w:p>
        </w:tc>
        <w:tc>
          <w:tcPr>
            <w:tcW w:w="8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10,920</w:t>
            </w:r>
          </w:p>
        </w:tc>
        <w:tc>
          <w:tcPr>
            <w:tcW w:w="8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11,481</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entertainment</w:t>
            </w:r>
          </w:p>
        </w:tc>
        <w:tc>
          <w:tcPr>
            <w:tcW w:w="11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12.00%</w:t>
            </w:r>
          </w:p>
        </w:tc>
        <w:tc>
          <w:tcPr>
            <w:tcW w:w="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tcPr>
          <w:p>
            <w:pPr>
              <w:ind w:left="20"/>
              <w:spacing w:after="0" w:line="90" w:lineRule="exact"/>
              <w:rPr>
                <w:sz w:val="20"/>
                <w:szCs w:val="20"/>
                <w:color w:val="auto"/>
              </w:rPr>
            </w:pPr>
            <w:r>
              <w:rPr>
                <w:rFonts w:ascii="Arial" w:cs="Arial" w:eastAsia="Arial" w:hAnsi="Arial"/>
                <w:sz w:val="10"/>
                <w:szCs w:val="10"/>
                <w:color w:val="auto"/>
              </w:rPr>
              <w:t>171,617 shares of Series A preferred</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4/3/2019</w:t>
            </w:r>
          </w:p>
        </w:tc>
        <w:tc>
          <w:tcPr>
            <w:tcW w:w="60" w:type="dxa"/>
            <w:vAlign w:val="bottom"/>
          </w:tcPr>
          <w:p>
            <w:pPr>
              <w:spacing w:after="0"/>
              <w:rPr>
                <w:sz w:val="7"/>
                <w:szCs w:val="7"/>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1,874</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3,904</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stock</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Warrants (Expiration - April 3, 2029)</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4/3/2019</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620</w:t>
            </w:r>
          </w:p>
        </w:tc>
        <w:tc>
          <w:tcPr>
            <w:tcW w:w="8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1,853</w:t>
            </w: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13,414</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17,238</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VTX HOLDINGS, INC.</w:t>
            </w:r>
            <w:r>
              <w:rPr>
                <w:rFonts w:ascii="Arial" w:cs="Arial" w:eastAsia="Arial" w:hAnsi="Arial"/>
                <w:sz w:val="12"/>
                <w:szCs w:val="12"/>
                <w:b w:val="1"/>
                <w:bCs w:val="1"/>
                <w:color w:val="auto"/>
                <w:vertAlign w:val="superscript"/>
              </w:rPr>
              <w:t>8</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Software &amp; IT services</w:t>
            </w: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9"/>
              </w:rPr>
              <w:t>L+9.00% (Floor 2.00%)/Q,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7/23/2019</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7/23/2024</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21,575</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21,181</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21,575</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11.00%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1,397,707 Series A Preferred units</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5"/>
              </w:rPr>
              <w:t>7/23/2019</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9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1,398</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1,654</w:t>
            </w:r>
          </w:p>
        </w:tc>
        <w:tc>
          <w:tcPr>
            <w:tcW w:w="0" w:type="dxa"/>
            <w:vAlign w:val="bottom"/>
          </w:tcPr>
          <w:p>
            <w:pPr>
              <w:spacing w:after="0"/>
              <w:rPr>
                <w:sz w:val="1"/>
                <w:szCs w:val="1"/>
                <w:color w:val="auto"/>
              </w:rPr>
            </w:pPr>
          </w:p>
        </w:tc>
      </w:tr>
      <w:tr>
        <w:trPr>
          <w:trHeight w:val="117"/>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22,579</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23,229</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140" w:right="299" w:bottom="1440" w:gutter="0" w:footer="0" w:header="0"/>
        </w:sectPr>
      </w:pPr>
    </w:p>
    <w:bookmarkStart w:id="23" w:name="page24"/>
    <w:bookmarkEnd w:id="23"/>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60" w:type="dxa"/>
            <w:vAlign w:val="bottom"/>
          </w:tcPr>
          <w:p>
            <w:pPr>
              <w:spacing w:after="0"/>
              <w:rPr>
                <w:sz w:val="12"/>
                <w:szCs w:val="12"/>
                <w:color w:val="auto"/>
              </w:rPr>
            </w:pP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60" w:type="dxa"/>
            <w:vAlign w:val="bottom"/>
          </w:tcPr>
          <w:p>
            <w:pPr>
              <w:spacing w:after="0"/>
              <w:rPr>
                <w:sz w:val="12"/>
                <w:szCs w:val="12"/>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Industry</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60" w:type="dxa"/>
            <w:vAlign w:val="bottom"/>
          </w:tcPr>
          <w:p>
            <w:pPr>
              <w:spacing w:after="0"/>
              <w:rPr>
                <w:sz w:val="12"/>
                <w:szCs w:val="1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88"/>
              </w:rPr>
              <w:t>Acquisition Date</w:t>
            </w:r>
            <w:r>
              <w:rPr>
                <w:rFonts w:ascii="Arial" w:cs="Arial" w:eastAsia="Arial" w:hAnsi="Arial"/>
                <w:sz w:val="12"/>
                <w:szCs w:val="12"/>
                <w:b w:val="1"/>
                <w:bCs w:val="1"/>
                <w:color w:val="auto"/>
                <w:w w:val="88"/>
                <w:vertAlign w:val="superscript"/>
              </w:rPr>
              <w:t>14</w:t>
            </w:r>
          </w:p>
        </w:tc>
        <w:tc>
          <w:tcPr>
            <w:tcW w:w="60" w:type="dxa"/>
            <w:vAlign w:val="bottom"/>
          </w:tcPr>
          <w:p>
            <w:pPr>
              <w:spacing w:after="0"/>
              <w:rPr>
                <w:sz w:val="12"/>
                <w:szCs w:val="12"/>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Maturity</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16</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99"/>
              </w:rPr>
              <w:t>Fair Value</w:t>
            </w:r>
            <w:r>
              <w:rPr>
                <w:rFonts w:ascii="Arial" w:cs="Arial" w:eastAsia="Arial" w:hAnsi="Arial"/>
                <w:sz w:val="12"/>
                <w:szCs w:val="12"/>
                <w:b w:val="1"/>
                <w:bCs w:val="1"/>
                <w:color w:val="auto"/>
                <w:w w:val="99"/>
                <w:vertAlign w:val="superscript"/>
              </w:rPr>
              <w:t>4</w:t>
            </w:r>
          </w:p>
        </w:tc>
        <w:tc>
          <w:tcPr>
            <w:tcW w:w="0" w:type="dxa"/>
            <w:vAlign w:val="bottom"/>
          </w:tcPr>
          <w:p>
            <w:pPr>
              <w:spacing w:after="0"/>
              <w:rPr>
                <w:sz w:val="1"/>
                <w:szCs w:val="1"/>
                <w:color w:val="auto"/>
              </w:rPr>
            </w:pPr>
          </w:p>
        </w:tc>
      </w:tr>
      <w:tr>
        <w:trPr>
          <w:trHeight w:val="79"/>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ZENFOLIO INC.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Revolving Loan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Business services</w:t>
            </w:r>
          </w:p>
        </w:tc>
        <w:tc>
          <w:tcPr>
            <w:tcW w:w="1180" w:type="dxa"/>
            <w:vAlign w:val="bottom"/>
          </w:tcPr>
          <w:p>
            <w:pPr>
              <w:jc w:val="center"/>
              <w:spacing w:after="0" w:line="79" w:lineRule="exact"/>
              <w:rPr>
                <w:sz w:val="20"/>
                <w:szCs w:val="20"/>
                <w:color w:val="auto"/>
              </w:rPr>
            </w:pPr>
            <w:r>
              <w:rPr>
                <w:rFonts w:ascii="Arial" w:cs="Arial" w:eastAsia="Arial" w:hAnsi="Arial"/>
                <w:sz w:val="8"/>
                <w:szCs w:val="8"/>
                <w:color w:val="auto"/>
              </w:rPr>
              <w:t>L+9.00% (Floor 1.00%)/Q,</w:t>
            </w:r>
          </w:p>
        </w:tc>
        <w:tc>
          <w:tcPr>
            <w:tcW w:w="60" w:type="dxa"/>
            <w:vAlign w:val="bottom"/>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7/17/2017</w:t>
            </w:r>
          </w:p>
        </w:tc>
        <w:tc>
          <w:tcPr>
            <w:tcW w:w="60" w:type="dxa"/>
            <w:vAlign w:val="bottom"/>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7/17/2023</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2,000</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1,992</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1,820</w:t>
            </w:r>
          </w:p>
        </w:tc>
        <w:tc>
          <w:tcPr>
            <w:tcW w:w="0" w:type="dxa"/>
            <w:vAlign w:val="bottom"/>
          </w:tcPr>
          <w:p>
            <w:pPr>
              <w:spacing w:after="0"/>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87"/>
              </w:rPr>
              <w:t>Current Coupon 10.00%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9"/>
              </w:rPr>
              <w:t>L+9.00% (Floor 1.00%)/Q,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7/17/2017</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7/17/2023</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14,888</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14,722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13,548</w:t>
            </w:r>
          </w:p>
        </w:tc>
        <w:tc>
          <w:tcPr>
            <w:tcW w:w="0" w:type="dxa"/>
            <w:vAlign w:val="bottom"/>
          </w:tcPr>
          <w:p>
            <w:pPr>
              <w:spacing w:after="0"/>
              <w:rPr>
                <w:sz w:val="1"/>
                <w:szCs w:val="1"/>
                <w:color w:val="auto"/>
              </w:rPr>
            </w:pPr>
          </w:p>
        </w:tc>
      </w:tr>
      <w:tr>
        <w:trPr>
          <w:trHeight w:val="124"/>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10.00%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16,714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15,368</w:t>
            </w:r>
          </w:p>
        </w:tc>
        <w:tc>
          <w:tcPr>
            <w:tcW w:w="0" w:type="dxa"/>
            <w:vAlign w:val="bottom"/>
          </w:tcPr>
          <w:p>
            <w:pPr>
              <w:spacing w:after="0"/>
              <w:rPr>
                <w:sz w:val="1"/>
                <w:szCs w:val="1"/>
                <w:color w:val="auto"/>
              </w:rPr>
            </w:pPr>
          </w:p>
        </w:tc>
      </w:tr>
      <w:tr>
        <w:trPr>
          <w:trHeight w:val="146"/>
        </w:trPr>
        <w:tc>
          <w:tcPr>
            <w:tcW w:w="2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360" w:type="dxa"/>
            <w:vAlign w:val="bottom"/>
            <w:tcBorders>
              <w:bottom w:val="single" w:sz="8" w:color="CCEEFF"/>
            </w:tcBorders>
            <w:gridSpan w:val="2"/>
          </w:tcPr>
          <w:p>
            <w:pPr>
              <w:spacing w:after="0" w:line="107" w:lineRule="exact"/>
              <w:rPr>
                <w:sz w:val="20"/>
                <w:szCs w:val="20"/>
                <w:color w:val="auto"/>
              </w:rPr>
            </w:pPr>
            <w:r>
              <w:rPr>
                <w:rFonts w:ascii="Arial" w:cs="Arial" w:eastAsia="Arial" w:hAnsi="Arial"/>
                <w:sz w:val="10"/>
                <w:szCs w:val="10"/>
                <w:b w:val="1"/>
                <w:bCs w:val="1"/>
                <w:color w:val="auto"/>
              </w:rPr>
              <w:t>Total Non-control/Non-affiliate Investments</w:t>
            </w:r>
          </w:p>
        </w:tc>
        <w:tc>
          <w:tcPr>
            <w:tcW w:w="16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3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1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7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540,556</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jc w:val="right"/>
              <w:ind w:right="12"/>
              <w:spacing w:after="0" w:line="113" w:lineRule="exact"/>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546,028</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Affiliate Investments</w:t>
            </w:r>
            <w:r>
              <w:rPr>
                <w:rFonts w:ascii="Arial" w:cs="Arial" w:eastAsia="Arial" w:hAnsi="Arial"/>
                <w:sz w:val="12"/>
                <w:szCs w:val="12"/>
                <w:b w:val="1"/>
                <w:bCs w:val="1"/>
                <w:color w:val="auto"/>
                <w:vertAlign w:val="superscript"/>
              </w:rPr>
              <w:t>6</w:t>
            </w: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CENTRAL MEDICAL SUPPLY LLC</w:t>
            </w:r>
            <w:r>
              <w:rPr>
                <w:rFonts w:ascii="Arial" w:cs="Arial" w:eastAsia="Arial" w:hAnsi="Arial"/>
                <w:sz w:val="12"/>
                <w:szCs w:val="12"/>
                <w:b w:val="1"/>
                <w:bCs w:val="1"/>
                <w:color w:val="auto"/>
                <w:vertAlign w:val="superscript"/>
              </w:rPr>
              <w:t>13</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Healthcare services</w:t>
            </w: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L+9.00% (Floor 1.75%)/Q,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5/22/2020</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5/22/2025</w:t>
            </w:r>
          </w:p>
        </w:tc>
        <w:tc>
          <w:tcPr>
            <w:tcW w:w="10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300</w:t>
            </w:r>
          </w:p>
        </w:tc>
        <w:tc>
          <w:tcPr>
            <w:tcW w:w="8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275</w:t>
            </w:r>
          </w:p>
        </w:tc>
        <w:tc>
          <w:tcPr>
            <w:tcW w:w="8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276</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10.75%</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9"/>
              </w:rPr>
              <w:t>L+9.00% (Floor 1.75%)/Q,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5/22/2020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5/22/2025</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7,500</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7,371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6,908</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87"/>
              </w:rPr>
              <w:t>Current Coupon 10.75%</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Delayed Draw Capex Term Loan</w:t>
            </w:r>
            <w:r>
              <w:rPr>
                <w:rFonts w:ascii="Arial" w:cs="Arial" w:eastAsia="Arial" w:hAnsi="Arial"/>
                <w:sz w:val="12"/>
                <w:szCs w:val="12"/>
                <w:color w:val="auto"/>
                <w:vertAlign w:val="superscript"/>
              </w:rPr>
              <w:t>10</w:t>
            </w: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9"/>
              </w:rPr>
              <w:t>L+9.00% (Floor 1.75%)/Q,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5/22/2020</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5/22/2025</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92</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10.75%</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875,000 Preferred Units</w:t>
            </w:r>
            <w:r>
              <w:rPr>
                <w:rFonts w:ascii="Arial" w:cs="Arial" w:eastAsia="Arial" w:hAnsi="Arial"/>
                <w:sz w:val="12"/>
                <w:szCs w:val="12"/>
                <w:color w:val="auto"/>
                <w:vertAlign w:val="superscript"/>
              </w:rPr>
              <w:t>9</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5"/>
              </w:rPr>
              <w:t>5/22/2020</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875</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641</w:t>
            </w:r>
          </w:p>
        </w:tc>
        <w:tc>
          <w:tcPr>
            <w:tcW w:w="0" w:type="dxa"/>
            <w:vAlign w:val="bottom"/>
          </w:tcPr>
          <w:p>
            <w:pPr>
              <w:spacing w:after="0"/>
              <w:rPr>
                <w:sz w:val="1"/>
                <w:szCs w:val="1"/>
                <w:color w:val="auto"/>
              </w:rPr>
            </w:pPr>
          </w:p>
        </w:tc>
      </w:tr>
      <w:tr>
        <w:trPr>
          <w:trHeight w:val="115"/>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8,596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7,917</w:t>
            </w: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CHANDLER SIGNS, LLC</w:t>
            </w:r>
            <w:r>
              <w:rPr>
                <w:rFonts w:ascii="Arial" w:cs="Arial" w:eastAsia="Arial" w:hAnsi="Arial"/>
                <w:sz w:val="12"/>
                <w:szCs w:val="12"/>
                <w:b w:val="1"/>
                <w:bCs w:val="1"/>
                <w:color w:val="auto"/>
                <w:vertAlign w:val="superscript"/>
              </w:rPr>
              <w:t>13</w:t>
            </w:r>
          </w:p>
        </w:tc>
        <w:tc>
          <w:tcPr>
            <w:tcW w:w="1700" w:type="dxa"/>
            <w:vAlign w:val="bottom"/>
            <w:gridSpan w:val="2"/>
          </w:tcPr>
          <w:p>
            <w:pPr>
              <w:ind w:left="20"/>
              <w:spacing w:after="0" w:line="90" w:lineRule="exact"/>
              <w:rPr>
                <w:sz w:val="20"/>
                <w:szCs w:val="20"/>
                <w:color w:val="auto"/>
              </w:rPr>
            </w:pPr>
            <w:r>
              <w:rPr>
                <w:rFonts w:ascii="Arial" w:cs="Arial" w:eastAsia="Arial" w:hAnsi="Arial"/>
                <w:sz w:val="10"/>
                <w:szCs w:val="10"/>
                <w:color w:val="auto"/>
                <w:w w:val="99"/>
              </w:rPr>
              <w:t>1,500,000 units of Class A-1 common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Business services</w:t>
            </w: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1/4/2016</w:t>
            </w:r>
          </w:p>
        </w:tc>
        <w:tc>
          <w:tcPr>
            <w:tcW w:w="60" w:type="dxa"/>
            <w:vAlign w:val="bottom"/>
          </w:tcPr>
          <w:p>
            <w:pPr>
              <w:spacing w:after="0"/>
              <w:rPr>
                <w:sz w:val="7"/>
                <w:szCs w:val="7"/>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tcPr>
          <w:p>
            <w:pPr>
              <w:spacing w:after="0"/>
              <w:rPr>
                <w:sz w:val="7"/>
                <w:szCs w:val="7"/>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1,500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1,343</w:t>
            </w:r>
          </w:p>
        </w:tc>
        <w:tc>
          <w:tcPr>
            <w:tcW w:w="0" w:type="dxa"/>
            <w:vAlign w:val="bottom"/>
          </w:tcPr>
          <w:p>
            <w:pPr>
              <w:spacing w:after="0"/>
              <w:rPr>
                <w:sz w:val="1"/>
                <w:szCs w:val="1"/>
                <w:color w:val="auto"/>
              </w:rPr>
            </w:pPr>
          </w:p>
        </w:tc>
      </w:tr>
      <w:tr>
        <w:trPr>
          <w:trHeight w:val="126"/>
        </w:trPr>
        <w:tc>
          <w:tcPr>
            <w:tcW w:w="2360" w:type="dxa"/>
            <w:vAlign w:val="bottom"/>
            <w:gridSpan w:val="2"/>
            <w:vMerge w:val="continue"/>
          </w:tcPr>
          <w:p>
            <w:pPr>
              <w:spacing w:after="0"/>
              <w:rPr>
                <w:sz w:val="10"/>
                <w:szCs w:val="10"/>
                <w:color w:val="auto"/>
              </w:rPr>
            </w:pP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stock</w:t>
            </w:r>
            <w:r>
              <w:rPr>
                <w:rFonts w:ascii="Arial" w:cs="Arial" w:eastAsia="Arial" w:hAnsi="Arial"/>
                <w:sz w:val="12"/>
                <w:szCs w:val="12"/>
                <w:color w:val="auto"/>
                <w:vertAlign w:val="superscript"/>
              </w:rPr>
              <w:t>9</w:t>
            </w:r>
          </w:p>
        </w:tc>
        <w:tc>
          <w:tcPr>
            <w:tcW w:w="142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DELPHI BEHAVIORAL HEALTH GROUP, LLC</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Healthcare services</w:t>
            </w:r>
          </w:p>
        </w:tc>
        <w:tc>
          <w:tcPr>
            <w:tcW w:w="1240" w:type="dxa"/>
            <w:vAlign w:val="bottom"/>
            <w:gridSpan w:val="2"/>
            <w:shd w:val="clear" w:color="auto" w:fill="CCEEFF"/>
          </w:tcPr>
          <w:p>
            <w:pPr>
              <w:jc w:val="center"/>
              <w:ind w:right="60"/>
              <w:spacing w:after="0" w:line="90" w:lineRule="exact"/>
              <w:rPr>
                <w:sz w:val="20"/>
                <w:szCs w:val="20"/>
                <w:color w:val="auto"/>
              </w:rPr>
            </w:pPr>
            <w:r>
              <w:rPr>
                <w:rFonts w:ascii="Arial" w:cs="Arial" w:eastAsia="Arial" w:hAnsi="Arial"/>
                <w:sz w:val="10"/>
                <w:szCs w:val="10"/>
                <w:color w:val="auto"/>
                <w:w w:val="90"/>
              </w:rPr>
              <w:t>L+9.50% (Floor 1.00%)/M,</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4/8/2020</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7"/>
              </w:rPr>
              <w:t>4/7/2023</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1,414</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1,414</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1,398</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Current Coupon 10.50%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90"/>
              </w:rPr>
              <w:t>L+7.50% (Floor 1.00%)/M,</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4/8/2020</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4/7/2023</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1,580</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1,580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1,500</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Current Coupon 8.50%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1,681.04 Common Units</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4/8/2020</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3,615</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3,615</w:t>
            </w: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6,609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6,513</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DYNAMIC COMMUNITIES, LLC</w:t>
            </w:r>
            <w:r>
              <w:rPr>
                <w:rFonts w:ascii="Arial" w:cs="Arial" w:eastAsia="Arial" w:hAnsi="Arial"/>
                <w:sz w:val="12"/>
                <w:szCs w:val="12"/>
                <w:b w:val="1"/>
                <w:bCs w:val="1"/>
                <w:color w:val="auto"/>
                <w:vertAlign w:val="superscript"/>
              </w:rPr>
              <w:t>13</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Business services</w:t>
            </w:r>
          </w:p>
        </w:tc>
        <w:tc>
          <w:tcPr>
            <w:tcW w:w="1240" w:type="dxa"/>
            <w:vAlign w:val="bottom"/>
            <w:gridSpan w:val="2"/>
            <w:shd w:val="clear" w:color="auto" w:fill="CCEEFF"/>
          </w:tcPr>
          <w:p>
            <w:pPr>
              <w:jc w:val="center"/>
              <w:ind w:right="60"/>
              <w:spacing w:after="0" w:line="92" w:lineRule="exact"/>
              <w:rPr>
                <w:sz w:val="20"/>
                <w:szCs w:val="20"/>
                <w:color w:val="auto"/>
              </w:rPr>
            </w:pPr>
            <w:r>
              <w:rPr>
                <w:rFonts w:ascii="Arial" w:cs="Arial" w:eastAsia="Arial" w:hAnsi="Arial"/>
                <w:sz w:val="10"/>
                <w:szCs w:val="10"/>
                <w:color w:val="auto"/>
                <w:w w:val="90"/>
              </w:rPr>
              <w:t>L+3.75%, 7.75% PIK (Floor</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7/17/2018</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7/17/2023</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vMerge w:val="continue"/>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1.00%)</w:t>
            </w:r>
          </w:p>
        </w:tc>
        <w:tc>
          <w:tcPr>
            <w:tcW w:w="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90"/>
              </w:rPr>
              <w:t>L+3.75%, 7.75% PIK (Floor</w:t>
            </w: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87"/>
              </w:rPr>
              <w:t>1.00%)/Q, Current Coupon</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5"/>
              </w:rPr>
              <w:t>7/17/2018</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7/17/2023</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11,061</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10,950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9,966</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color w:val="auto"/>
                <w:w w:val="88"/>
              </w:rPr>
              <w:t>12.50%</w:t>
            </w: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Senior subordinated debt</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2"/>
              </w:rPr>
              <w:t>25% PIK</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12/4/2020</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1/16/2024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w:t>
            </w:r>
          </w:p>
        </w:tc>
        <w:tc>
          <w:tcPr>
            <w:tcW w:w="0" w:type="dxa"/>
            <w:vAlign w:val="bottom"/>
          </w:tcPr>
          <w:p>
            <w:pPr>
              <w:spacing w:after="0"/>
              <w:rPr>
                <w:sz w:val="1"/>
                <w:szCs w:val="1"/>
                <w:color w:val="auto"/>
              </w:rPr>
            </w:pPr>
          </w:p>
        </w:tc>
      </w:tr>
      <w:tr>
        <w:trPr>
          <w:trHeight w:val="126"/>
        </w:trPr>
        <w:tc>
          <w:tcPr>
            <w:tcW w:w="2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gridSpan w:val="2"/>
          </w:tcPr>
          <w:p>
            <w:pPr>
              <w:ind w:left="20"/>
              <w:spacing w:after="0" w:line="126" w:lineRule="exact"/>
              <w:rPr>
                <w:sz w:val="20"/>
                <w:szCs w:val="20"/>
                <w:color w:val="auto"/>
              </w:rPr>
            </w:pPr>
            <w:r>
              <w:rPr>
                <w:rFonts w:ascii="Arial" w:cs="Arial" w:eastAsia="Arial" w:hAnsi="Arial"/>
                <w:sz w:val="10"/>
                <w:szCs w:val="10"/>
                <w:color w:val="auto"/>
              </w:rPr>
              <w:t>2,000,000 Preferred Units</w:t>
            </w:r>
            <w:r>
              <w:rPr>
                <w:rFonts w:ascii="Arial" w:cs="Arial" w:eastAsia="Arial" w:hAnsi="Arial"/>
                <w:sz w:val="12"/>
                <w:szCs w:val="12"/>
                <w:color w:val="auto"/>
                <w:vertAlign w:val="superscript"/>
              </w:rPr>
              <w:t>9</w:t>
            </w:r>
          </w:p>
        </w:tc>
        <w:tc>
          <w:tcPr>
            <w:tcW w:w="13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5"/>
              </w:rPr>
              <w:t>7/17/2018</w:t>
            </w:r>
          </w:p>
        </w:tc>
        <w:tc>
          <w:tcPr>
            <w:tcW w:w="6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16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2,000</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1,274</w:t>
            </w:r>
          </w:p>
        </w:tc>
        <w:tc>
          <w:tcPr>
            <w:tcW w:w="0" w:type="dxa"/>
            <w:vAlign w:val="bottom"/>
          </w:tcPr>
          <w:p>
            <w:pPr>
              <w:spacing w:after="0"/>
              <w:rPr>
                <w:sz w:val="1"/>
                <w:szCs w:val="1"/>
                <w:color w:val="auto"/>
              </w:rPr>
            </w:pPr>
          </w:p>
        </w:tc>
      </w:tr>
      <w:tr>
        <w:trPr>
          <w:trHeight w:val="115"/>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13,320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11,612</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140" w:right="299" w:bottom="1440" w:gutter="0" w:footer="0" w:header="0"/>
        </w:sectPr>
      </w:pPr>
    </w:p>
    <w:bookmarkStart w:id="24" w:name="page25"/>
    <w:bookmarkEnd w:id="24"/>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60" w:type="dxa"/>
            <w:vAlign w:val="bottom"/>
            <w:gridSpan w:val="2"/>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1700" w:type="dxa"/>
            <w:vAlign w:val="bottom"/>
            <w:gridSpan w:val="2"/>
          </w:tcPr>
          <w:p>
            <w:pPr>
              <w:ind w:left="4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1420" w:type="dxa"/>
            <w:vAlign w:val="bottom"/>
            <w:gridSpan w:val="2"/>
          </w:tcPr>
          <w:p>
            <w:pPr>
              <w:ind w:left="500"/>
              <w:spacing w:after="0"/>
              <w:rPr>
                <w:sz w:val="20"/>
                <w:szCs w:val="20"/>
                <w:color w:val="auto"/>
              </w:rPr>
            </w:pPr>
            <w:r>
              <w:rPr>
                <w:rFonts w:ascii="Arial" w:cs="Arial" w:eastAsia="Arial" w:hAnsi="Arial"/>
                <w:sz w:val="10"/>
                <w:szCs w:val="10"/>
                <w:b w:val="1"/>
                <w:bCs w:val="1"/>
                <w:color w:val="auto"/>
              </w:rPr>
              <w:t>Industry</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w w:val="95"/>
              </w:rPr>
              <w:t>Acquisition Date</w:t>
            </w:r>
            <w:r>
              <w:rPr>
                <w:rFonts w:ascii="Arial" w:cs="Arial" w:eastAsia="Arial" w:hAnsi="Arial"/>
                <w:sz w:val="12"/>
                <w:szCs w:val="12"/>
                <w:b w:val="1"/>
                <w:bCs w:val="1"/>
                <w:color w:val="auto"/>
                <w:w w:val="95"/>
                <w:vertAlign w:val="superscript"/>
              </w:rPr>
              <w:t>14</w:t>
            </w:r>
          </w:p>
        </w:tc>
        <w:tc>
          <w:tcPr>
            <w:tcW w:w="940" w:type="dxa"/>
            <w:vAlign w:val="bottom"/>
            <w:gridSpan w:val="2"/>
          </w:tcPr>
          <w:p>
            <w:pPr>
              <w:ind w:left="240"/>
              <w:spacing w:after="0"/>
              <w:rPr>
                <w:sz w:val="20"/>
                <w:szCs w:val="20"/>
                <w:color w:val="auto"/>
              </w:rPr>
            </w:pPr>
            <w:r>
              <w:rPr>
                <w:rFonts w:ascii="Arial" w:cs="Arial" w:eastAsia="Arial" w:hAnsi="Arial"/>
                <w:sz w:val="10"/>
                <w:szCs w:val="10"/>
                <w:b w:val="1"/>
                <w:bCs w:val="1"/>
                <w:color w:val="auto"/>
              </w:rPr>
              <w:t>Maturity</w:t>
            </w:r>
          </w:p>
        </w:tc>
        <w:tc>
          <w:tcPr>
            <w:tcW w:w="1120" w:type="dxa"/>
            <w:vAlign w:val="bottom"/>
            <w:gridSpan w:val="3"/>
          </w:tcPr>
          <w:p>
            <w:pPr>
              <w:jc w:val="right"/>
              <w:ind w:right="452"/>
              <w:spacing w:after="0"/>
              <w:rPr>
                <w:sz w:val="20"/>
                <w:szCs w:val="20"/>
                <w:color w:val="auto"/>
              </w:rPr>
            </w:pPr>
            <w:r>
              <w:rPr>
                <w:rFonts w:ascii="Arial" w:cs="Arial" w:eastAsia="Arial" w:hAnsi="Arial"/>
                <w:sz w:val="10"/>
                <w:szCs w:val="10"/>
                <w:b w:val="1"/>
                <w:bCs w:val="1"/>
                <w:color w:val="auto"/>
              </w:rPr>
              <w:t>Principal</w:t>
            </w:r>
          </w:p>
        </w:tc>
        <w:tc>
          <w:tcPr>
            <w:tcW w:w="740" w:type="dxa"/>
            <w:vAlign w:val="bottom"/>
            <w:gridSpan w:val="2"/>
          </w:tcPr>
          <w:p>
            <w:pPr>
              <w:ind w:left="120"/>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16</w:t>
            </w:r>
          </w:p>
        </w:tc>
        <w:tc>
          <w:tcPr>
            <w:tcW w:w="120" w:type="dxa"/>
            <w:vAlign w:val="bottom"/>
          </w:tcPr>
          <w:p>
            <w:pPr>
              <w:spacing w:after="0"/>
              <w:rPr>
                <w:sz w:val="12"/>
                <w:szCs w:val="12"/>
                <w:color w:val="auto"/>
              </w:rPr>
            </w:pPr>
          </w:p>
        </w:tc>
        <w:tc>
          <w:tcPr>
            <w:tcW w:w="740" w:type="dxa"/>
            <w:vAlign w:val="bottom"/>
          </w:tcPr>
          <w:p>
            <w:pPr>
              <w:jc w:val="right"/>
              <w:ind w:right="152"/>
              <w:spacing w:after="0"/>
              <w:rPr>
                <w:sz w:val="20"/>
                <w:szCs w:val="20"/>
                <w:color w:val="auto"/>
              </w:rPr>
            </w:pPr>
            <w:r>
              <w:rPr>
                <w:rFonts w:ascii="Arial" w:cs="Arial" w:eastAsia="Arial" w:hAnsi="Arial"/>
                <w:sz w:val="10"/>
                <w:szCs w:val="10"/>
                <w:b w:val="1"/>
                <w:bCs w:val="1"/>
                <w:color w:val="auto"/>
                <w:w w:val="99"/>
              </w:rPr>
              <w:t>Fair Value</w:t>
            </w:r>
            <w:r>
              <w:rPr>
                <w:rFonts w:ascii="Arial" w:cs="Arial" w:eastAsia="Arial" w:hAnsi="Arial"/>
                <w:sz w:val="12"/>
                <w:szCs w:val="12"/>
                <w:b w:val="1"/>
                <w:bCs w:val="1"/>
                <w:color w:val="auto"/>
                <w:w w:val="99"/>
                <w:vertAlign w:val="superscript"/>
              </w:rPr>
              <w:t>4</w:t>
            </w:r>
          </w:p>
        </w:tc>
        <w:tc>
          <w:tcPr>
            <w:tcW w:w="0" w:type="dxa"/>
            <w:vAlign w:val="bottom"/>
          </w:tcPr>
          <w:p>
            <w:pPr>
              <w:spacing w:after="0"/>
              <w:rPr>
                <w:sz w:val="1"/>
                <w:szCs w:val="1"/>
                <w:color w:val="auto"/>
              </w:rPr>
            </w:pPr>
          </w:p>
        </w:tc>
      </w:tr>
      <w:tr>
        <w:trPr>
          <w:trHeight w:val="115"/>
        </w:trPr>
        <w:tc>
          <w:tcPr>
            <w:tcW w:w="230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GRAMMATECH, INC.</w:t>
            </w:r>
          </w:p>
        </w:tc>
        <w:tc>
          <w:tcPr>
            <w:tcW w:w="60" w:type="dxa"/>
            <w:vAlign w:val="bottom"/>
          </w:tcPr>
          <w:p>
            <w:pPr>
              <w:spacing w:after="0"/>
              <w:rPr>
                <w:sz w:val="10"/>
                <w:szCs w:val="10"/>
                <w:color w:val="auto"/>
              </w:rPr>
            </w:pPr>
          </w:p>
        </w:tc>
        <w:tc>
          <w:tcPr>
            <w:tcW w:w="164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60" w:type="dxa"/>
            <w:vAlign w:val="bottom"/>
          </w:tcPr>
          <w:p>
            <w:pPr>
              <w:spacing w:after="0"/>
              <w:rPr>
                <w:sz w:val="10"/>
                <w:szCs w:val="10"/>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Software &amp; IT services</w:t>
            </w:r>
          </w:p>
        </w:tc>
        <w:tc>
          <w:tcPr>
            <w:tcW w:w="80" w:type="dxa"/>
            <w:vAlign w:val="bottom"/>
          </w:tcPr>
          <w:p>
            <w:pPr>
              <w:spacing w:after="0"/>
              <w:rPr>
                <w:sz w:val="10"/>
                <w:szCs w:val="10"/>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9"/>
              </w:rPr>
              <w:t>L+7.50% (Floor 2.00%)</w:t>
            </w:r>
          </w:p>
        </w:tc>
        <w:tc>
          <w:tcPr>
            <w:tcW w:w="60" w:type="dxa"/>
            <w:vAlign w:val="bottom"/>
          </w:tcPr>
          <w:p>
            <w:pPr>
              <w:spacing w:after="0"/>
              <w:rPr>
                <w:sz w:val="10"/>
                <w:szCs w:val="10"/>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5"/>
              </w:rPr>
              <w:t>11/1/2019</w:t>
            </w:r>
          </w:p>
        </w:tc>
        <w:tc>
          <w:tcPr>
            <w:tcW w:w="60" w:type="dxa"/>
            <w:vAlign w:val="bottom"/>
          </w:tcPr>
          <w:p>
            <w:pPr>
              <w:spacing w:after="0"/>
              <w:rPr>
                <w:sz w:val="10"/>
                <w:szCs w:val="10"/>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9"/>
              </w:rPr>
              <w:t>11/1/2024</w:t>
            </w:r>
          </w:p>
        </w:tc>
        <w:tc>
          <w:tcPr>
            <w:tcW w:w="100" w:type="dxa"/>
            <w:vAlign w:val="bottom"/>
          </w:tcPr>
          <w:p>
            <w:pPr>
              <w:spacing w:after="0"/>
              <w:rPr>
                <w:sz w:val="10"/>
                <w:szCs w:val="1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(31)</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L+7.50% (Floor 2.00%)/Q,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11/1/2019</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11/1/2024</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11,500</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11,346</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11,420</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9.50%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1,000 Class A units</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11/1/2019</w:t>
            </w:r>
          </w:p>
        </w:tc>
        <w:tc>
          <w:tcPr>
            <w:tcW w:w="6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1120" w:type="dxa"/>
            <w:vAlign w:val="bottom"/>
            <w:gridSpan w:val="3"/>
          </w:tcPr>
          <w:p>
            <w:pPr>
              <w:jc w:val="right"/>
              <w:ind w:right="25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1,208</w:t>
            </w:r>
          </w:p>
        </w:tc>
        <w:tc>
          <w:tcPr>
            <w:tcW w:w="0" w:type="dxa"/>
            <w:vAlign w:val="bottom"/>
          </w:tcPr>
          <w:p>
            <w:pPr>
              <w:spacing w:after="0"/>
              <w:rPr>
                <w:sz w:val="1"/>
                <w:szCs w:val="1"/>
                <w:color w:val="auto"/>
              </w:rPr>
            </w:pPr>
          </w:p>
        </w:tc>
      </w:tr>
      <w:tr>
        <w:trPr>
          <w:trHeight w:val="117"/>
        </w:trPr>
        <w:tc>
          <w:tcPr>
            <w:tcW w:w="2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12,315</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12,628</w:t>
            </w:r>
          </w:p>
        </w:tc>
        <w:tc>
          <w:tcPr>
            <w:tcW w:w="0" w:type="dxa"/>
            <w:vAlign w:val="bottom"/>
          </w:tcPr>
          <w:p>
            <w:pPr>
              <w:spacing w:after="0"/>
              <w:rPr>
                <w:sz w:val="1"/>
                <w:szCs w:val="1"/>
                <w:color w:val="auto"/>
              </w:rPr>
            </w:pPr>
          </w:p>
        </w:tc>
      </w:tr>
      <w:tr>
        <w:trPr>
          <w:trHeight w:val="126"/>
        </w:trPr>
        <w:tc>
          <w:tcPr>
            <w:tcW w:w="236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ITA HOLDINGS GROUP, LLC</w:t>
            </w:r>
            <w:r>
              <w:rPr>
                <w:rFonts w:ascii="Arial" w:cs="Arial" w:eastAsia="Arial" w:hAnsi="Arial"/>
                <w:sz w:val="12"/>
                <w:szCs w:val="12"/>
                <w:b w:val="1"/>
                <w:bCs w:val="1"/>
                <w:color w:val="auto"/>
                <w:vertAlign w:val="superscript"/>
              </w:rPr>
              <w:t>13</w:t>
            </w: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Revolving Loan</w:t>
            </w:r>
            <w:r>
              <w:rPr>
                <w:rFonts w:ascii="Arial" w:cs="Arial" w:eastAsia="Arial" w:hAnsi="Arial"/>
                <w:sz w:val="12"/>
                <w:szCs w:val="12"/>
                <w:color w:val="auto"/>
                <w:vertAlign w:val="superscript"/>
              </w:rPr>
              <w:t>10</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Transportation &amp; logistics</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L+9.00% (Floor 1.00%)</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2/14/2018</w:t>
            </w: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89"/>
              </w:rPr>
              <w:t>2/14/2023</w:t>
            </w:r>
          </w:p>
        </w:tc>
        <w:tc>
          <w:tcPr>
            <w:tcW w:w="100" w:type="dxa"/>
            <w:vAlign w:val="bottom"/>
          </w:tcPr>
          <w:p>
            <w:pPr>
              <w:spacing w:after="0"/>
              <w:rPr>
                <w:sz w:val="10"/>
                <w:szCs w:val="10"/>
                <w:color w:val="auto"/>
              </w:rPr>
            </w:pPr>
          </w:p>
        </w:tc>
        <w:tc>
          <w:tcPr>
            <w:tcW w:w="1120" w:type="dxa"/>
            <w:vAlign w:val="bottom"/>
            <w:gridSpan w:val="3"/>
          </w:tcPr>
          <w:p>
            <w:pPr>
              <w:jc w:val="right"/>
              <w:ind w:right="25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 - Term Loan</w:t>
            </w: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center"/>
              <w:ind w:right="80"/>
              <w:spacing w:after="0" w:line="90" w:lineRule="exact"/>
              <w:rPr>
                <w:sz w:val="20"/>
                <w:szCs w:val="20"/>
                <w:color w:val="auto"/>
              </w:rPr>
            </w:pPr>
            <w:r>
              <w:rPr>
                <w:rFonts w:ascii="Arial" w:cs="Arial" w:eastAsia="Arial" w:hAnsi="Arial"/>
                <w:sz w:val="10"/>
                <w:szCs w:val="10"/>
                <w:color w:val="auto"/>
                <w:w w:val="89"/>
              </w:rPr>
              <w:t>L+7.00% (Floor 1.00%)/Q,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2/14/2018</w:t>
            </w:r>
          </w:p>
        </w:tc>
        <w:tc>
          <w:tcPr>
            <w:tcW w:w="6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2/14/2023</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10,071</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9,996</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10,061</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8.00%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 - Term B Loan</w:t>
            </w: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90"/>
              </w:rPr>
              <w:t>L+10.00% (Floor 1.00%)/Q,</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6/5/2018</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9"/>
              </w:rPr>
              <w:t>2/14/2023</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5,036</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4,984</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5,101</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87"/>
              </w:rPr>
              <w:t>Current Coupon 11.00%</w:t>
            </w: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First Lien - PIK Note A</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0"/>
              </w:rPr>
              <w:t>10.00% PIK</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3/29/2019</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2/14/2023</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2,630</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First Lien - PIK Note B</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color w:val="auto"/>
                <w:w w:val="90"/>
              </w:rPr>
              <w:t>10.00% PIK</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3/29/2019</w:t>
            </w: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89"/>
              </w:rPr>
              <w:t>2/14/2023</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106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103</w:t>
            </w:r>
          </w:p>
        </w:tc>
        <w:tc>
          <w:tcPr>
            <w:tcW w:w="0" w:type="dxa"/>
            <w:vAlign w:val="bottom"/>
          </w:tcPr>
          <w:p>
            <w:pPr>
              <w:spacing w:after="0"/>
              <w:rPr>
                <w:sz w:val="1"/>
                <w:szCs w:val="1"/>
                <w:color w:val="auto"/>
              </w:rPr>
            </w:pPr>
          </w:p>
        </w:tc>
      </w:tr>
      <w:tr>
        <w:trPr>
          <w:trHeight w:val="128"/>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w w:val="93"/>
              </w:rPr>
              <w:t>Warrants (Expiration - March 29, 2029)</w:t>
            </w:r>
            <w:r>
              <w:rPr>
                <w:rFonts w:ascii="Arial" w:cs="Arial" w:eastAsia="Arial" w:hAnsi="Arial"/>
                <w:sz w:val="12"/>
                <w:szCs w:val="12"/>
                <w:color w:val="auto"/>
                <w:w w:val="93"/>
                <w:vertAlign w:val="superscript"/>
              </w:rPr>
              <w:t>9</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3/29/2019</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1120" w:type="dxa"/>
            <w:vAlign w:val="bottom"/>
            <w:gridSpan w:val="3"/>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2,968</w:t>
            </w: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9.25% Class A Membership Interest</w:t>
            </w:r>
            <w:r>
              <w:rPr>
                <w:rFonts w:ascii="Arial" w:cs="Arial" w:eastAsia="Arial" w:hAnsi="Arial"/>
                <w:sz w:val="12"/>
                <w:szCs w:val="12"/>
                <w:color w:val="auto"/>
                <w:vertAlign w:val="superscript"/>
              </w:rPr>
              <w:t>9</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2/14/2018</w:t>
            </w:r>
          </w:p>
        </w:tc>
        <w:tc>
          <w:tcPr>
            <w:tcW w:w="6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1120" w:type="dxa"/>
            <w:vAlign w:val="bottom"/>
            <w:gridSpan w:val="3"/>
          </w:tcPr>
          <w:p>
            <w:pPr>
              <w:jc w:val="right"/>
              <w:ind w:right="25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1,500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2,532</w:t>
            </w:r>
          </w:p>
        </w:tc>
        <w:tc>
          <w:tcPr>
            <w:tcW w:w="0" w:type="dxa"/>
            <w:vAlign w:val="bottom"/>
          </w:tcPr>
          <w:p>
            <w:pPr>
              <w:spacing w:after="0"/>
              <w:rPr>
                <w:sz w:val="1"/>
                <w:szCs w:val="1"/>
                <w:color w:val="auto"/>
              </w:rPr>
            </w:pPr>
          </w:p>
        </w:tc>
      </w:tr>
      <w:tr>
        <w:trPr>
          <w:trHeight w:val="115"/>
        </w:trPr>
        <w:tc>
          <w:tcPr>
            <w:tcW w:w="2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19,383</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23,395</w:t>
            </w: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color w:val="auto"/>
                <w:w w:val="90"/>
              </w:rPr>
              <w:t>L+17.00% PIK (Floor</w:t>
            </w: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SIMR, LLC</w:t>
            </w:r>
          </w:p>
        </w:tc>
        <w:tc>
          <w:tcPr>
            <w:tcW w:w="1700" w:type="dxa"/>
            <w:vAlign w:val="bottom"/>
            <w:gridSpan w:val="2"/>
            <w:vMerge w:val="restart"/>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color w:val="auto"/>
              </w:rPr>
              <w:t>Healthcare services</w:t>
            </w:r>
          </w:p>
        </w:tc>
        <w:tc>
          <w:tcPr>
            <w:tcW w:w="1240" w:type="dxa"/>
            <w:vAlign w:val="bottom"/>
            <w:gridSpan w:val="2"/>
          </w:tcPr>
          <w:p>
            <w:pPr>
              <w:jc w:val="center"/>
              <w:ind w:right="60"/>
              <w:spacing w:after="0" w:line="90" w:lineRule="exact"/>
              <w:rPr>
                <w:sz w:val="20"/>
                <w:szCs w:val="20"/>
                <w:color w:val="auto"/>
              </w:rPr>
            </w:pPr>
            <w:r>
              <w:rPr>
                <w:rFonts w:ascii="Arial" w:cs="Arial" w:eastAsia="Arial" w:hAnsi="Arial"/>
                <w:sz w:val="10"/>
                <w:szCs w:val="10"/>
                <w:color w:val="auto"/>
                <w:w w:val="88"/>
              </w:rPr>
              <w:t>2.00%)/M, Current Coupon</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auto"/>
                <w:w w:val="87"/>
              </w:rPr>
              <w:t>9/7/2018</w:t>
            </w:r>
          </w:p>
        </w:tc>
        <w:tc>
          <w:tcPr>
            <w:tcW w:w="6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87"/>
              </w:rPr>
              <w:t>9/7/2023</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13,661</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13,527</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12,103</w:t>
            </w:r>
          </w:p>
        </w:tc>
        <w:tc>
          <w:tcPr>
            <w:tcW w:w="0" w:type="dxa"/>
            <w:vAlign w:val="bottom"/>
          </w:tcPr>
          <w:p>
            <w:pPr>
              <w:spacing w:after="0"/>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color w:val="auto"/>
                <w:w w:val="88"/>
              </w:rPr>
              <w:t>19.00%</w:t>
            </w: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9,374,510.2 Class B Common Units</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9/7/2018</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79"/>
              </w:rPr>
              <w:t>—</w:t>
            </w:r>
          </w:p>
        </w:tc>
        <w:tc>
          <w:tcPr>
            <w:tcW w:w="1120" w:type="dxa"/>
            <w:vAlign w:val="bottom"/>
            <w:gridSpan w:val="3"/>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6,107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19,634</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12,103</w:t>
            </w:r>
          </w:p>
        </w:tc>
        <w:tc>
          <w:tcPr>
            <w:tcW w:w="0" w:type="dxa"/>
            <w:vAlign w:val="bottom"/>
          </w:tcPr>
          <w:p>
            <w:pPr>
              <w:spacing w:after="0"/>
              <w:rPr>
                <w:sz w:val="1"/>
                <w:szCs w:val="1"/>
                <w:color w:val="auto"/>
              </w:rPr>
            </w:pPr>
          </w:p>
        </w:tc>
      </w:tr>
      <w:tr>
        <w:trPr>
          <w:trHeight w:val="92"/>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0"/>
                <w:szCs w:val="10"/>
                <w:b w:val="1"/>
                <w:bCs w:val="1"/>
                <w:color w:val="auto"/>
              </w:rPr>
              <w:t>SONOBI, INC.</w:t>
            </w:r>
            <w:r>
              <w:rPr>
                <w:rFonts w:ascii="Arial" w:cs="Arial" w:eastAsia="Arial" w:hAnsi="Arial"/>
                <w:sz w:val="12"/>
                <w:szCs w:val="12"/>
                <w:b w:val="1"/>
                <w:bCs w:val="1"/>
                <w:color w:val="auto"/>
                <w:vertAlign w:val="superscript"/>
              </w:rPr>
              <w:t>13</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First Lien</w:t>
            </w:r>
          </w:p>
        </w:tc>
        <w:tc>
          <w:tcPr>
            <w:tcW w:w="1420" w:type="dxa"/>
            <w:vAlign w:val="bottom"/>
            <w:gridSpan w:val="2"/>
            <w:shd w:val="clear" w:color="auto" w:fill="CCEEFF"/>
          </w:tcPr>
          <w:p>
            <w:pPr>
              <w:ind w:left="20"/>
              <w:spacing w:after="0" w:line="92" w:lineRule="exact"/>
              <w:rPr>
                <w:sz w:val="20"/>
                <w:szCs w:val="20"/>
                <w:color w:val="auto"/>
              </w:rPr>
            </w:pPr>
            <w:r>
              <w:rPr>
                <w:rFonts w:ascii="Arial" w:cs="Arial" w:eastAsia="Arial" w:hAnsi="Arial"/>
                <w:sz w:val="10"/>
                <w:szCs w:val="10"/>
                <w:color w:val="auto"/>
              </w:rPr>
              <w:t>Media, marketing, &amp;</w:t>
            </w:r>
          </w:p>
        </w:tc>
        <w:tc>
          <w:tcPr>
            <w:tcW w:w="1240" w:type="dxa"/>
            <w:vAlign w:val="bottom"/>
            <w:gridSpan w:val="2"/>
            <w:shd w:val="clear" w:color="auto" w:fill="CCEEFF"/>
          </w:tcPr>
          <w:p>
            <w:pPr>
              <w:jc w:val="center"/>
              <w:ind w:right="80"/>
              <w:spacing w:after="0" w:line="92" w:lineRule="exact"/>
              <w:rPr>
                <w:sz w:val="20"/>
                <w:szCs w:val="20"/>
                <w:color w:val="auto"/>
              </w:rPr>
            </w:pPr>
            <w:r>
              <w:rPr>
                <w:rFonts w:ascii="Arial" w:cs="Arial" w:eastAsia="Arial" w:hAnsi="Arial"/>
                <w:sz w:val="10"/>
                <w:szCs w:val="10"/>
                <w:color w:val="auto"/>
                <w:w w:val="89"/>
              </w:rPr>
              <w:t>L+8.00% (Floor 1.00%)/Q,</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5"/>
              </w:rPr>
              <w:t>9/17/2020</w:t>
            </w:r>
          </w:p>
        </w:tc>
        <w:tc>
          <w:tcPr>
            <w:tcW w:w="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89"/>
              </w:rPr>
              <w:t>9/16/2025</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8,500</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8,344</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8,500</w:t>
            </w:r>
          </w:p>
        </w:tc>
        <w:tc>
          <w:tcPr>
            <w:tcW w:w="0" w:type="dxa"/>
            <w:vAlign w:val="bottom"/>
          </w:tcPr>
          <w:p>
            <w:pPr>
              <w:spacing w:after="0"/>
              <w:rPr>
                <w:sz w:val="1"/>
                <w:szCs w:val="1"/>
                <w:color w:val="auto"/>
              </w:rPr>
            </w:pPr>
          </w:p>
        </w:tc>
      </w:tr>
      <w:tr>
        <w:trPr>
          <w:trHeight w:val="126"/>
        </w:trPr>
        <w:tc>
          <w:tcPr>
            <w:tcW w:w="236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entertainment</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Current Coupon 9.00%</w:t>
            </w: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ind w:left="20"/>
              <w:spacing w:after="0" w:line="126" w:lineRule="exact"/>
              <w:rPr>
                <w:sz w:val="20"/>
                <w:szCs w:val="20"/>
                <w:color w:val="auto"/>
              </w:rPr>
            </w:pPr>
            <w:r>
              <w:rPr>
                <w:rFonts w:ascii="Arial" w:cs="Arial" w:eastAsia="Arial" w:hAnsi="Arial"/>
                <w:sz w:val="10"/>
                <w:szCs w:val="10"/>
                <w:color w:val="auto"/>
              </w:rPr>
              <w:t>500,000 Class A Common Units</w:t>
            </w:r>
            <w:r>
              <w:rPr>
                <w:rFonts w:ascii="Arial" w:cs="Arial" w:eastAsia="Arial" w:hAnsi="Arial"/>
                <w:sz w:val="12"/>
                <w:szCs w:val="12"/>
                <w:color w:val="auto"/>
                <w:vertAlign w:val="superscript"/>
              </w:rPr>
              <w:t>9</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9/17/2020</w:t>
            </w:r>
          </w:p>
        </w:tc>
        <w:tc>
          <w:tcPr>
            <w:tcW w:w="6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1120" w:type="dxa"/>
            <w:vAlign w:val="bottom"/>
            <w:gridSpan w:val="3"/>
          </w:tcPr>
          <w:p>
            <w:pPr>
              <w:jc w:val="right"/>
              <w:ind w:right="25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500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1,235</w:t>
            </w:r>
          </w:p>
        </w:tc>
        <w:tc>
          <w:tcPr>
            <w:tcW w:w="0" w:type="dxa"/>
            <w:vAlign w:val="bottom"/>
          </w:tcPr>
          <w:p>
            <w:pPr>
              <w:spacing w:after="0"/>
              <w:rPr>
                <w:sz w:val="1"/>
                <w:szCs w:val="1"/>
                <w:color w:val="auto"/>
              </w:rPr>
            </w:pPr>
          </w:p>
        </w:tc>
      </w:tr>
      <w:tr>
        <w:trPr>
          <w:trHeight w:val="115"/>
        </w:trPr>
        <w:tc>
          <w:tcPr>
            <w:tcW w:w="2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8,844</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9,735</w:t>
            </w:r>
          </w:p>
        </w:tc>
        <w:tc>
          <w:tcPr>
            <w:tcW w:w="0" w:type="dxa"/>
            <w:vAlign w:val="bottom"/>
          </w:tcPr>
          <w:p>
            <w:pPr>
              <w:spacing w:after="0"/>
              <w:rPr>
                <w:sz w:val="1"/>
                <w:szCs w:val="1"/>
                <w:color w:val="auto"/>
              </w:rPr>
            </w:pPr>
          </w:p>
        </w:tc>
      </w:tr>
      <w:tr>
        <w:trPr>
          <w:trHeight w:val="144"/>
        </w:trPr>
        <w:tc>
          <w:tcPr>
            <w:tcW w:w="23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360" w:type="dxa"/>
            <w:vAlign w:val="bottom"/>
            <w:gridSpan w:val="2"/>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Total Affiliate Investments</w:t>
            </w:r>
          </w:p>
        </w:tc>
        <w:tc>
          <w:tcPr>
            <w:tcW w:w="1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color w:val="auto"/>
              </w:rPr>
              <w:t>90,201</w:t>
            </w: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12"/>
              <w:spacing w:after="0" w:line="113" w:lineRule="exact"/>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color w:val="auto"/>
              </w:rPr>
              <w:t>85,246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140" w:right="299" w:bottom="1440" w:gutter="0" w:footer="0" w:header="0"/>
        </w:sectPr>
      </w:pPr>
    </w:p>
    <w:bookmarkStart w:id="25" w:name="page26"/>
    <w:bookmarkEnd w:id="25"/>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SCHEDULE OF INVESTMENTS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March 31, 2021</w:t>
      </w:r>
    </w:p>
    <w:p>
      <w:pPr>
        <w:spacing w:after="0" w:line="160" w:lineRule="exact"/>
        <w:rPr>
          <w:sz w:val="20"/>
          <w:szCs w:val="20"/>
          <w:color w:val="auto"/>
        </w:rPr>
      </w:pPr>
    </w:p>
    <w:tbl>
      <w:tblPr>
        <w:tblLayout w:type="fixed"/>
        <w:tblInd w:w="8" w:type="dxa"/>
        <w:tblCellMar>
          <w:top w:w="0" w:type="dxa"/>
          <w:left w:w="0" w:type="dxa"/>
          <w:bottom w:w="0" w:type="dxa"/>
          <w:right w:w="0" w:type="dxa"/>
        </w:tblCellMar>
      </w:tblPr>
      <w:tr>
        <w:trPr>
          <w:trHeight w:val="143"/>
        </w:trPr>
        <w:tc>
          <w:tcPr>
            <w:tcW w:w="2360" w:type="dxa"/>
            <w:vAlign w:val="bottom"/>
            <w:gridSpan w:val="2"/>
          </w:tcPr>
          <w:p>
            <w:pPr>
              <w:spacing w:after="0"/>
              <w:rPr>
                <w:sz w:val="20"/>
                <w:szCs w:val="20"/>
                <w:color w:val="auto"/>
              </w:rPr>
            </w:pPr>
            <w:r>
              <w:rPr>
                <w:rFonts w:ascii="Arial" w:cs="Arial" w:eastAsia="Arial" w:hAnsi="Arial"/>
                <w:sz w:val="10"/>
                <w:szCs w:val="10"/>
                <w:b w:val="1"/>
                <w:bCs w:val="1"/>
                <w:color w:val="auto"/>
              </w:rPr>
              <w:t>Portfolio Company</w:t>
            </w:r>
            <w:r>
              <w:rPr>
                <w:rFonts w:ascii="Arial" w:cs="Arial" w:eastAsia="Arial" w:hAnsi="Arial"/>
                <w:sz w:val="12"/>
                <w:szCs w:val="12"/>
                <w:b w:val="1"/>
                <w:bCs w:val="1"/>
                <w:color w:val="auto"/>
                <w:vertAlign w:val="superscript"/>
              </w:rPr>
              <w:t>1</w:t>
            </w:r>
          </w:p>
        </w:tc>
        <w:tc>
          <w:tcPr>
            <w:tcW w:w="1700" w:type="dxa"/>
            <w:vAlign w:val="bottom"/>
            <w:gridSpan w:val="2"/>
          </w:tcPr>
          <w:p>
            <w:pPr>
              <w:ind w:left="420"/>
              <w:spacing w:after="0"/>
              <w:rPr>
                <w:sz w:val="20"/>
                <w:szCs w:val="20"/>
                <w:color w:val="auto"/>
              </w:rPr>
            </w:pPr>
            <w:r>
              <w:rPr>
                <w:rFonts w:ascii="Arial" w:cs="Arial" w:eastAsia="Arial" w:hAnsi="Arial"/>
                <w:sz w:val="10"/>
                <w:szCs w:val="10"/>
                <w:b w:val="1"/>
                <w:bCs w:val="1"/>
                <w:color w:val="auto"/>
              </w:rPr>
              <w:t>Type of Investment</w:t>
            </w:r>
            <w:r>
              <w:rPr>
                <w:rFonts w:ascii="Arial" w:cs="Arial" w:eastAsia="Arial" w:hAnsi="Arial"/>
                <w:sz w:val="12"/>
                <w:szCs w:val="12"/>
                <w:b w:val="1"/>
                <w:bCs w:val="1"/>
                <w:color w:val="auto"/>
                <w:vertAlign w:val="superscript"/>
              </w:rPr>
              <w:t>2</w:t>
            </w:r>
          </w:p>
        </w:tc>
        <w:tc>
          <w:tcPr>
            <w:tcW w:w="14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Industry</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Current Interest Rate</w:t>
            </w:r>
            <w:r>
              <w:rPr>
                <w:rFonts w:ascii="Arial" w:cs="Arial" w:eastAsia="Arial" w:hAnsi="Arial"/>
                <w:sz w:val="12"/>
                <w:szCs w:val="12"/>
                <w:b w:val="1"/>
                <w:bCs w:val="1"/>
                <w:color w:val="auto"/>
                <w:w w:val="88"/>
                <w:vertAlign w:val="superscript"/>
              </w:rPr>
              <w:t>3</w:t>
            </w:r>
          </w:p>
        </w:tc>
        <w:tc>
          <w:tcPr>
            <w:tcW w:w="9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Acquisition Date</w:t>
            </w:r>
            <w:r>
              <w:rPr>
                <w:rFonts w:ascii="Arial" w:cs="Arial" w:eastAsia="Arial" w:hAnsi="Arial"/>
                <w:sz w:val="12"/>
                <w:szCs w:val="12"/>
                <w:b w:val="1"/>
                <w:bCs w:val="1"/>
                <w:color w:val="auto"/>
                <w:w w:val="84"/>
                <w:vertAlign w:val="superscript"/>
              </w:rPr>
              <w:t>14</w:t>
            </w:r>
          </w:p>
        </w:tc>
        <w:tc>
          <w:tcPr>
            <w:tcW w:w="9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Maturity</w:t>
            </w:r>
          </w:p>
        </w:tc>
        <w:tc>
          <w:tcPr>
            <w:tcW w:w="1120" w:type="dxa"/>
            <w:vAlign w:val="bottom"/>
            <w:gridSpan w:val="3"/>
          </w:tcPr>
          <w:p>
            <w:pPr>
              <w:jc w:val="right"/>
              <w:ind w:right="452"/>
              <w:spacing w:after="0"/>
              <w:rPr>
                <w:sz w:val="20"/>
                <w:szCs w:val="20"/>
                <w:color w:val="auto"/>
              </w:rPr>
            </w:pPr>
            <w:r>
              <w:rPr>
                <w:rFonts w:ascii="Arial" w:cs="Arial" w:eastAsia="Arial" w:hAnsi="Arial"/>
                <w:sz w:val="10"/>
                <w:szCs w:val="10"/>
                <w:b w:val="1"/>
                <w:bCs w:val="1"/>
                <w:color w:val="auto"/>
              </w:rPr>
              <w:t>Principal</w:t>
            </w:r>
          </w:p>
        </w:tc>
        <w:tc>
          <w:tcPr>
            <w:tcW w:w="740" w:type="dxa"/>
            <w:vAlign w:val="bottom"/>
            <w:gridSpan w:val="2"/>
          </w:tcPr>
          <w:p>
            <w:pPr>
              <w:ind w:left="120"/>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16</w:t>
            </w:r>
          </w:p>
        </w:tc>
        <w:tc>
          <w:tcPr>
            <w:tcW w:w="120" w:type="dxa"/>
            <w:vAlign w:val="bottom"/>
          </w:tcPr>
          <w:p>
            <w:pPr>
              <w:spacing w:after="0"/>
              <w:rPr>
                <w:sz w:val="12"/>
                <w:szCs w:val="12"/>
                <w:color w:val="auto"/>
              </w:rPr>
            </w:pPr>
          </w:p>
        </w:tc>
        <w:tc>
          <w:tcPr>
            <w:tcW w:w="740" w:type="dxa"/>
            <w:vAlign w:val="bottom"/>
          </w:tcPr>
          <w:p>
            <w:pPr>
              <w:jc w:val="right"/>
              <w:ind w:right="152"/>
              <w:spacing w:after="0"/>
              <w:rPr>
                <w:sz w:val="20"/>
                <w:szCs w:val="20"/>
                <w:color w:val="auto"/>
              </w:rPr>
            </w:pPr>
            <w:r>
              <w:rPr>
                <w:rFonts w:ascii="Arial" w:cs="Arial" w:eastAsia="Arial" w:hAnsi="Arial"/>
                <w:sz w:val="10"/>
                <w:szCs w:val="10"/>
                <w:b w:val="1"/>
                <w:bCs w:val="1"/>
                <w:color w:val="auto"/>
                <w:w w:val="99"/>
              </w:rPr>
              <w:t>Fair Value</w:t>
            </w:r>
            <w:r>
              <w:rPr>
                <w:rFonts w:ascii="Arial" w:cs="Arial" w:eastAsia="Arial" w:hAnsi="Arial"/>
                <w:sz w:val="12"/>
                <w:szCs w:val="12"/>
                <w:b w:val="1"/>
                <w:bCs w:val="1"/>
                <w:color w:val="auto"/>
                <w:w w:val="99"/>
                <w:vertAlign w:val="superscript"/>
              </w:rPr>
              <w:t>4</w:t>
            </w:r>
          </w:p>
        </w:tc>
      </w:tr>
      <w:tr>
        <w:trPr>
          <w:trHeight w:val="115"/>
        </w:trPr>
        <w:tc>
          <w:tcPr>
            <w:tcW w:w="23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0"/>
                <w:szCs w:val="10"/>
                <w:b w:val="1"/>
                <w:bCs w:val="1"/>
                <w:color w:val="auto"/>
              </w:rPr>
              <w:t>Control Investments</w:t>
            </w:r>
            <w:r>
              <w:rPr>
                <w:rFonts w:ascii="Arial" w:cs="Arial" w:eastAsia="Arial" w:hAnsi="Arial"/>
                <w:sz w:val="12"/>
                <w:szCs w:val="12"/>
                <w:b w:val="1"/>
                <w:bCs w:val="1"/>
                <w:color w:val="auto"/>
                <w:vertAlign w:val="superscript"/>
              </w:rPr>
              <w:t>7</w:t>
            </w:r>
          </w:p>
        </w:tc>
        <w:tc>
          <w:tcPr>
            <w:tcW w:w="6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r>
      <w:tr>
        <w:trPr>
          <w:trHeight w:val="126"/>
        </w:trPr>
        <w:tc>
          <w:tcPr>
            <w:tcW w:w="236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I-45 SLF LLC</w:t>
            </w:r>
            <w:r>
              <w:rPr>
                <w:rFonts w:ascii="Arial" w:cs="Arial" w:eastAsia="Arial" w:hAnsi="Arial"/>
                <w:sz w:val="12"/>
                <w:szCs w:val="12"/>
                <w:b w:val="1"/>
                <w:bCs w:val="1"/>
                <w:color w:val="auto"/>
                <w:vertAlign w:val="superscript"/>
              </w:rPr>
              <w:t>9,11</w:t>
            </w: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80% LLC equity interest</w:t>
            </w:r>
          </w:p>
        </w:tc>
        <w:tc>
          <w:tcPr>
            <w:tcW w:w="1420" w:type="dxa"/>
            <w:vAlign w:val="bottom"/>
            <w:gridSpan w:val="2"/>
          </w:tcPr>
          <w:p>
            <w:pPr>
              <w:jc w:val="right"/>
              <w:ind w:right="580"/>
              <w:spacing w:after="0"/>
              <w:rPr>
                <w:sz w:val="20"/>
                <w:szCs w:val="20"/>
                <w:color w:val="auto"/>
              </w:rPr>
            </w:pPr>
            <w:r>
              <w:rPr>
                <w:rFonts w:ascii="Arial" w:cs="Arial" w:eastAsia="Arial" w:hAnsi="Arial"/>
                <w:sz w:val="10"/>
                <w:szCs w:val="10"/>
                <w:color w:val="auto"/>
                <w:w w:val="89"/>
              </w:rPr>
              <w:t>Multi-sector holdings</w:t>
            </w:r>
          </w:p>
        </w:tc>
        <w:tc>
          <w:tcPr>
            <w:tcW w:w="1240" w:type="dxa"/>
            <w:vAlign w:val="bottom"/>
            <w:gridSpan w:val="2"/>
          </w:tcPr>
          <w:p>
            <w:pPr>
              <w:jc w:val="center"/>
              <w:ind w:right="60"/>
              <w:spacing w:after="0"/>
              <w:rPr>
                <w:sz w:val="20"/>
                <w:szCs w:val="20"/>
                <w:color w:val="auto"/>
              </w:rPr>
            </w:pPr>
            <w:r>
              <w:rPr>
                <w:rFonts w:ascii="Arial" w:cs="Arial" w:eastAsia="Arial" w:hAnsi="Arial"/>
                <w:sz w:val="10"/>
                <w:szCs w:val="10"/>
                <w:color w:val="auto"/>
                <w:w w:val="99"/>
              </w:rPr>
              <w:t>—</w:t>
            </w:r>
          </w:p>
        </w:tc>
        <w:tc>
          <w:tcPr>
            <w:tcW w:w="860" w:type="dxa"/>
            <w:vAlign w:val="bottom"/>
          </w:tcPr>
          <w:p>
            <w:pPr>
              <w:jc w:val="right"/>
              <w:ind w:right="152"/>
              <w:spacing w:after="0"/>
              <w:rPr>
                <w:sz w:val="20"/>
                <w:szCs w:val="20"/>
                <w:color w:val="auto"/>
              </w:rPr>
            </w:pPr>
            <w:r>
              <w:rPr>
                <w:rFonts w:ascii="Arial" w:cs="Arial" w:eastAsia="Arial" w:hAnsi="Arial"/>
                <w:sz w:val="10"/>
                <w:szCs w:val="10"/>
                <w:color w:val="auto"/>
              </w:rPr>
              <w:t>10/20/2015</w:t>
            </w:r>
          </w:p>
        </w:tc>
        <w:tc>
          <w:tcPr>
            <w:tcW w:w="6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1120" w:type="dxa"/>
            <w:vAlign w:val="bottom"/>
            <w:gridSpan w:val="3"/>
          </w:tcPr>
          <w:p>
            <w:pPr>
              <w:jc w:val="right"/>
              <w:ind w:right="72"/>
              <w:spacing w:after="0"/>
              <w:rPr>
                <w:sz w:val="20"/>
                <w:szCs w:val="20"/>
                <w:color w:val="auto"/>
              </w:rPr>
            </w:pPr>
            <w:r>
              <w:rPr>
                <w:rFonts w:ascii="Arial" w:cs="Arial" w:eastAsia="Arial" w:hAnsi="Arial"/>
                <w:sz w:val="10"/>
                <w:szCs w:val="10"/>
                <w:color w:val="auto"/>
              </w:rPr>
              <w:t>—   $</w:t>
            </w:r>
          </w:p>
        </w:tc>
        <w:tc>
          <w:tcPr>
            <w:tcW w:w="660" w:type="dxa"/>
            <w:vAlign w:val="bottom"/>
          </w:tcPr>
          <w:p>
            <w:pPr>
              <w:jc w:val="right"/>
              <w:spacing w:after="0"/>
              <w:rPr>
                <w:sz w:val="20"/>
                <w:szCs w:val="20"/>
                <w:color w:val="auto"/>
              </w:rPr>
            </w:pPr>
            <w:r>
              <w:rPr>
                <w:rFonts w:ascii="Arial" w:cs="Arial" w:eastAsia="Arial" w:hAnsi="Arial"/>
                <w:sz w:val="10"/>
                <w:szCs w:val="10"/>
                <w:color w:val="auto"/>
              </w:rPr>
              <w:t>72,800</w:t>
            </w:r>
          </w:p>
        </w:tc>
        <w:tc>
          <w:tcPr>
            <w:tcW w:w="8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57,158</w:t>
            </w:r>
          </w:p>
        </w:tc>
      </w:tr>
      <w:tr>
        <w:trPr>
          <w:trHeight w:val="144"/>
        </w:trPr>
        <w:tc>
          <w:tcPr>
            <w:tcW w:w="2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r>
      <w:tr>
        <w:trPr>
          <w:trHeight w:val="113"/>
        </w:trPr>
        <w:tc>
          <w:tcPr>
            <w:tcW w:w="2360" w:type="dxa"/>
            <w:vAlign w:val="bottom"/>
            <w:tcBorders>
              <w:bottom w:val="single" w:sz="8" w:color="CCEEFF"/>
            </w:tcBorders>
            <w:gridSpan w:val="2"/>
          </w:tcPr>
          <w:p>
            <w:pPr>
              <w:spacing w:after="0" w:line="107" w:lineRule="exact"/>
              <w:rPr>
                <w:sz w:val="20"/>
                <w:szCs w:val="20"/>
                <w:color w:val="auto"/>
              </w:rPr>
            </w:pPr>
            <w:r>
              <w:rPr>
                <w:rFonts w:ascii="Arial" w:cs="Arial" w:eastAsia="Arial" w:hAnsi="Arial"/>
                <w:sz w:val="10"/>
                <w:szCs w:val="10"/>
                <w:b w:val="1"/>
                <w:bCs w:val="1"/>
                <w:color w:val="auto"/>
              </w:rPr>
              <w:t>Total Control Investments</w:t>
            </w:r>
          </w:p>
        </w:tc>
        <w:tc>
          <w:tcPr>
            <w:tcW w:w="16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3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1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72,800</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jc w:val="right"/>
              <w:ind w:right="12"/>
              <w:spacing w:after="0" w:line="113" w:lineRule="exact"/>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57,158</w:t>
            </w:r>
          </w:p>
        </w:tc>
      </w:tr>
      <w:tr>
        <w:trPr>
          <w:trHeight w:val="126"/>
        </w:trPr>
        <w:tc>
          <w:tcPr>
            <w:tcW w:w="2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26"/>
        </w:trPr>
        <w:tc>
          <w:tcPr>
            <w:tcW w:w="2360" w:type="dxa"/>
            <w:vAlign w:val="bottom"/>
            <w:gridSpan w:val="2"/>
          </w:tcPr>
          <w:p>
            <w:pPr>
              <w:spacing w:after="0" w:line="126" w:lineRule="exact"/>
              <w:rPr>
                <w:sz w:val="20"/>
                <w:szCs w:val="20"/>
                <w:color w:val="auto"/>
              </w:rPr>
            </w:pPr>
            <w:r>
              <w:rPr>
                <w:rFonts w:ascii="Arial" w:cs="Arial" w:eastAsia="Arial" w:hAnsi="Arial"/>
                <w:sz w:val="10"/>
                <w:szCs w:val="10"/>
                <w:b w:val="1"/>
                <w:bCs w:val="1"/>
                <w:color w:val="auto"/>
              </w:rPr>
              <w:t>TOTAL INVESTMENTS</w:t>
            </w:r>
            <w:r>
              <w:rPr>
                <w:rFonts w:ascii="Arial" w:cs="Arial" w:eastAsia="Arial" w:hAnsi="Arial"/>
                <w:sz w:val="12"/>
                <w:szCs w:val="12"/>
                <w:b w:val="1"/>
                <w:bCs w:val="1"/>
                <w:color w:val="auto"/>
                <w:vertAlign w:val="superscript"/>
              </w:rPr>
              <w:t>12</w:t>
            </w: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703,557</w:t>
            </w:r>
          </w:p>
        </w:tc>
        <w:tc>
          <w:tcPr>
            <w:tcW w:w="8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688,432</w:t>
            </w:r>
          </w:p>
        </w:tc>
      </w:tr>
      <w:tr>
        <w:trPr>
          <w:trHeight w:val="20"/>
        </w:trPr>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All debt investments are income-producing, unless otherwise noted. Equity investments and warrants are non-income producing, unless otherwise noted.</w:t>
      </w:r>
    </w:p>
    <w:p>
      <w:pPr>
        <w:spacing w:after="0" w:line="73"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All of the Company’s investments, unless otherwise noted, are pledged as collateral for the Company’s senior secured credit facility.</w:t>
      </w:r>
    </w:p>
    <w:p>
      <w:pPr>
        <w:spacing w:after="0" w:line="98" w:lineRule="exact"/>
        <w:rPr>
          <w:sz w:val="20"/>
          <w:szCs w:val="20"/>
          <w:color w:val="auto"/>
        </w:rPr>
      </w:pPr>
    </w:p>
    <w:p>
      <w:pPr>
        <w:ind w:left="208" w:right="20" w:hanging="208"/>
        <w:spacing w:after="0" w:line="308" w:lineRule="auto"/>
        <w:tabs>
          <w:tab w:leader="none" w:pos="207" w:val="left"/>
        </w:tabs>
        <w:numPr>
          <w:ilvl w:val="0"/>
          <w:numId w:val="15"/>
        </w:numPr>
        <w:rPr>
          <w:rFonts w:ascii="Arial" w:cs="Arial" w:eastAsia="Arial" w:hAnsi="Arial"/>
          <w:sz w:val="12"/>
          <w:szCs w:val="12"/>
          <w:color w:val="auto"/>
          <w:vertAlign w:val="superscript"/>
        </w:rPr>
      </w:pPr>
      <w:r>
        <w:rPr>
          <w:rFonts w:ascii="Arial" w:cs="Arial" w:eastAsia="Arial" w:hAnsi="Arial"/>
          <w:sz w:val="9"/>
          <w:szCs w:val="9"/>
          <w:color w:val="auto"/>
        </w:rPr>
        <w:t>The majority of investments bear interest at a rate that may be determined by reference to London Interbank Offered Rate (“LIBOR” or “L”) or Prime (“P”) and reset daily (D), monthly (M), quarterly (Q), or semiannually (S). For each the Company has provided the spread over LIBOR or Prime and the current contractual interest rate in effect at March 31, 2021. Certain investments are subject to a LIBOR or Prime interest rate floor. Certain investments, as noted, accrue payment-in-kind ("PIK") interest.</w:t>
      </w:r>
    </w:p>
    <w:p>
      <w:pPr>
        <w:spacing w:after="0" w:line="50" w:lineRule="exact"/>
        <w:rPr>
          <w:sz w:val="20"/>
          <w:szCs w:val="20"/>
          <w:color w:val="auto"/>
        </w:rPr>
      </w:pPr>
    </w:p>
    <w:p>
      <w:pPr>
        <w:ind w:left="208" w:right="20" w:hanging="208"/>
        <w:spacing w:after="0" w:line="226" w:lineRule="auto"/>
        <w:tabs>
          <w:tab w:leader="none" w:pos="207"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The Company's investment portfolio is comprised entirely of privately held debt and equity securities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 Refer to Note 4 for further discussion.</w:t>
      </w:r>
    </w:p>
    <w:p>
      <w:pPr>
        <w:spacing w:after="0" w:line="98" w:lineRule="exact"/>
        <w:rPr>
          <w:sz w:val="20"/>
          <w:szCs w:val="20"/>
          <w:color w:val="auto"/>
        </w:rPr>
      </w:pPr>
    </w:p>
    <w:p>
      <w:pPr>
        <w:ind w:left="208" w:hanging="208"/>
        <w:spacing w:after="0" w:line="226" w:lineRule="auto"/>
        <w:tabs>
          <w:tab w:leader="none" w:pos="207"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Non-Control/Non-Affiliate investments are generally defined by the Investment Company Act of 1940, as amended (the “1940 Act”), as investments that are neither control investments nor affiliate investments. At March 31, 2021, approximately 79.3% of the Company’s investment assets were non-control/non-affiliate investments. The fair value of these investments as a percent of net assets is 162.4%.</w:t>
      </w:r>
    </w:p>
    <w:p>
      <w:pPr>
        <w:spacing w:after="0" w:line="98" w:lineRule="exact"/>
        <w:rPr>
          <w:sz w:val="20"/>
          <w:szCs w:val="20"/>
          <w:color w:val="auto"/>
        </w:rPr>
      </w:pPr>
    </w:p>
    <w:p>
      <w:pPr>
        <w:ind w:left="208" w:hanging="208"/>
        <w:spacing w:after="0" w:line="226" w:lineRule="auto"/>
        <w:tabs>
          <w:tab w:leader="none" w:pos="207"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Affiliate investments are generally defined by the 1940 Act as investments in which between 5% and 25% of the voting securities are owned and the investments are not classified as control investments. At March 31, 2021, approximately 12.4% of the Company’s investment assets were affiliate investments. The fair value of these investments as a percent of net assets is 25.3%.</w:t>
      </w:r>
    </w:p>
    <w:p>
      <w:pPr>
        <w:spacing w:after="0" w:line="89" w:lineRule="exact"/>
        <w:rPr>
          <w:sz w:val="20"/>
          <w:szCs w:val="20"/>
          <w:color w:val="auto"/>
        </w:rPr>
      </w:pPr>
    </w:p>
    <w:p>
      <w:pPr>
        <w:ind w:left="208" w:right="20" w:hanging="208"/>
        <w:spacing w:after="0" w:line="226" w:lineRule="auto"/>
        <w:tabs>
          <w:tab w:leader="none" w:pos="207"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Control investments are generally defined by the 1940 Act as investments in which more than 25% of the voting securities are owned. At March 31, 2021, approximately 8.3% of the Company’s investment assets were control investments. The fair value of these investments as a percent of net assets is 17.0%.</w:t>
      </w:r>
    </w:p>
    <w:p>
      <w:pPr>
        <w:spacing w:after="0" w:line="74" w:lineRule="exact"/>
        <w:rPr>
          <w:sz w:val="20"/>
          <w:szCs w:val="20"/>
          <w:color w:val="auto"/>
        </w:rPr>
      </w:pPr>
    </w:p>
    <w:p>
      <w:pPr>
        <w:ind w:left="208" w:hanging="208"/>
        <w:spacing w:after="0"/>
        <w:tabs>
          <w:tab w:leader="none" w:pos="208" w:val="left"/>
        </w:tabs>
        <w:numPr>
          <w:ilvl w:val="0"/>
          <w:numId w:val="20"/>
        </w:numPr>
        <w:rPr>
          <w:rFonts w:ascii="Arial" w:cs="Arial" w:eastAsia="Arial" w:hAnsi="Arial"/>
          <w:sz w:val="14"/>
          <w:szCs w:val="14"/>
          <w:color w:val="auto"/>
          <w:vertAlign w:val="superscript"/>
        </w:rPr>
      </w:pPr>
      <w:r>
        <w:rPr>
          <w:rFonts w:ascii="Arial" w:cs="Arial" w:eastAsia="Arial" w:hAnsi="Arial"/>
          <w:sz w:val="11"/>
          <w:szCs w:val="11"/>
          <w:color w:val="auto"/>
        </w:rPr>
        <w:t>The investment is structured as a first lien last out term loan.</w:t>
      </w:r>
    </w:p>
    <w:p>
      <w:pPr>
        <w:spacing w:after="0" w:line="98" w:lineRule="exact"/>
        <w:rPr>
          <w:sz w:val="20"/>
          <w:szCs w:val="20"/>
          <w:color w:val="auto"/>
        </w:rPr>
      </w:pPr>
    </w:p>
    <w:p>
      <w:pPr>
        <w:ind w:left="208" w:hanging="208"/>
        <w:spacing w:after="0" w:line="226" w:lineRule="auto"/>
        <w:tabs>
          <w:tab w:leader="none" w:pos="207" w:val="left"/>
        </w:tabs>
        <w:numPr>
          <w:ilvl w:val="0"/>
          <w:numId w:val="21"/>
        </w:numPr>
        <w:rPr>
          <w:rFonts w:ascii="Arial" w:cs="Arial" w:eastAsia="Arial" w:hAnsi="Arial"/>
          <w:sz w:val="14"/>
          <w:szCs w:val="14"/>
          <w:color w:val="auto"/>
          <w:vertAlign w:val="superscript"/>
        </w:rPr>
      </w:pPr>
      <w:r>
        <w:rPr>
          <w:rFonts w:ascii="Arial" w:cs="Arial" w:eastAsia="Arial" w:hAnsi="Arial"/>
          <w:sz w:val="11"/>
          <w:szCs w:val="11"/>
          <w:color w:val="auto"/>
        </w:rPr>
        <w:t>Indicates assets that are considered "non-qualifying assets” under section 55(a) of the 1940 Act. Qualifying assets must represent at least 70% of total assets at the time of acquisition of any additional non-qualifying assets. As of March 31, 2021, approximately 12.6% of the Company's assets are non-qualifying assets.</w:t>
      </w:r>
    </w:p>
    <w:p>
      <w:pPr>
        <w:spacing w:after="0" w:line="65" w:lineRule="exact"/>
        <w:rPr>
          <w:sz w:val="20"/>
          <w:szCs w:val="20"/>
          <w:color w:val="auto"/>
        </w:rPr>
      </w:pPr>
    </w:p>
    <w:p>
      <w:pPr>
        <w:ind w:left="208" w:hanging="208"/>
        <w:spacing w:after="0"/>
        <w:tabs>
          <w:tab w:leader="none" w:pos="208" w:val="left"/>
        </w:tabs>
        <w:numPr>
          <w:ilvl w:val="0"/>
          <w:numId w:val="22"/>
        </w:numPr>
        <w:rPr>
          <w:rFonts w:ascii="Arial" w:cs="Arial" w:eastAsia="Arial" w:hAnsi="Arial"/>
          <w:sz w:val="14"/>
          <w:szCs w:val="14"/>
          <w:color w:val="auto"/>
          <w:vertAlign w:val="superscript"/>
        </w:rPr>
      </w:pPr>
      <w:r>
        <w:rPr>
          <w:rFonts w:ascii="Arial" w:cs="Arial" w:eastAsia="Arial" w:hAnsi="Arial"/>
          <w:sz w:val="11"/>
          <w:szCs w:val="11"/>
          <w:color w:val="auto"/>
        </w:rPr>
        <w:t>The investment has an unfunded commitment as of March 31, 2021. Refer to Note 11 - Commitments and Contingencies for further discussion.</w:t>
      </w:r>
    </w:p>
    <w:p>
      <w:pPr>
        <w:spacing w:after="0" w:line="73"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22"/>
        </w:numPr>
        <w:rPr>
          <w:rFonts w:ascii="Arial" w:cs="Arial" w:eastAsia="Arial" w:hAnsi="Arial"/>
          <w:sz w:val="14"/>
          <w:szCs w:val="14"/>
          <w:color w:val="auto"/>
          <w:vertAlign w:val="superscript"/>
        </w:rPr>
      </w:pPr>
      <w:r>
        <w:rPr>
          <w:rFonts w:ascii="Arial" w:cs="Arial" w:eastAsia="Arial" w:hAnsi="Arial"/>
          <w:sz w:val="11"/>
          <w:szCs w:val="11"/>
          <w:color w:val="auto"/>
        </w:rPr>
        <w:t>Income producing through dividends or distributions.</w:t>
      </w:r>
    </w:p>
    <w:p>
      <w:pPr>
        <w:spacing w:after="0" w:line="3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8"/>
          </w:cols>
          <w:pgMar w:left="292" w:top="140" w:right="299" w:bottom="1440" w:gutter="0" w:footer="0" w:header="0"/>
        </w:sectPr>
      </w:pPr>
    </w:p>
    <w:bookmarkStart w:id="26" w:name="page27"/>
    <w:bookmarkEnd w:id="26"/>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9" w:lineRule="exact"/>
        <w:rPr>
          <w:sz w:val="20"/>
          <w:szCs w:val="20"/>
          <w:color w:val="auto"/>
        </w:rPr>
      </w:pPr>
    </w:p>
    <w:p>
      <w:pPr>
        <w:ind w:left="208" w:hanging="208"/>
        <w:spacing w:after="0" w:line="226" w:lineRule="auto"/>
        <w:tabs>
          <w:tab w:leader="none" w:pos="206"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As of March 31, 2021, the cumulative gross unrealized appreciation for federal income tax purposes is approximately $40.2 million; cumulative gross unrealized depreciation for federal income tax purposes is $27.3 million. Cumulative net unrealized appreciation is $12.9 million, based on a tax cost of $700.9 million.</w:t>
      </w:r>
    </w:p>
    <w:p>
      <w:pPr>
        <w:spacing w:after="0" w:line="98" w:lineRule="exact"/>
        <w:rPr>
          <w:rFonts w:ascii="Arial" w:cs="Arial" w:eastAsia="Arial" w:hAnsi="Arial"/>
          <w:sz w:val="14"/>
          <w:szCs w:val="14"/>
          <w:color w:val="auto"/>
          <w:vertAlign w:val="superscript"/>
        </w:rPr>
      </w:pPr>
    </w:p>
    <w:p>
      <w:pPr>
        <w:jc w:val="both"/>
        <w:ind w:left="208" w:hanging="208"/>
        <w:spacing w:after="0"/>
        <w:tabs>
          <w:tab w:leader="none" w:pos="206"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Our investments in Acceleration Partners preferred and common units, American Nuts Operations LLC Class A common stock, ASC Ortho Management Company, LLC common units, Broad Sky Networks LLC Series A Preferred units, CityVet, Inc. Class A units, Danforth Advisors, LLC common units, Electronic Transaction Consultants LLC Class A units, Flip Electronics, LLC common units, LGM Pharma, LLC Class A common stock, NinjaTrader, LLC preferred units, Tax Advisors Group, LLC Class A units, Trafera, LLC Class A units, Central Medical Supply LLC Preferred units, Chandler Signs, LP Class A-1 common stock, Dynamic Communities, LLC Preferred units, ITA Holdings Group, LLC membership interest and Sonobi, Inc. Class A common units are held through a wholly-owned taxable subsidiary of the Company.</w:t>
      </w:r>
    </w:p>
    <w:p>
      <w:pPr>
        <w:spacing w:after="0" w:line="89" w:lineRule="exact"/>
        <w:rPr>
          <w:rFonts w:ascii="Arial" w:cs="Arial" w:eastAsia="Arial" w:hAnsi="Arial"/>
          <w:sz w:val="14"/>
          <w:szCs w:val="14"/>
          <w:color w:val="auto"/>
          <w:vertAlign w:val="superscript"/>
        </w:rPr>
      </w:pPr>
    </w:p>
    <w:p>
      <w:pPr>
        <w:ind w:left="208" w:hanging="208"/>
        <w:spacing w:after="0" w:line="226" w:lineRule="auto"/>
        <w:tabs>
          <w:tab w:leader="none" w:pos="206"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The Company generally acquires its investments in private transactions exempt from registration under the Securities Act of 1933, as amended (the "Securities Act"). These investments, which as of March 31, 2021 represented 204.7% of the Company's net assets or 93.6% of the Company's total assets, are generally subject to certain limitations on resale, and may be deemed "restricted securities" under the Securities Act.</w:t>
      </w:r>
    </w:p>
    <w:p>
      <w:pPr>
        <w:spacing w:after="0" w:line="73"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The investment is structured as a split lien term loan, which provides the Company with a first lien priority on certain assets of the obligor and a second lien priority on different assets of the obligor.</w:t>
      </w:r>
    </w:p>
    <w:p>
      <w:pPr>
        <w:spacing w:after="0" w:line="73"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Represents amortized cost. Negative cost in this column represents the original issue discount of certain undrawn revolvers and delayed draw term loans.</w:t>
      </w:r>
    </w:p>
    <w:p>
      <w:pPr>
        <w:spacing w:after="0" w:line="64"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The investment is structured as a first lien first out term loan.</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1"/>
          <w:szCs w:val="11"/>
          <w:color w:val="auto"/>
        </w:rPr>
        <w:t>A brief description of the portfolio company in which we made an investment that represents greater than 5% of our total assets as of March 31, 2021 is included in Note 13. Significant Subsidiaries.</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8"/>
          </w:cols>
          <w:pgMar w:left="292" w:top="140" w:right="299" w:bottom="1440" w:gutter="0" w:footer="0" w:header="0"/>
        </w:sectPr>
      </w:pPr>
    </w:p>
    <w:bookmarkStart w:id="27" w:name="page28"/>
    <w:bookmarkEnd w:id="27"/>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center"/>
        <w:ind w:right="-7"/>
        <w:spacing w:after="0"/>
        <w:rPr>
          <w:sz w:val="20"/>
          <w:szCs w:val="20"/>
          <w:color w:val="auto"/>
        </w:rPr>
      </w:pPr>
      <w:r>
        <w:rPr>
          <w:rFonts w:ascii="Arial" w:cs="Arial" w:eastAsia="Arial" w:hAnsi="Arial"/>
          <w:sz w:val="12"/>
          <w:szCs w:val="12"/>
          <w:u w:val="single" w:color="auto"/>
          <w:color w:val="auto"/>
        </w:rPr>
        <w:t>Notes to Consolidated Financial Statements</w:t>
      </w:r>
    </w:p>
    <w:p>
      <w:pPr>
        <w:spacing w:after="0" w:line="168" w:lineRule="exact"/>
        <w:rPr>
          <w:sz w:val="20"/>
          <w:szCs w:val="20"/>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ORGANIZATION AND BASIS OF PRESENTATION</w:t>
      </w:r>
    </w:p>
    <w:p>
      <w:pPr>
        <w:spacing w:after="0" w:line="168" w:lineRule="exact"/>
        <w:rPr>
          <w:sz w:val="20"/>
          <w:szCs w:val="20"/>
          <w:color w:val="auto"/>
        </w:rPr>
      </w:pPr>
    </w:p>
    <w:p>
      <w:pPr>
        <w:ind w:left="128"/>
        <w:spacing w:after="0"/>
        <w:rPr>
          <w:sz w:val="20"/>
          <w:szCs w:val="20"/>
          <w:color w:val="auto"/>
        </w:rPr>
      </w:pPr>
      <w:r>
        <w:rPr>
          <w:rFonts w:ascii="Arial" w:cs="Arial" w:eastAsia="Arial" w:hAnsi="Arial"/>
          <w:sz w:val="12"/>
          <w:szCs w:val="12"/>
          <w:color w:val="auto"/>
        </w:rPr>
        <w:t>References in this Quarterly Report on Form 10-Q to “we,” “our,” “us,” “CSWC,” or the “Company” refer to Capital Southwest Corporation, unless the context requires otherwise.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Organization</w:t>
      </w:r>
    </w:p>
    <w:p>
      <w:pPr>
        <w:spacing w:after="0" w:line="16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Capital Southwest Corporation is an internally managed investment company that specializes in providing customized financing to middle market companies in a broad range of investment segments located primarily in the United States. Our common stock currently trades on The Nasdaq Global Select Market under the ticker symbol “CSWC.”</w:t>
      </w:r>
    </w:p>
    <w:p>
      <w:pPr>
        <w:spacing w:after="0" w:line="133"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CSWC was organized as a Texas corporation on April 19, 1961. On March 30, 1988, CSWC elected to be regulated as a business development company (“BDC”) under the 1940 Act. In order to comply with the 1940 Act requirements for a BDC, we must, among other things, generally invest at least 70% of our assets in eligible portfolio companies and limit the amount of leverage we incur.</w:t>
      </w:r>
    </w:p>
    <w:p>
      <w:pPr>
        <w:spacing w:after="0" w:line="133"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We have elected, and intend to qualify annually, to be treated as a regulated investment company (“RIC”) under Subchapter M of the U.S. Internal Revenue Code of 1986, as amended (the “Code”). As such, we generally will not have to pay corporate-level U.S. federal income tax on any ordinary income or capital gains that we distribute to our shareholders as dividends. To continue to maintain our RIC treatment, we must meet specified source-of-income and asset diversification requirements and distribute annually at least 90% of our net ordinary income and realized net short-term capital gains in excess of realized net long-term capital losses, if any. Depending on the level of taxable income earned in a tax year, we may choose to carry forward taxable income in excess of current year distributions into the next year and pay a 4% U.S. federal excise tax on such income. Any such carryover taxable income must be distributed through a dividend declared prior to filing the final tax return related to the year that generated such taxable income.</w:t>
      </w:r>
    </w:p>
    <w:p>
      <w:pPr>
        <w:spacing w:after="0" w:line="131"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Capital Southwest Management Corporation (“CSMC”), a wholly-owned subsidiary of CSWC, was the management company for CSWC. Effective December 31, 2020, CSMC merged with and into CSWC, with CSWC continuing as the surviving entity in the merger. Prior to December 31, 2020, CSMC generally incurred all normal operating and administrative expenses, including, but not limited to, salaries and related benefits, rent, equipment and other administrative costs required for its day-to-day operations (the “Administrative Expenses”). After December 31, 2020, the Administrative Expenses will be directly incurred by CSWC. The Company continues to be internally managed and the merger has no impact on the day-to-day operations of the business.</w:t>
      </w:r>
    </w:p>
    <w:p>
      <w:pPr>
        <w:spacing w:after="0" w:line="14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CSWC also has a direct wholly-owned subsidiary that has been elected to be a taxable entity (the “Taxable Subsidiary”). The primary purpose of the Taxable Subsidiary is to permit CSWC to hold certain interests in portfolio companies that are organized as limited liability companies, or LLCs (or other forms of pass-through entities), and still allow us to satisfy the RIC tax requirement that at least 90% of our gross income for U.S. federal income tax purposes must consist of qualifying investment income. The Taxable Subsidiary is taxed at normal corporate tax rates based on its taxable income.</w:t>
      </w:r>
    </w:p>
    <w:p>
      <w:pPr>
        <w:spacing w:after="0" w:line="14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We focus on investing in companies with histories of generating revenues and positive cash flow, established market positions and proven management teams with strong operating discipline. We target senior debt investments and equity investments in lower middle market (“LMM”) companies, as well as first and second lien loans in upper middle market (“UMM”) companies. Our target LMM companies typically have annual earnings before interest, taxes, depreciation and amortization (“EBITDA”) generally between $3.0 million and $20.0 million, and our LMM investments generally range in size from $10.0 million to $25.0 million. Our UMM investments generally include first and second lien loans in companies with EBITDA generally greater than $20.0 million and typically range in size from $5.0 million to $15.0 million. We make available significant managerial assistance to the companies in which we invest as we believe that providing managerial assistance to an investee company is critical to its business development activities.</w:t>
      </w:r>
    </w:p>
    <w:p>
      <w:pPr>
        <w:spacing w:after="0" w:line="146"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On April 20, 2021, our wholly owned subsidiary, Capital Southwest SBIC I, LP (“SBIC I”) received a license from the U.S. Small Business Administration (the “SBA”) to operate as an SBIC under Section 301(c) of the Small Business Investment Act of 1958, as amended. SBIC I will have the same investment strategy as ours and make similar</w:t>
      </w: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8"/>
          </w:cols>
          <w:pgMar w:left="292" w:top="140" w:right="299" w:bottom="1440" w:gutter="0" w:footer="0" w:header="0"/>
        </w:sectPr>
      </w:pPr>
    </w:p>
    <w:bookmarkStart w:id="28" w:name="page29"/>
    <w:bookmarkEnd w:id="28"/>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0"/>
          <w:szCs w:val="10"/>
          <w:color w:val="auto"/>
        </w:rPr>
        <w:t>types of investments in accordance with SBA regulations. SBIC I and its general partner are consolidated for U.S. GAAP reporting purposes, and the portfolio investments held by it are included in the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Basis of Presentation</w:t>
      </w:r>
    </w:p>
    <w:p>
      <w:pPr>
        <w:spacing w:after="0" w:line="16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The consolidated financial statements have been prepared in accordance with Generally Accepted Accounting Principles in the United States of America (“U.S. GAAP”). We meet the definition of an investment company and follow the accounting and reporting guidance in the Financial Accounting Standards Board (“FASB”) Accounting Standards Codification (“ASC”) Topic 946 – </w:t>
      </w:r>
      <w:r>
        <w:rPr>
          <w:rFonts w:ascii="Arial" w:cs="Arial" w:eastAsia="Arial" w:hAnsi="Arial"/>
          <w:sz w:val="11"/>
          <w:szCs w:val="11"/>
          <w:i w:val="1"/>
          <w:iCs w:val="1"/>
          <w:color w:val="auto"/>
        </w:rPr>
        <w:t>Financial Services – Investment Companies</w:t>
      </w:r>
      <w:r>
        <w:rPr>
          <w:rFonts w:ascii="Arial" w:cs="Arial" w:eastAsia="Arial" w:hAnsi="Arial"/>
          <w:sz w:val="11"/>
          <w:szCs w:val="11"/>
          <w:color w:val="auto"/>
        </w:rPr>
        <w:t xml:space="preserve"> (“ASC 946”)</w:t>
      </w:r>
      <w:r>
        <w:rPr>
          <w:rFonts w:ascii="Arial" w:cs="Arial" w:eastAsia="Arial" w:hAnsi="Arial"/>
          <w:sz w:val="11"/>
          <w:szCs w:val="11"/>
          <w:i w:val="1"/>
          <w:iCs w:val="1"/>
          <w:color w:val="auto"/>
        </w:rPr>
        <w:t>.</w:t>
      </w:r>
      <w:r>
        <w:rPr>
          <w:rFonts w:ascii="Arial" w:cs="Arial" w:eastAsia="Arial" w:hAnsi="Arial"/>
          <w:sz w:val="11"/>
          <w:szCs w:val="11"/>
          <w:color w:val="auto"/>
        </w:rPr>
        <w:t xml:space="preserve"> Under rules and regulations applicable to investment companies, we are generally precluded from consolidating any entity other than another investment company, subject to certain exceptions. One of the exceptions to this general principle occurs if the investment company has an investment in an operating company that provides services to the investment company. Accordingly, the consolidated financial statements include the Taxable Subsidiary. Prior to the merger of CSMC into CSWC that became effective December 31, 2020, we consolidated the results of CSWC's wholly owned management company.</w:t>
      </w:r>
    </w:p>
    <w:p>
      <w:pPr>
        <w:spacing w:after="0" w:line="13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consolidated financial statements are presented in conformity with U.S. GAAP for interim financial information and pursuant to the requirements for reporting on Form 10-Q and Article 10 of Regulation S-X. Accordingly, certain disclosures accompanying annual consolidated financial statements prepared in accordance with U.S. GAAP are omitted. In the opinion of our management, the unaudited consolidated financial results included herein contain all adjustments, consisting solely of normal recurring accruals, considered necessary for the fair presentation of consolidated financial statements for the interim periods included herein. The results of operations for the three months ended June 30, 2021 are not necessarily indicative of the operating results to be expected for the full fiscal year. Also, the unaudited consolidated financial statements and notes should be read in conjunction with the audited consolidated financial statements and notes thereto for the fiscal years ended March 31, 2021 and 2020. Consolidated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Portfolio Investment Classification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classify our investments in accordance with the requirements of the 1940 Act. Under the 1940 Act, “Control Investments” are generally defined as investments in which we own more than 25% of the voting securities; “Affiliate Investments” are generally defined as investments in which we own between 5% and 25% of the voting securities, and the investments are not classified as “Control Investments”; and “Non-Control/Non-Affiliate Investments” are generally defined as investments that are neither “Control Investments” nor “Affiliate Investments.”</w:t>
      </w:r>
    </w:p>
    <w:p>
      <w:pPr>
        <w:spacing w:after="0" w:line="14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1940 Act, a BDC must meet certain requirements, including investing at least 70% of our total assets in qualifying assets. As of June 30, 2021, the Company has 86.3% of our assets in qualifying assets. The principal categories of qualifying assets relevant to our business are:</w:t>
      </w:r>
    </w:p>
    <w:p>
      <w:pPr>
        <w:spacing w:after="0" w:line="133" w:lineRule="exact"/>
        <w:rPr>
          <w:sz w:val="20"/>
          <w:szCs w:val="20"/>
          <w:color w:val="auto"/>
        </w:rPr>
      </w:pPr>
    </w:p>
    <w:p>
      <w:pPr>
        <w:ind w:firstLine="424"/>
        <w:spacing w:after="0" w:line="323" w:lineRule="auto"/>
        <w:tabs>
          <w:tab w:leader="none" w:pos="8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Securities and Exchange Commission ("SEC").</w:t>
      </w:r>
    </w:p>
    <w:p>
      <w:pPr>
        <w:spacing w:after="0" w:line="46" w:lineRule="exact"/>
        <w:rPr>
          <w:rFonts w:ascii="Arial" w:cs="Arial" w:eastAsia="Arial" w:hAnsi="Arial"/>
          <w:sz w:val="11"/>
          <w:szCs w:val="11"/>
          <w:color w:val="auto"/>
        </w:rPr>
      </w:pPr>
    </w:p>
    <w:p>
      <w:pPr>
        <w:ind w:left="860" w:hanging="436"/>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Securities of any eligible portfolio company that we control.</w:t>
      </w:r>
    </w:p>
    <w:p>
      <w:pPr>
        <w:spacing w:after="0" w:line="96" w:lineRule="exact"/>
        <w:rPr>
          <w:rFonts w:ascii="Arial" w:cs="Arial" w:eastAsia="Arial" w:hAnsi="Arial"/>
          <w:sz w:val="12"/>
          <w:szCs w:val="12"/>
          <w:color w:val="auto"/>
        </w:rPr>
      </w:pPr>
    </w:p>
    <w:p>
      <w:pPr>
        <w:ind w:firstLine="424"/>
        <w:spacing w:after="0" w:line="323" w:lineRule="auto"/>
        <w:tabs>
          <w:tab w:leader="none" w:pos="8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6" w:lineRule="exact"/>
        <w:rPr>
          <w:rFonts w:ascii="Arial" w:cs="Arial" w:eastAsia="Arial" w:hAnsi="Arial"/>
          <w:sz w:val="11"/>
          <w:szCs w:val="11"/>
          <w:color w:val="auto"/>
        </w:rPr>
      </w:pPr>
    </w:p>
    <w:p>
      <w:pPr>
        <w:ind w:firstLine="424"/>
        <w:spacing w:after="0" w:line="276" w:lineRule="auto"/>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Securities of an eligible portfolio company purchased from any person in a private transaction if there is no readily available market for such securities and we already own 60% of the outstanding equity of the eligible portfolio company.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140" w:right="299" w:bottom="1440" w:gutter="0" w:footer="0" w:header="0"/>
        </w:sectPr>
      </w:pPr>
    </w:p>
    <w:bookmarkStart w:id="29" w:name="page30"/>
    <w:bookmarkEnd w:id="29"/>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868" w:hanging="436"/>
        <w:spacing w:after="0"/>
        <w:tabs>
          <w:tab w:leader="none" w:pos="868" w:val="left"/>
        </w:tabs>
        <w:numPr>
          <w:ilvl w:val="0"/>
          <w:numId w:val="26"/>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105" w:lineRule="exact"/>
        <w:rPr>
          <w:rFonts w:ascii="Arial" w:cs="Arial" w:eastAsia="Arial" w:hAnsi="Arial"/>
          <w:sz w:val="12"/>
          <w:szCs w:val="12"/>
          <w:color w:val="auto"/>
        </w:rPr>
      </w:pPr>
    </w:p>
    <w:p>
      <w:pPr>
        <w:ind w:left="868" w:hanging="436"/>
        <w:spacing w:after="0"/>
        <w:tabs>
          <w:tab w:leader="none" w:pos="868" w:val="left"/>
        </w:tabs>
        <w:numPr>
          <w:ilvl w:val="0"/>
          <w:numId w:val="26"/>
        </w:numPr>
        <w:rPr>
          <w:rFonts w:ascii="Arial" w:cs="Arial" w:eastAsia="Arial" w:hAnsi="Arial"/>
          <w:sz w:val="12"/>
          <w:szCs w:val="12"/>
          <w:color w:val="auto"/>
        </w:rPr>
      </w:pPr>
      <w:r>
        <w:rPr>
          <w:rFonts w:ascii="Arial" w:cs="Arial" w:eastAsia="Arial" w:hAnsi="Arial"/>
          <w:sz w:val="12"/>
          <w:szCs w:val="12"/>
          <w:color w:val="auto"/>
        </w:rPr>
        <w:t>Cash, cash equivalents, U.S. government securities or high-quality debt securities maturing in one year or less from the time of investment.</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Additionally, in order to qualify for RIC tax treatment for U.S. federal income tax purposes, we must, among other things meet the following requirements:</w:t>
      </w:r>
    </w:p>
    <w:p>
      <w:pPr>
        <w:spacing w:after="0" w:line="69" w:lineRule="exact"/>
        <w:rPr>
          <w:sz w:val="20"/>
          <w:szCs w:val="20"/>
          <w:color w:val="auto"/>
        </w:rPr>
      </w:pPr>
    </w:p>
    <w:p>
      <w:pPr>
        <w:ind w:left="888" w:hanging="456"/>
        <w:spacing w:after="0"/>
        <w:tabs>
          <w:tab w:leader="none" w:pos="888"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Continue to maintain our election as a BDC under the 1940 Act at all times during each taxable year.</w:t>
      </w:r>
    </w:p>
    <w:p>
      <w:pPr>
        <w:spacing w:after="0" w:line="105" w:lineRule="exact"/>
        <w:rPr>
          <w:rFonts w:ascii="Arial" w:cs="Arial" w:eastAsia="Arial" w:hAnsi="Arial"/>
          <w:sz w:val="12"/>
          <w:szCs w:val="12"/>
          <w:color w:val="auto"/>
        </w:rPr>
      </w:pPr>
    </w:p>
    <w:p>
      <w:pPr>
        <w:ind w:left="8" w:firstLine="424"/>
        <w:spacing w:after="0" w:line="276" w:lineRule="auto"/>
        <w:tabs>
          <w:tab w:leader="none" w:pos="91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w:t>
      </w:r>
    </w:p>
    <w:p>
      <w:pPr>
        <w:spacing w:after="0" w:line="60" w:lineRule="exact"/>
        <w:rPr>
          <w:rFonts w:ascii="Arial" w:cs="Arial" w:eastAsia="Arial" w:hAnsi="Arial"/>
          <w:sz w:val="12"/>
          <w:szCs w:val="12"/>
          <w:color w:val="auto"/>
        </w:rPr>
      </w:pPr>
    </w:p>
    <w:p>
      <w:pPr>
        <w:jc w:val="both"/>
        <w:ind w:left="8" w:firstLine="424"/>
        <w:spacing w:after="0" w:line="256" w:lineRule="auto"/>
        <w:tabs>
          <w:tab w:leader="none" w:pos="902" w:val="left"/>
        </w:tabs>
        <w:numPr>
          <w:ilvl w:val="0"/>
          <w:numId w:val="27"/>
        </w:numPr>
        <w:rPr>
          <w:rFonts w:ascii="Arial" w:cs="Arial" w:eastAsia="Arial" w:hAnsi="Arial"/>
          <w:sz w:val="12"/>
          <w:szCs w:val="12"/>
          <w:color w:val="auto"/>
        </w:rPr>
      </w:pPr>
      <w:r>
        <w:rPr>
          <w:rFonts w:ascii="Arial" w:cs="Arial" w:eastAsia="Arial" w:hAnsi="Arial"/>
          <w:sz w:val="12"/>
          <w:szCs w:val="12"/>
          <w:color w:val="auto"/>
        </w:rPr>
        <w:t>Diversify our holdings in accordance with two Diversification Requirements: (a) Diversify our holdings such that at the end of each quarter of the taxable year at least 50% of the value of our assets consists of cash, cash equivalents, U.S. Government securities, securities of other RICs, and such other securities if such other securities of any one issuer do not represent more than 5% of the value of our assets or more than 10% of the outstanding voting securities of the issuer; and (b) Diversify our holdings such that no more than 25% of the value of our assets is invested in the securities, other than U.S. government securities or securities of other RICs, (i) of one issuer, (ii) of two or more issuers that are controlled, as determined under applicable Code rules, by us and that are engaged in the same or similar or related trades or businesses or (iii) of certain "qualified publicly traded partnerships" (collectively, the "Diversification Requirements").</w:t>
      </w:r>
    </w:p>
    <w:p>
      <w:pPr>
        <w:spacing w:after="0" w:line="8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two Diversification Requirements must be satisfied quarterly. If a RIC satisfies the Diversification Requirements for one quarter, and then, due solely to fluctuations in market value, fails to meet one of the Diversification Requirements in the next quarter, it retains RIC tax treatment. A RIC that fails to meet the Diversification Requirements as a result of a nonqualified acquisition may be subject to excess taxes unless the nonqualified acquisition is disposed of and the Diversification Requirements are satisfied within 30 days of the close of the quarter in which the Diversification Requirements are failed.</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For the quarter ended June 30, 2021, we satisfied all RIC requirements and have 7.0% in nonqualified assets according to measurement criteria established in Section 851(d) of the Code.</w:t>
      </w:r>
    </w:p>
    <w:p>
      <w:pPr>
        <w:spacing w:after="0" w:line="168"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SUMMARY OF SIGNIFICANT ACCOUNTING POLICIES</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is a summary of significant accounting policies followed in the preparation of the consolidated financial statements of CSWC.</w:t>
      </w:r>
    </w:p>
    <w:p>
      <w:pPr>
        <w:spacing w:after="0" w:line="168"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u w:val="single" w:color="auto"/>
          <w:color w:val="auto"/>
        </w:rPr>
        <w:t>Fair Value Measurements</w:t>
      </w:r>
      <w:r>
        <w:rPr>
          <w:rFonts w:ascii="Arial" w:cs="Arial" w:eastAsia="Arial" w:hAnsi="Arial"/>
          <w:sz w:val="12"/>
          <w:szCs w:val="12"/>
          <w:color w:val="auto"/>
        </w:rPr>
        <w:t xml:space="preserve"> We account for substantially all of our financial instruments at fair value in accordance with ASC Topic 820 –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xml:space="preserve"> (“ASC 820”). ASC 820 defines fair value, establishes a framework used to measure fair value and requires disclosures for fair value measurements, including the categorization of financial instruments into a three-level hierarchy based on the transparency of valuation inputs. ASC 820 requires disclosure of the fair value of financial instruments for which it is practical to estimate such value. We believe that the carrying amounts of our financial instruments such as cash, receivables and payables approximate the fair value of these items due to the short maturity of these instruments. This is considered a Level 1 valuation technique. The carrying value of our credit facility approximates fair value (Level 3 input). See Note 4 below for further discussion regarding the fair value measurements and hierarchy.</w:t>
      </w:r>
    </w:p>
    <w:p>
      <w:pPr>
        <w:spacing w:after="0" w:line="146"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u w:val="single" w:color="auto"/>
          <w:color w:val="auto"/>
        </w:rPr>
        <w:t>Investments</w:t>
      </w:r>
      <w:r>
        <w:rPr>
          <w:rFonts w:ascii="Arial" w:cs="Arial" w:eastAsia="Arial" w:hAnsi="Arial"/>
          <w:sz w:val="12"/>
          <w:szCs w:val="12"/>
          <w:color w:val="auto"/>
        </w:rPr>
        <w:t xml:space="preserve"> Investments are stated at fair value and are reviewed and approved by our Board of Directors as described in the Notes to the Consolidated Schedule of Investments and Notes 3 and 4 below. Investments are recorded on a trade date basis.</w:t>
      </w:r>
    </w:p>
    <w:p>
      <w:pPr>
        <w:spacing w:after="0" w:line="13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u w:val="single" w:color="auto"/>
          <w:color w:val="auto"/>
        </w:rPr>
        <w:t>Net Realized Gains or Losses and Net Unrealized Appreciation or Depreciation</w:t>
      </w:r>
      <w:r>
        <w:rPr>
          <w:rFonts w:ascii="Arial" w:cs="Arial" w:eastAsia="Arial" w:hAnsi="Arial"/>
          <w:sz w:val="12"/>
          <w:szCs w:val="12"/>
          <w:color w:val="auto"/>
        </w:rPr>
        <w:t xml:space="preserve"> Realized gains or losses are measured by the difference between the net proceeds from the sale or redemption of an investment or a financial instrument and the cost basis of the investment or financial instrument, without regard to unrealized appreciation or depreciation previously recognized, and includes investments written-off during the period net of recoveries and realized</w:t>
      </w: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8"/>
          </w:cols>
          <w:pgMar w:left="292" w:top="140" w:right="299" w:bottom="1440" w:gutter="0" w:footer="0" w:header="0"/>
        </w:sectPr>
      </w:pPr>
    </w:p>
    <w:bookmarkStart w:id="30" w:name="page31"/>
    <w:bookmarkEnd w:id="30"/>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gains or losses from in-kind redemptions. Net unrealized appreciation or depreciation reflects the net change in the fair value of the investment portfolio and financial instruments and the reclassification of any prior period unrealized appreciation or depreciation on exited investments and financial instruments to realized gains or losses.</w:t>
      </w:r>
    </w:p>
    <w:p>
      <w:pPr>
        <w:spacing w:after="0" w:line="13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u w:val="single" w:color="auto"/>
          <w:color w:val="auto"/>
        </w:rPr>
        <w:t>Cash and Cash Equivalents</w:t>
      </w:r>
      <w:r>
        <w:rPr>
          <w:rFonts w:ascii="Arial" w:cs="Arial" w:eastAsia="Arial" w:hAnsi="Arial"/>
          <w:sz w:val="12"/>
          <w:szCs w:val="12"/>
          <w:color w:val="auto"/>
        </w:rPr>
        <w:t xml:space="preserve"> Cash and cash equivalents, which consist of cash and highly liquid investments with an original maturity of three months or less at the date of purchase, are carried at cost, which approximates fair value. Cash may be held in a money market fund from time to time, which is a Level 1 security. Cash and cash equivalents includes deposits at financial institutions. We deposit our cash balances in financial institutions and, at times, such balances may be in excess of the Federal Deposit Insurance Corporation (“FDIC”) insurance limits. At June 30, 2021 and March 31, 2021, cash balances totaling $15.3 million and $30.4 million, respectively, exceeded FDIC insurance limits, subjecting us to risk related to the uninsured balance. All of our cash deposits are held at large established high credit quality financial institutions and management believes that the risk of loss associated with any uninsured balances is remote.</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1"/>
          <w:szCs w:val="11"/>
          <w:u w:val="single" w:color="auto"/>
          <w:color w:val="auto"/>
        </w:rPr>
        <w:t>Segment Information</w:t>
      </w:r>
      <w:r>
        <w:rPr>
          <w:rFonts w:ascii="Arial" w:cs="Arial" w:eastAsia="Arial" w:hAnsi="Arial"/>
          <w:sz w:val="11"/>
          <w:szCs w:val="11"/>
          <w:color w:val="auto"/>
        </w:rPr>
        <w:t xml:space="preserve"> We operate and manage our business in a singular segment. As an investment company, we invest in portfolio companies in various industries and geographic areas as discussed in Note 3.</w:t>
      </w:r>
    </w:p>
    <w:p>
      <w:pPr>
        <w:spacing w:after="0" w:line="18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u w:val="single" w:color="auto"/>
          <w:color w:val="auto"/>
        </w:rPr>
        <w:t>Consolidation</w:t>
      </w:r>
      <w:r>
        <w:rPr>
          <w:rFonts w:ascii="Arial" w:cs="Arial" w:eastAsia="Arial" w:hAnsi="Arial"/>
          <w:sz w:val="12"/>
          <w:szCs w:val="12"/>
          <w:color w:val="auto"/>
        </w:rPr>
        <w:t xml:space="preserve"> As permitted under Regulation S-X and ASC 946, we generally do not consolidate our investment in a portfolio company other than an investment company subsidiary or a controlled operating company whose business consists of providing services to CSWC. Accordingly, we consolidate the results of CSWC’s wholly-owned Taxable Subsidiary and SBIC I. Prior to the merger of CSMC into CSWC, we consolidated the results of CSWC’s wholly-owned management company, CSMC. All intercompany balances have been eliminated upon consolidation.</w:t>
      </w:r>
    </w:p>
    <w:p>
      <w:pPr>
        <w:spacing w:after="0" w:line="14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u w:val="single" w:color="auto"/>
          <w:color w:val="auto"/>
        </w:rPr>
        <w:t>Use of Estimates</w:t>
      </w:r>
      <w:r>
        <w:rPr>
          <w:rFonts w:ascii="Arial" w:cs="Arial" w:eastAsia="Arial" w:hAnsi="Arial"/>
          <w:sz w:val="11"/>
          <w:szCs w:val="11"/>
          <w:color w:val="auto"/>
        </w:rPr>
        <w:t xml:space="preserve"> The preparation of consolidated financial statements in conformity with U.S. GAAP requires management to make estimates and assumptions that affect amounts reported in the consolidated financial statements and accompanying notes. Actual results could differ from those estimates. We have identified investment valuation and revenue recognition as our most critical accounting estimates.</w:t>
      </w:r>
    </w:p>
    <w:p>
      <w:pPr>
        <w:spacing w:after="0" w:line="11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u w:val="single" w:color="auto"/>
          <w:color w:val="auto"/>
        </w:rPr>
        <w:t>Interest and Dividend Income</w:t>
      </w:r>
      <w:r>
        <w:rPr>
          <w:rFonts w:ascii="Arial" w:cs="Arial" w:eastAsia="Arial" w:hAnsi="Arial"/>
          <w:sz w:val="12"/>
          <w:szCs w:val="12"/>
          <w:color w:val="auto"/>
        </w:rPr>
        <w:t xml:space="preserve"> Interest and dividend income is recorded on an accrual basis to the extent amounts are expected to be collected. Dividend income is recognized on the date dividends are declared by the portfolio company or at the point an obligation exists for the portfolio company to make a distribution. Discounts/premiums received to par on loans purchased are capitalized and accreted or amortized into income over the life of the loan using the effective interest method. In accordance with our valuation policy, accrued interest and dividend income is evaluated quarterly for collectability. When we do not expect the debtor to be able to service all of its debt or other obligations, we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 If a loan or debt security’s status significantly improves regarding its ability to service debt or other obligations, it will be restored to accrual basis. As of June 30, 2021, we had two investments on non-accrual status, which represent approximately 1.8% of our total investment portfolio's fair value and approximately 2.4% of its cost. As of March 31, 2021, we did not have any investments on non-accrual status.</w:t>
      </w:r>
    </w:p>
    <w:p>
      <w:pPr>
        <w:spacing w:after="0" w:line="14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 maintain RIC tax treatment, non-cash sources of income such as accretion of interest income may need to be paid out to shareholders in the form of distributions, even though CSWC may not have collected the interest income. For the three months ended June 30, 2021 and 2020, approximately 3.7% and 3.4%, respectively, of CSWC's total investment income was attributable to non-cash interest income for the accretion of discounts associated with debt investments, net of any premium reduction.</w:t>
      </w:r>
    </w:p>
    <w:p>
      <w:pPr>
        <w:spacing w:after="0" w:line="14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u w:val="single" w:color="auto"/>
          <w:color w:val="auto"/>
        </w:rPr>
        <w:t>Payment-in-Kind Interest</w:t>
      </w:r>
      <w:r>
        <w:rPr>
          <w:rFonts w:ascii="Arial" w:cs="Arial" w:eastAsia="Arial" w:hAnsi="Arial"/>
          <w:sz w:val="11"/>
          <w:szCs w:val="11"/>
          <w:color w:val="auto"/>
        </w:rPr>
        <w:t xml:space="preserve"> The Company currently holds, and expects to hold in the future, some investments in its portfolio that contain payment-in-kind (“PIK”) interest provisions. The PIK interest, computed at the contractual rate specified in each loan agreement,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the Company is required to distribute to shareholders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140" w:right="299" w:bottom="1440" w:gutter="0" w:footer="0" w:header="0"/>
        </w:sectPr>
      </w:pPr>
    </w:p>
    <w:bookmarkStart w:id="31" w:name="page32"/>
    <w:bookmarkEnd w:id="31"/>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status and will generally cease recognizing PIK interest income on that loan for financial reporting purposes until all principal and interest have been brought current through payment or due to a restructuring such that the interest income is deemed to be collectible. The Company writes off any accrued and uncollected PIK interest when it is determined that the PIK interest is no longer collectible. As of June 30, 2021 and March 31, 2021, we have not written off any accrued and uncollected PIK interest from prior periods. For the three months ended June 30, 2021, we had one investment for which we stopped accruing PIK interest. For the three months ended June 30, 2020, we had two investments for which we stopped accruing PIK interest. For the three months ended June 30, 2021 and 2020, approximately 5.3% and 7.4%, respectively, of CSWC’s total investment income was attributable to non-cash PIK interest income.</w:t>
      </w:r>
    </w:p>
    <w:p>
      <w:pPr>
        <w:spacing w:after="0" w:line="14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u w:val="single" w:color="auto"/>
          <w:color w:val="auto"/>
        </w:rPr>
        <w:t>Warrants</w:t>
      </w:r>
      <w:r>
        <w:rPr>
          <w:rFonts w:ascii="Arial" w:cs="Arial" w:eastAsia="Arial" w:hAnsi="Arial"/>
          <w:sz w:val="11"/>
          <w:szCs w:val="11"/>
          <w:color w:val="auto"/>
        </w:rPr>
        <w:t xml:space="preserve"> In connection with the Company's debt investments, the Company will sometimes receive warrants or other equity-related securities from the borrower.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u w:val="single" w:color="auto"/>
          <w:color w:val="auto"/>
        </w:rPr>
        <w:t>Debt Issuance Costs</w:t>
      </w:r>
      <w:r>
        <w:rPr>
          <w:rFonts w:ascii="Arial" w:cs="Arial" w:eastAsia="Arial" w:hAnsi="Arial"/>
          <w:sz w:val="12"/>
          <w:szCs w:val="12"/>
          <w:color w:val="auto"/>
        </w:rPr>
        <w:t xml:space="preserve"> Debt issuance costs include commitment fees and other costs related to CSWC’s senior secured credit facility and its unsecured notes (as discussed further in Note 5). The costs in connection with the credit facility have been capitalized and are amortized into interest expense over the term of the credit facility. The costs in connection with the unsecured notes are a direct deduction from the related debt liability and amortized into interest expense over the term of the December 2022 Notes (as defined below), the October 2024 Notes (as defined below) and the January 2026 Notes (as defined below).</w:t>
      </w:r>
    </w:p>
    <w:p>
      <w:pPr>
        <w:spacing w:after="0" w:line="14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u w:val="single" w:color="auto"/>
          <w:color w:val="auto"/>
        </w:rPr>
        <w:t>Deferred Offering Costs</w:t>
      </w:r>
      <w:r>
        <w:rPr>
          <w:rFonts w:ascii="Arial" w:cs="Arial" w:eastAsia="Arial" w:hAnsi="Arial"/>
          <w:sz w:val="12"/>
          <w:szCs w:val="12"/>
          <w:color w:val="auto"/>
        </w:rPr>
        <w:t xml:space="preserve"> Deferred offering costs include registration expenses related to shelf registration statements and expenses related to the launch of the "at-the-market" ("ATM") program through which we can sell, from time to time, shares of our common stock (the "Equity ATM Program"). These expenses consist primarily of SEC registration fees, legal fees and accounting fees incurred related thereto. These expenses are included in other assets on the Consolidated Statements of Assets and Liabilities. Upon the completion of an equity offering or a debt offering, the deferred expenses are charged to additional paid-in capital or debt issuance costs, respectively. If there are any deferred offering costs remaining at the expiration of the shelf registration statement, these deferred costs are charged to expense.</w:t>
      </w:r>
    </w:p>
    <w:p>
      <w:pPr>
        <w:spacing w:after="0" w:line="14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Realized Losses on Extinguishment of Debt</w:t>
      </w:r>
      <w:r>
        <w:rPr>
          <w:rFonts w:ascii="Arial" w:cs="Arial" w:eastAsia="Arial" w:hAnsi="Arial"/>
          <w:sz w:val="12"/>
          <w:szCs w:val="12"/>
          <w:color w:val="auto"/>
        </w:rPr>
        <w:t xml:space="preserve"> Upon the repayment of debt obligations that are deemed to be extinguishments, the difference between the principal amount due at maturity adjusted for any unamortized debt issuance costs is recognized as a loss (i.e., the unamortized debt issuance costs are recognized as a loss upon extinguishment of the underlying debt obligation).</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u w:val="single" w:color="auto"/>
          <w:color w:val="auto"/>
        </w:rPr>
        <w:t>Leases</w:t>
      </w:r>
      <w:r>
        <w:rPr>
          <w:rFonts w:ascii="Arial" w:cs="Arial" w:eastAsia="Arial" w:hAnsi="Arial"/>
          <w:sz w:val="12"/>
          <w:szCs w:val="12"/>
          <w:color w:val="auto"/>
        </w:rPr>
        <w:t xml:space="preserve"> The Company is obligated under an operating lease pursuant to which it is leasing an office facility from a third party with a remaining term of approximately one year. The operating lease is included as an operating lease right-of-use ("ROU") asset and operating lease liability in the accompanying Consolidated Statements of Assets and Liabilities. The Company does not have any financing leases.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ROU asset represents the Company’s right to use an underlying asset for the lease term and the operating lease liability represents the Company’s obligation to make lease payments arising from such lease. Operating lease ROU assets and liabilities are recognized at the commencement date based on the present value of lease payments over the remaining lease term. The Company’s leases do not provide an implicit discount rate, and as such the Company uses its incremental borrowing rate based on the information available at the commencement date in determining the present value of the remaining lease payments. Lease expense is recognized on a straight-line basis over the remaining lease term.</w:t>
      </w:r>
    </w:p>
    <w:p>
      <w:pPr>
        <w:spacing w:after="0" w:line="14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u w:val="single" w:color="auto"/>
          <w:color w:val="auto"/>
        </w:rPr>
        <w:t>Federal Income Taxes</w:t>
      </w:r>
      <w:r>
        <w:rPr>
          <w:rFonts w:ascii="Arial" w:cs="Arial" w:eastAsia="Arial" w:hAnsi="Arial"/>
          <w:sz w:val="12"/>
          <w:szCs w:val="12"/>
          <w:color w:val="auto"/>
        </w:rPr>
        <w:t xml:space="preserve"> CSWC has elected, and intends to qualify annually, to be treated for U.S. federal income tax purposes as a RIC under Subsection M of the Code. By meeting these requirements, we will not be subject to corporate federal income taxes on ordinary income or capital gains timely distributed to shareholders. CSWC's taxable income includes the taxable income generated by CSWC and certain of its subsidiaries. In order to qualify as a RIC, the Company is required to timely distribute to its shareholders at least 90% of investment company taxable income, as defined by the Code, each year. Investment company taxable income generally differs from net income for financial reporting purposes due to temporary and permanent differences in the recognition of income and expenses. Investment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140" w:right="299" w:bottom="1440" w:gutter="0" w:footer="0" w:header="0"/>
        </w:sectPr>
      </w:pPr>
    </w:p>
    <w:bookmarkStart w:id="32" w:name="page33"/>
    <w:bookmarkEnd w:id="32"/>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company taxable income generally excludes net unrealized appreciation or depreciation, as investment gains and losses are not included in investment company taxable income until they are realized.</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Depending on the level of taxable income or capital gains earned in a tax year, we may choose to carry forward taxable income or capital gains in excess of current year distributions into the next year and pay a 4% U.S. federal excise tax on such income. Any such carryover taxable income or capital gains must be distributed through a dividend declared on or prior to the later of (1) the filing of the U.S. federal income tax return for the applicable fiscal year and (2) the fifteenth day of the ninth month following the close of the year in which such taxable income was generated.</w:t>
      </w:r>
    </w:p>
    <w:p>
      <w:pPr>
        <w:spacing w:after="0" w:line="14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lieu of distributing our net capital gains for a year, we may decide to retain some or all of our net capital gains. We will be required to pay a 21% corporate-level federal income tax on any such retained net capital gains. We may elect to treat such retained capital gain as a deemed distribution to shareholders. Under such circumstances, shareholders will be required to include their share of such retained capital gain in income, but will receive a credit for the amount of corporate-level U.S. federal income tax paid with respect to their shares. As an investment company that qualifies as a RIC, federal income taxes payable on security gains that we elect to retain are accrued only on the last day of our tax year, December 31. Any net capital gains actually distributed to shareholders and properly reported by us as capital gain dividends are generally taxable to the shareholders as long-term capital gains. See Note 6 for further discussion.</w:t>
      </w:r>
    </w:p>
    <w:p>
      <w:pPr>
        <w:spacing w:after="0" w:line="146"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CSMC, a former wholly-owned subsidiary of CSWC, was not a RIC and was required to pay taxes at the corporate rate of 21%. Effective December 31, 2020, CSMC merged with and into CSWC and, as a result, the calendar year ended December 31, 2020 was the last year in which the Company incurred tax expense or benefit related to CSMC. For tax purposes, CSMC had elected to be treated as a taxable entity, and therefore CSMC was not consolidated for tax purposes and was taxed at normal corporate tax rates based on taxable income and, as a result of its activities, may generate income tax expense or benefit. The taxable income, or loss, of CSMC may differ from its book income, or loss, due to temporary book and tax timing differences and permanent differences. This income tax expense, or benefit, if any, and the related tax assets and liabilities, are reflected in our consolidated financial statements.</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Taxable Subsidiary, a wholly-owned subsidiary of CSWC, is not a RIC and is required to pay taxes at the corporate rate of 21%. For tax purposes, the Taxable Subsidiary has elected to be treated as a taxable entity, and therefore is not consolidated for tax purposes and is taxed at normal corporate tax rates based on taxable income and, as a result of its activities, may generate income tax expense or benefit. The taxable income, or loss, of the Taxable Subsidiary may differ from its book income, or loss, due to temporary book and tax timing differences and permanent differences. This income tax expense, or benefit, if any, and the related tax assets and liabilities, are reflected in our consolidated financial statements.</w:t>
      </w:r>
    </w:p>
    <w:p>
      <w:pPr>
        <w:spacing w:after="0" w:line="14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Management evaluates tax positions taken or expected to be taken in the course of preparing the Company’s consolidated financial statements to determine whether the tax positions are “more-likely-than-not” to be sustained by the applicable tax authority. Tax positions with respect to tax at the CSWC level not deemed to meet the “more-likely-than-not” threshold would be recorded as an expense in the current year. Management’s conclusions regarding tax positions will be subject to review and may be adjusted at a later date based on factors including, but not limited to, on-going analyses of tax laws, regulations and interpretations thereof. The Company has concluded that it does not have any uncertain tax positions that meet the recognition of measurement criteria of ASC 740, </w:t>
      </w:r>
      <w:r>
        <w:rPr>
          <w:rFonts w:ascii="Arial" w:cs="Arial" w:eastAsia="Arial" w:hAnsi="Arial"/>
          <w:sz w:val="11"/>
          <w:szCs w:val="11"/>
          <w:i w:val="1"/>
          <w:iCs w:val="1"/>
          <w:color w:val="auto"/>
        </w:rPr>
        <w:t>Income Taxes</w:t>
      </w:r>
      <w:r>
        <w:rPr>
          <w:rFonts w:ascii="Arial" w:cs="Arial" w:eastAsia="Arial" w:hAnsi="Arial"/>
          <w:sz w:val="11"/>
          <w:szCs w:val="11"/>
          <w:color w:val="auto"/>
        </w:rPr>
        <w:t>, ("ASC 740") for the current period. Also, we account for interest and, if applicable, penalties for any uncertain tax positions as a component of income tax expense. No interest or penalties expense was recorded during the three months ended June 30, 2021 and 2020.</w:t>
      </w:r>
    </w:p>
    <w:p>
      <w:pPr>
        <w:spacing w:after="0" w:line="13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u w:val="single" w:color="auto"/>
          <w:color w:val="auto"/>
        </w:rPr>
        <w:t>Deferred Taxes</w:t>
      </w:r>
      <w:r>
        <w:rPr>
          <w:rFonts w:ascii="Arial" w:cs="Arial" w:eastAsia="Arial" w:hAnsi="Arial"/>
          <w:sz w:val="12"/>
          <w:szCs w:val="12"/>
          <w:color w:val="auto"/>
        </w:rPr>
        <w:t xml:space="preserve"> Deferred tax assets and liabilities are recorded for losses or income at our taxable subsidiaries using statutory tax rates. A valuation allowance is provided against deferred tax assets when it is more likely than not that some portion or all of the deferred tax asset will not be realized. ASC 740 requires the effects of changes in tax rates and laws on deferred tax balances to be recognized in the period in which the legislation was enacted. See Note 6 for further discussion.</w:t>
      </w:r>
    </w:p>
    <w:p>
      <w:pPr>
        <w:spacing w:after="0" w:line="140" w:lineRule="exact"/>
        <w:rPr>
          <w:sz w:val="20"/>
          <w:szCs w:val="20"/>
          <w:color w:val="auto"/>
        </w:rPr>
      </w:pPr>
    </w:p>
    <w:p>
      <w:pPr>
        <w:jc w:val="both"/>
        <w:ind w:firstLine="432"/>
        <w:spacing w:after="0" w:line="379" w:lineRule="auto"/>
        <w:rPr>
          <w:sz w:val="20"/>
          <w:szCs w:val="20"/>
          <w:color w:val="auto"/>
        </w:rPr>
      </w:pPr>
      <w:r>
        <w:rPr>
          <w:rFonts w:ascii="Arial" w:cs="Arial" w:eastAsia="Arial" w:hAnsi="Arial"/>
          <w:sz w:val="10"/>
          <w:szCs w:val="10"/>
          <w:u w:val="single" w:color="auto"/>
          <w:color w:val="auto"/>
        </w:rPr>
        <w:t>Share-Based Compensation</w:t>
      </w:r>
      <w:r>
        <w:rPr>
          <w:rFonts w:ascii="Arial" w:cs="Arial" w:eastAsia="Arial" w:hAnsi="Arial"/>
          <w:sz w:val="10"/>
          <w:szCs w:val="10"/>
          <w:color w:val="auto"/>
        </w:rPr>
        <w:t xml:space="preserve"> We account for our share-based compensation using the fair value method, as prescribed by ASC Topic 718, Compensation – Stock Compensation. Accordingly, we recognize share-based compensation cost on a straight-line basis for all share-based payments awards granted to employees. For restricted stock awards, we measure the grant date fair value based upon the market price of our common stock on the date of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140" w:right="299" w:bottom="1440" w:gutter="0" w:footer="0" w:header="0"/>
        </w:sectPr>
      </w:pPr>
    </w:p>
    <w:bookmarkStart w:id="33" w:name="page34"/>
    <w:bookmarkEnd w:id="33"/>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grant. For restricted stock awards, we amortize this fair value to share-based compensation expense over the vesting term. We recognize forfeitures as they occur. The unvested shares of restricted stock awarded pursuant to CSWC’s equity compensation plans are participating securities and are included in the basic and diluted earnings per share calculation. On October 26, 2010, we received an exemptive order from the SEC permitting us to issue restricted stock to our executive officers and certain key employees (the “Original Order”). On August 22, 2017, we received an exemptive order that supersedes the Original Order (the “Exemptive Order”) and, in addition to the relief granted under the Original Order, allows us to withhold shares to satisfy tax withholding obligations related to the vesting of restricted stock granted pursuant to the 2010 Restricted Stock Award Plan (the “2010 Plan”). The right to grant restricted stock awards under the 2010 Plan terminated on July 18, 2021, ten years after the date that the 2010 Plan was approved by the Company’s shareholders pursuant to its terms.</w:t>
      </w:r>
    </w:p>
    <w:p>
      <w:pPr>
        <w:spacing w:after="0" w:line="13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In connection with the termination of the 2010 Plan, the Company’s Board of Directors and stockholders approved the Capital Southwest Corporation 2021 Employee Restricted Stock Award Plan (the "2021 Employee Plan") as part of the compensation packages for its employees, the terms of which are, in all material respects, identical to the 2010 Plan. In connection therewith, on July 19, 2021, we received an exemptive order that supersedes the Order (the “Superseding Order”) to permit the Company to (i) issue restricted stock as part of the compensation package for its employees in the 2021 Employee Plan, and (ii) withhold shares of the Company’s common stock or purchase shares of the Company’s common stock from the participants to satisfy tax withholding obligations relating to the vesting of restricted stock pursuant to the 2021 Employee Plan. In addition, on March 29, 2021, we filed an exemptive application with the SEC to permit the Company to (i) issue restricted stock as part of the compensation package for non-employee directors of the Board of Directors (the “Non-Employee Directors”) under the Capital Southwest Corporation 2021 Non-Employee Director Restricted Stock Award Plan (the “Non-Employee Director Plan”), and (ii) withhold shares of the Company’s common stock or purchase shares of the Company’s common stock from the Non-Employee Directors to satisfy tax withholding obligations relating to the vesting of restricted stock pursuant to the Non-Employee Director Plan. There can be no assurance if and when the Company will receive the exemptive order relating to the Non-Employee Director Plan. The terms of the exemptive order, if received, is expected to be substantially similar to the Superseding Order. The Non-Employee Director Plan will also be subject to shareholder approval upon receipt of the exemptive order.</w:t>
      </w:r>
    </w:p>
    <w:p>
      <w:pPr>
        <w:spacing w:after="0" w:line="14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Shareholder Distributions</w:t>
      </w:r>
      <w:r>
        <w:rPr>
          <w:rFonts w:ascii="Arial" w:cs="Arial" w:eastAsia="Arial" w:hAnsi="Arial"/>
          <w:sz w:val="12"/>
          <w:szCs w:val="12"/>
          <w:color w:val="auto"/>
        </w:rPr>
        <w:t xml:space="preserve"> Distributions to common shareholders are recorded on the ex-dividend date. The amount of distributions, if any, is determined by the Board of Directors each quarter and is generally based upon the earnings estimated by management. Net realized capital gains, if any, are generally distributed, although the Company may decide to retain such capital gains for investment.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1"/>
          <w:szCs w:val="11"/>
          <w:u w:val="single" w:color="auto"/>
          <w:color w:val="auto"/>
        </w:rPr>
        <w:t>Presentation</w:t>
      </w:r>
      <w:r>
        <w:rPr>
          <w:rFonts w:ascii="Arial" w:cs="Arial" w:eastAsia="Arial" w:hAnsi="Arial"/>
          <w:sz w:val="11"/>
          <w:szCs w:val="11"/>
          <w:color w:val="auto"/>
        </w:rPr>
        <w:t xml:space="preserve"> Presentation of certain amounts in the Consolidated Financial Statements for the prior year comparative consolidated financial statements is updated to conform to the current period presentation.</w:t>
      </w:r>
    </w:p>
    <w:p>
      <w:pPr>
        <w:spacing w:after="0" w:line="18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u w:val="single" w:color="auto"/>
          <w:color w:val="auto"/>
        </w:rPr>
        <w:t>Recently Issued or Adopted Accounting Standards</w:t>
      </w:r>
      <w:r>
        <w:rPr>
          <w:rFonts w:ascii="Arial" w:cs="Arial" w:eastAsia="Arial" w:hAnsi="Arial"/>
          <w:sz w:val="11"/>
          <w:szCs w:val="11"/>
          <w:color w:val="auto"/>
        </w:rPr>
        <w:t xml:space="preserve"> In March 2020, the FASB issued ASU 2020-04, "Reference rate reform (Topic 848)—Facilitation of the effects of reference rate reform on financial reporting." The amendments in this update provide optional expedients and exceptions for applying U.S. GAAP to certain contracts and hedging relationships that reference LIBOR or another reference rate expected to be discontinued due to reference rate reform and became effective upon issuance for all entities. The Company has agreements that have LIBOR as a reference rate with certain portfolio companies and certain lenders. Many of these agreements include language for choosing an alternative successor rate when LIBOR reference is no longer considered to be appropriate. With respect to other agreements, the Company intends to work with its portfolio companies and lenders to modify agreements to choose an alternative successor rate. Contract modifications are required to be evaluated in determining whether the modifications result in the establishment of new contracts or the continuation of existing contracts. The standard is effective as of March 12, 2020 through December 31, 2022 and the Company plans to apply the amendments in this update to account for contract modifications due to changes in reference rates. The Company does not believe that it will have a material impact on its consolidated financial statements or its disclosures.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November 2020, the SEC issued a final rule that modernized and simplifies Management's Discussion and Analysis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140" w:right="299" w:bottom="1440" w:gutter="0" w:footer="0" w:header="0"/>
        </w:sectPr>
      </w:pPr>
    </w:p>
    <w:bookmarkStart w:id="34" w:name="page35"/>
    <w:bookmarkEnd w:id="34"/>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Early adoption of the Amendments is permitted on an item-by-item basis after the effective date; however, a registrant must fully comply with each adopted item in its entirety. The Company is currently evaluating the impact of the Amendments on its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280"/>
          </w:cols>
          <w:pgMar w:left="300" w:top="140" w:right="319" w:bottom="1440" w:gutter="0" w:footer="0" w:header="0"/>
        </w:sectPr>
      </w:pPr>
    </w:p>
    <w:bookmarkStart w:id="35" w:name="page36"/>
    <w:bookmarkEnd w:id="35"/>
    <w:p>
      <w:pPr>
        <w:ind w:left="80"/>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280" w:hanging="208"/>
        <w:spacing w:after="0"/>
        <w:tabs>
          <w:tab w:leader="none" w:pos="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INVESTMENTS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shows the composition of the investment portfolio, at fair value and cost (with corresponding percentage of total portfolio investments) as of June 30, 2021 and March 31,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8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Fair Value</w:t>
            </w:r>
          </w:p>
        </w:tc>
        <w:tc>
          <w:tcPr>
            <w:tcW w:w="1680" w:type="dxa"/>
            <w:vAlign w:val="bottom"/>
            <w:gridSpan w:val="4"/>
          </w:tcPr>
          <w:p>
            <w:pPr>
              <w:ind w:left="480"/>
              <w:spacing w:after="0"/>
              <w:rPr>
                <w:sz w:val="20"/>
                <w:szCs w:val="20"/>
                <w:color w:val="auto"/>
              </w:rPr>
            </w:pPr>
            <w:r>
              <w:rPr>
                <w:rFonts w:ascii="Arial" w:cs="Arial" w:eastAsia="Arial" w:hAnsi="Arial"/>
                <w:sz w:val="10"/>
                <w:szCs w:val="10"/>
                <w:b w:val="1"/>
                <w:bCs w:val="1"/>
                <w:color w:val="auto"/>
                <w:w w:val="86"/>
              </w:rPr>
              <w:t>Percentage of Total Portfolio</w:t>
            </w:r>
          </w:p>
        </w:tc>
        <w:tc>
          <w:tcPr>
            <w:tcW w:w="1260" w:type="dxa"/>
            <w:vAlign w:val="bottom"/>
            <w:gridSpan w:val="3"/>
          </w:tcPr>
          <w:p>
            <w:pPr>
              <w:ind w:left="240"/>
              <w:spacing w:after="0"/>
              <w:rPr>
                <w:sz w:val="20"/>
                <w:szCs w:val="20"/>
                <w:color w:val="auto"/>
              </w:rPr>
            </w:pPr>
            <w:r>
              <w:rPr>
                <w:rFonts w:ascii="Arial" w:cs="Arial" w:eastAsia="Arial" w:hAnsi="Arial"/>
                <w:sz w:val="10"/>
                <w:szCs w:val="10"/>
                <w:b w:val="1"/>
                <w:bCs w:val="1"/>
                <w:color w:val="auto"/>
                <w:w w:val="82"/>
              </w:rPr>
              <w:t>Percentage of Net Assets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restart"/>
          </w:tcPr>
          <w:p>
            <w:pPr>
              <w:jc w:val="right"/>
              <w:ind w:right="621"/>
              <w:spacing w:after="0"/>
              <w:rPr>
                <w:sz w:val="20"/>
                <w:szCs w:val="20"/>
                <w:color w:val="auto"/>
              </w:rPr>
            </w:pPr>
            <w:r>
              <w:rPr>
                <w:rFonts w:ascii="Arial" w:cs="Arial" w:eastAsia="Arial" w:hAnsi="Arial"/>
                <w:sz w:val="10"/>
                <w:szCs w:val="10"/>
                <w:b w:val="1"/>
                <w:bCs w:val="1"/>
                <w:color w:val="auto"/>
              </w:rPr>
              <w:t>Cost</w:t>
            </w:r>
          </w:p>
        </w:tc>
        <w:tc>
          <w:tcPr>
            <w:tcW w:w="1500" w:type="dxa"/>
            <w:vAlign w:val="bottom"/>
            <w:gridSpan w:val="3"/>
          </w:tcPr>
          <w:p>
            <w:pPr>
              <w:jc w:val="right"/>
              <w:ind w:right="264"/>
              <w:spacing w:after="0"/>
              <w:rPr>
                <w:sz w:val="20"/>
                <w:szCs w:val="20"/>
                <w:color w:val="auto"/>
              </w:rPr>
            </w:pPr>
            <w:r>
              <w:rPr>
                <w:rFonts w:ascii="Arial" w:cs="Arial" w:eastAsia="Arial" w:hAnsi="Arial"/>
                <w:sz w:val="10"/>
                <w:szCs w:val="10"/>
                <w:b w:val="1"/>
                <w:bCs w:val="1"/>
                <w:color w:val="auto"/>
                <w:w w:val="84"/>
              </w:rPr>
              <w:t>Percentage of Total Portfolio</w:t>
            </w: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w w:val="94"/>
              </w:rPr>
              <w:t>at Fair Value</w:t>
            </w: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w w:val="87"/>
              </w:rPr>
              <w:t>at Fair Value</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at Cost</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w w:val="88"/>
              </w:rPr>
              <w:t>(dollars in thousands)</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20"/>
                <w:szCs w:val="20"/>
                <w:color w:val="auto"/>
              </w:rPr>
            </w:pPr>
            <w:r>
              <w:rPr>
                <w:rFonts w:ascii="Arial" w:cs="Arial" w:eastAsia="Arial" w:hAnsi="Arial"/>
                <w:sz w:val="10"/>
                <w:szCs w:val="10"/>
                <w:b w:val="1"/>
                <w:bCs w:val="1"/>
                <w:color w:val="auto"/>
                <w:w w:val="71"/>
              </w:rPr>
              <w:t>0,</w:t>
            </w:r>
          </w:p>
        </w:tc>
        <w:tc>
          <w:tcPr>
            <w:tcW w:w="2300" w:type="dxa"/>
            <w:vAlign w:val="bottom"/>
            <w:shd w:val="clear" w:color="auto" w:fill="CCEEFF"/>
          </w:tcPr>
          <w:p>
            <w:pPr>
              <w:jc w:val="right"/>
              <w:ind w:right="1940"/>
              <w:spacing w:after="0"/>
              <w:rPr>
                <w:sz w:val="20"/>
                <w:szCs w:val="20"/>
                <w:color w:val="auto"/>
              </w:rPr>
            </w:pPr>
            <w:r>
              <w:rPr>
                <w:rFonts w:ascii="Arial" w:cs="Arial" w:eastAsia="Arial" w:hAnsi="Arial"/>
                <w:sz w:val="12"/>
                <w:szCs w:val="12"/>
                <w:b w:val="1"/>
                <w:bCs w:val="1"/>
                <w:color w:val="auto"/>
                <w:w w:val="91"/>
              </w:rPr>
              <w:t>2021:</w:t>
            </w:r>
          </w:p>
        </w:tc>
        <w:tc>
          <w:tcPr>
            <w:tcW w:w="17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gridSpan w:val="2"/>
          </w:tcPr>
          <w:p>
            <w:pPr>
              <w:ind w:left="20"/>
              <w:spacing w:after="0"/>
              <w:rPr>
                <w:sz w:val="20"/>
                <w:szCs w:val="20"/>
                <w:color w:val="auto"/>
              </w:rPr>
            </w:pPr>
            <w:r>
              <w:rPr>
                <w:rFonts w:ascii="Arial" w:cs="Arial" w:eastAsia="Arial" w:hAnsi="Arial"/>
                <w:sz w:val="12"/>
                <w:szCs w:val="12"/>
                <w:color w:val="auto"/>
              </w:rPr>
              <w:t>ien loans</w:t>
            </w:r>
            <w:r>
              <w:rPr>
                <w:rFonts w:ascii="Arial" w:cs="Arial" w:eastAsia="Arial" w:hAnsi="Arial"/>
                <w:sz w:val="15"/>
                <w:szCs w:val="15"/>
                <w:color w:val="auto"/>
                <w:vertAlign w:val="superscript"/>
              </w:rPr>
              <w:t>1,2</w:t>
            </w:r>
          </w:p>
        </w:tc>
        <w:tc>
          <w:tcPr>
            <w:tcW w:w="1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606,159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70"/>
              </w:rPr>
              <w:t>75.%9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75"/>
              </w:rPr>
              <w:t>$164.%7</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612,779</w:t>
            </w:r>
          </w:p>
        </w:tc>
        <w:tc>
          <w:tcPr>
            <w:tcW w:w="1500" w:type="dxa"/>
            <w:vAlign w:val="bottom"/>
            <w:gridSpan w:val="3"/>
          </w:tcPr>
          <w:p>
            <w:pPr>
              <w:jc w:val="right"/>
              <w:spacing w:after="0"/>
              <w:rPr>
                <w:sz w:val="20"/>
                <w:szCs w:val="20"/>
                <w:color w:val="auto"/>
              </w:rPr>
            </w:pPr>
            <w:r>
              <w:rPr>
                <w:rFonts w:ascii="Arial" w:cs="Arial" w:eastAsia="Arial" w:hAnsi="Arial"/>
                <w:sz w:val="12"/>
                <w:szCs w:val="12"/>
                <w:color w:val="auto"/>
              </w:rPr>
              <w:t>76.0%</w:t>
            </w:r>
          </w:p>
        </w:tc>
        <w:tc>
          <w:tcPr>
            <w:tcW w:w="0" w:type="dxa"/>
            <w:vAlign w:val="bottom"/>
          </w:tcPr>
          <w:p>
            <w:pPr>
              <w:spacing w:after="0"/>
              <w:rPr>
                <w:sz w:val="1"/>
                <w:szCs w:val="1"/>
                <w:color w:val="auto"/>
              </w:rPr>
            </w:pPr>
          </w:p>
        </w:tc>
      </w:tr>
      <w:tr>
        <w:trPr>
          <w:trHeight w:val="153"/>
        </w:trPr>
        <w:tc>
          <w:tcPr>
            <w:tcW w:w="80" w:type="dxa"/>
            <w:vAlign w:val="bottom"/>
          </w:tcPr>
          <w:p>
            <w:pPr>
              <w:ind w:left="20"/>
              <w:spacing w:after="0"/>
              <w:rPr>
                <w:sz w:val="20"/>
                <w:szCs w:val="20"/>
                <w:color w:val="auto"/>
              </w:rPr>
            </w:pPr>
            <w:r>
              <w:rPr>
                <w:rFonts w:ascii="Arial" w:cs="Arial" w:eastAsia="Arial" w:hAnsi="Arial"/>
                <w:sz w:val="10"/>
                <w:szCs w:val="10"/>
                <w:color w:val="auto"/>
                <w:w w:val="71"/>
              </w:rPr>
              <w:t>d</w:t>
            </w:r>
          </w:p>
        </w:tc>
        <w:tc>
          <w:tcPr>
            <w:tcW w:w="2300" w:type="dxa"/>
            <w:vAlign w:val="bottom"/>
            <w:shd w:val="clear" w:color="auto" w:fill="CCEEFF"/>
          </w:tcPr>
          <w:p>
            <w:pPr>
              <w:jc w:val="center"/>
              <w:ind w:right="1660"/>
              <w:spacing w:after="0" w:line="153" w:lineRule="exact"/>
              <w:rPr>
                <w:sz w:val="20"/>
                <w:szCs w:val="20"/>
                <w:color w:val="auto"/>
              </w:rPr>
            </w:pPr>
            <w:r>
              <w:rPr>
                <w:rFonts w:ascii="Arial" w:cs="Arial" w:eastAsia="Arial" w:hAnsi="Arial"/>
                <w:sz w:val="12"/>
                <w:szCs w:val="12"/>
                <w:color w:val="auto"/>
                <w:w w:val="88"/>
              </w:rPr>
              <w:t>lien loans</w:t>
            </w:r>
            <w:r>
              <w:rPr>
                <w:rFonts w:ascii="Arial" w:cs="Arial" w:eastAsia="Arial" w:hAnsi="Arial"/>
                <w:sz w:val="15"/>
                <w:szCs w:val="15"/>
                <w:color w:val="auto"/>
                <w:w w:val="88"/>
                <w:vertAlign w:val="superscript"/>
              </w:rPr>
              <w:t>2</w:t>
            </w:r>
          </w:p>
        </w:tc>
        <w:tc>
          <w:tcPr>
            <w:tcW w:w="17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53,009</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53,675</w:t>
            </w:r>
          </w:p>
        </w:tc>
        <w:tc>
          <w:tcPr>
            <w:tcW w:w="1500" w:type="dxa"/>
            <w:vAlign w:val="bottom"/>
            <w:gridSpan w:val="3"/>
            <w:shd w:val="clear" w:color="auto" w:fill="CCEEFF"/>
          </w:tcPr>
          <w:p>
            <w:pPr>
              <w:jc w:val="right"/>
              <w:ind w:right="4"/>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2300" w:type="dxa"/>
            <w:vAlign w:val="bottom"/>
          </w:tcPr>
          <w:p>
            <w:pPr>
              <w:jc w:val="center"/>
              <w:ind w:right="1680"/>
              <w:spacing w:after="0" w:line="153" w:lineRule="exact"/>
              <w:rPr>
                <w:sz w:val="20"/>
                <w:szCs w:val="20"/>
                <w:color w:val="auto"/>
              </w:rPr>
            </w:pPr>
            <w:r>
              <w:rPr>
                <w:rFonts w:ascii="Arial" w:cs="Arial" w:eastAsia="Arial" w:hAnsi="Arial"/>
                <w:sz w:val="12"/>
                <w:szCs w:val="12"/>
                <w:color w:val="auto"/>
                <w:w w:val="78"/>
              </w:rPr>
              <w:t>dinated debt</w:t>
            </w:r>
            <w:r>
              <w:rPr>
                <w:rFonts w:ascii="Arial" w:cs="Arial" w:eastAsia="Arial" w:hAnsi="Arial"/>
                <w:sz w:val="15"/>
                <w:szCs w:val="15"/>
                <w:color w:val="auto"/>
                <w:w w:val="78"/>
                <w:vertAlign w:val="superscript"/>
              </w:rPr>
              <w:t>3</w:t>
            </w:r>
          </w:p>
        </w:tc>
        <w:tc>
          <w:tcPr>
            <w:tcW w:w="1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12,089</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12,007</w:t>
            </w:r>
          </w:p>
        </w:tc>
        <w:tc>
          <w:tcPr>
            <w:tcW w:w="1500" w:type="dxa"/>
            <w:vAlign w:val="bottom"/>
            <w:gridSpan w:val="3"/>
          </w:tcPr>
          <w:p>
            <w:pPr>
              <w:jc w:val="right"/>
              <w:ind w:right="4"/>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rPr>
                <w:sz w:val="20"/>
                <w:szCs w:val="20"/>
                <w:color w:val="auto"/>
              </w:rPr>
            </w:pPr>
            <w:r>
              <w:rPr>
                <w:rFonts w:ascii="Arial" w:cs="Arial" w:eastAsia="Arial" w:hAnsi="Arial"/>
                <w:sz w:val="12"/>
                <w:szCs w:val="12"/>
                <w:color w:val="auto"/>
              </w:rPr>
              <w:t>rred equity</w:t>
            </w:r>
          </w:p>
        </w:tc>
        <w:tc>
          <w:tcPr>
            <w:tcW w:w="1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27,267</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18,356</w:t>
            </w:r>
          </w:p>
        </w:tc>
        <w:tc>
          <w:tcPr>
            <w:tcW w:w="1500" w:type="dxa"/>
            <w:vAlign w:val="bottom"/>
            <w:gridSpan w:val="3"/>
          </w:tcPr>
          <w:p>
            <w:pPr>
              <w:jc w:val="right"/>
              <w:ind w:right="4"/>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rPr>
                <w:sz w:val="20"/>
                <w:szCs w:val="20"/>
                <w:color w:val="auto"/>
              </w:rPr>
            </w:pPr>
            <w:r>
              <w:rPr>
                <w:rFonts w:ascii="Arial" w:cs="Arial" w:eastAsia="Arial" w:hAnsi="Arial"/>
                <w:sz w:val="12"/>
                <w:szCs w:val="12"/>
                <w:color w:val="auto"/>
              </w:rPr>
              <w:t>mon equity &amp; warrants</w:t>
            </w:r>
          </w:p>
        </w:tc>
        <w:tc>
          <w:tcPr>
            <w:tcW w:w="1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38,851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33,469</w:t>
            </w:r>
          </w:p>
        </w:tc>
        <w:tc>
          <w:tcPr>
            <w:tcW w:w="1500" w:type="dxa"/>
            <w:vAlign w:val="bottom"/>
            <w:gridSpan w:val="3"/>
          </w:tcPr>
          <w:p>
            <w:pPr>
              <w:jc w:val="right"/>
              <w:ind w:right="4"/>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80"/>
        </w:trPr>
        <w:tc>
          <w:tcPr>
            <w:tcW w:w="2380" w:type="dxa"/>
            <w:vAlign w:val="bottom"/>
            <w:gridSpan w:val="2"/>
          </w:tcPr>
          <w:p>
            <w:pPr>
              <w:ind w:left="20"/>
              <w:spacing w:after="0"/>
              <w:rPr>
                <w:sz w:val="20"/>
                <w:szCs w:val="20"/>
                <w:color w:val="auto"/>
              </w:rPr>
            </w:pPr>
            <w:r>
              <w:rPr>
                <w:rFonts w:ascii="Arial" w:cs="Arial" w:eastAsia="Arial" w:hAnsi="Arial"/>
                <w:sz w:val="12"/>
                <w:szCs w:val="12"/>
                <w:color w:val="auto"/>
              </w:rPr>
              <w:t>LF LLC</w:t>
            </w:r>
            <w:r>
              <w:rPr>
                <w:rFonts w:ascii="Arial" w:cs="Arial" w:eastAsia="Arial" w:hAnsi="Arial"/>
                <w:sz w:val="15"/>
                <w:szCs w:val="15"/>
                <w:color w:val="auto"/>
                <w:vertAlign w:val="superscript"/>
              </w:rPr>
              <w:t>4</w:t>
            </w:r>
          </w:p>
        </w:tc>
        <w:tc>
          <w:tcPr>
            <w:tcW w:w="17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61,272</w:t>
            </w: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76,000</w:t>
            </w: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798,647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w w:val="78"/>
              </w:rPr>
              <w:t>100.%0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75"/>
              </w:rPr>
              <w:t>$217.%0</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806,286</w:t>
            </w:r>
          </w:p>
        </w:tc>
        <w:tc>
          <w:tcPr>
            <w:tcW w:w="1500" w:type="dxa"/>
            <w:vAlign w:val="bottom"/>
            <w:gridSpan w:val="3"/>
          </w:tcPr>
          <w:p>
            <w:pPr>
              <w:jc w:val="right"/>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31, 2021:</w:t>
            </w: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38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380" w:type="dxa"/>
            <w:vAlign w:val="bottom"/>
            <w:gridSpan w:val="2"/>
          </w:tcPr>
          <w:p>
            <w:pPr>
              <w:ind w:left="20"/>
              <w:spacing w:after="0" w:line="153" w:lineRule="exact"/>
              <w:rPr>
                <w:sz w:val="20"/>
                <w:szCs w:val="20"/>
                <w:color w:val="auto"/>
              </w:rPr>
            </w:pPr>
            <w:r>
              <w:rPr>
                <w:rFonts w:ascii="Arial" w:cs="Arial" w:eastAsia="Arial" w:hAnsi="Arial"/>
                <w:sz w:val="12"/>
                <w:szCs w:val="12"/>
                <w:color w:val="auto"/>
              </w:rPr>
              <w:t>ien loans</w:t>
            </w:r>
            <w:r>
              <w:rPr>
                <w:rFonts w:ascii="Arial" w:cs="Arial" w:eastAsia="Arial" w:hAnsi="Arial"/>
                <w:sz w:val="15"/>
                <w:szCs w:val="15"/>
                <w:color w:val="auto"/>
                <w:vertAlign w:val="superscript"/>
              </w:rPr>
              <w:t>1,2</w:t>
            </w:r>
          </w:p>
        </w:tc>
        <w:tc>
          <w:tcPr>
            <w:tcW w:w="1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524,161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70"/>
              </w:rPr>
              <w:t>76.%1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75"/>
              </w:rPr>
              <w:t>$155.%9</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530,366</w:t>
            </w:r>
          </w:p>
        </w:tc>
        <w:tc>
          <w:tcPr>
            <w:tcW w:w="1500" w:type="dxa"/>
            <w:vAlign w:val="bottom"/>
            <w:gridSpan w:val="3"/>
          </w:tcPr>
          <w:p>
            <w:pPr>
              <w:jc w:val="right"/>
              <w:spacing w:after="0"/>
              <w:rPr>
                <w:sz w:val="20"/>
                <w:szCs w:val="20"/>
                <w:color w:val="auto"/>
              </w:rPr>
            </w:pPr>
            <w:r>
              <w:rPr>
                <w:rFonts w:ascii="Arial" w:cs="Arial" w:eastAsia="Arial" w:hAnsi="Arial"/>
                <w:sz w:val="12"/>
                <w:szCs w:val="12"/>
                <w:color w:val="auto"/>
              </w:rPr>
              <w:t>75.4%</w:t>
            </w:r>
          </w:p>
        </w:tc>
        <w:tc>
          <w:tcPr>
            <w:tcW w:w="0" w:type="dxa"/>
            <w:vAlign w:val="bottom"/>
          </w:tcPr>
          <w:p>
            <w:pPr>
              <w:spacing w:after="0"/>
              <w:rPr>
                <w:sz w:val="1"/>
                <w:szCs w:val="1"/>
                <w:color w:val="auto"/>
              </w:rPr>
            </w:pPr>
          </w:p>
        </w:tc>
      </w:tr>
      <w:tr>
        <w:trPr>
          <w:trHeight w:val="153"/>
        </w:trPr>
        <w:tc>
          <w:tcPr>
            <w:tcW w:w="80" w:type="dxa"/>
            <w:vAlign w:val="bottom"/>
          </w:tcPr>
          <w:p>
            <w:pPr>
              <w:ind w:left="20"/>
              <w:spacing w:after="0"/>
              <w:rPr>
                <w:sz w:val="20"/>
                <w:szCs w:val="20"/>
                <w:color w:val="auto"/>
              </w:rPr>
            </w:pPr>
            <w:r>
              <w:rPr>
                <w:rFonts w:ascii="Arial" w:cs="Arial" w:eastAsia="Arial" w:hAnsi="Arial"/>
                <w:sz w:val="10"/>
                <w:szCs w:val="10"/>
                <w:color w:val="auto"/>
                <w:w w:val="71"/>
              </w:rPr>
              <w:t>d</w:t>
            </w:r>
          </w:p>
        </w:tc>
        <w:tc>
          <w:tcPr>
            <w:tcW w:w="2300" w:type="dxa"/>
            <w:vAlign w:val="bottom"/>
            <w:shd w:val="clear" w:color="auto" w:fill="CCEEFF"/>
          </w:tcPr>
          <w:p>
            <w:pPr>
              <w:jc w:val="center"/>
              <w:ind w:right="1660"/>
              <w:spacing w:after="0" w:line="153" w:lineRule="exact"/>
              <w:rPr>
                <w:sz w:val="20"/>
                <w:szCs w:val="20"/>
                <w:color w:val="auto"/>
              </w:rPr>
            </w:pPr>
            <w:r>
              <w:rPr>
                <w:rFonts w:ascii="Arial" w:cs="Arial" w:eastAsia="Arial" w:hAnsi="Arial"/>
                <w:sz w:val="12"/>
                <w:szCs w:val="12"/>
                <w:color w:val="auto"/>
                <w:w w:val="88"/>
              </w:rPr>
              <w:t>lien loans</w:t>
            </w:r>
            <w:r>
              <w:rPr>
                <w:rFonts w:ascii="Arial" w:cs="Arial" w:eastAsia="Arial" w:hAnsi="Arial"/>
                <w:sz w:val="15"/>
                <w:szCs w:val="15"/>
                <w:color w:val="auto"/>
                <w:w w:val="88"/>
                <w:vertAlign w:val="superscript"/>
              </w:rPr>
              <w:t>2</w:t>
            </w:r>
          </w:p>
        </w:tc>
        <w:tc>
          <w:tcPr>
            <w:tcW w:w="17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36,919</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40,198</w:t>
            </w:r>
          </w:p>
        </w:tc>
        <w:tc>
          <w:tcPr>
            <w:tcW w:w="1500" w:type="dxa"/>
            <w:vAlign w:val="bottom"/>
            <w:gridSpan w:val="3"/>
            <w:shd w:val="clear" w:color="auto" w:fill="CCEEFF"/>
          </w:tcPr>
          <w:p>
            <w:pPr>
              <w:jc w:val="right"/>
              <w:ind w:right="4"/>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2300" w:type="dxa"/>
            <w:vAlign w:val="bottom"/>
          </w:tcPr>
          <w:p>
            <w:pPr>
              <w:jc w:val="center"/>
              <w:ind w:right="1680"/>
              <w:spacing w:after="0" w:line="153" w:lineRule="exact"/>
              <w:rPr>
                <w:sz w:val="20"/>
                <w:szCs w:val="20"/>
                <w:color w:val="auto"/>
              </w:rPr>
            </w:pPr>
            <w:r>
              <w:rPr>
                <w:rFonts w:ascii="Arial" w:cs="Arial" w:eastAsia="Arial" w:hAnsi="Arial"/>
                <w:sz w:val="12"/>
                <w:szCs w:val="12"/>
                <w:color w:val="auto"/>
                <w:w w:val="78"/>
              </w:rPr>
              <w:t>dinated debt</w:t>
            </w:r>
            <w:r>
              <w:rPr>
                <w:rFonts w:ascii="Arial" w:cs="Arial" w:eastAsia="Arial" w:hAnsi="Arial"/>
                <w:sz w:val="15"/>
                <w:szCs w:val="15"/>
                <w:color w:val="auto"/>
                <w:w w:val="78"/>
                <w:vertAlign w:val="superscript"/>
              </w:rPr>
              <w:t>3</w:t>
            </w:r>
          </w:p>
        </w:tc>
        <w:tc>
          <w:tcPr>
            <w:tcW w:w="1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11,534</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11,588</w:t>
            </w:r>
          </w:p>
        </w:tc>
        <w:tc>
          <w:tcPr>
            <w:tcW w:w="1500" w:type="dxa"/>
            <w:vAlign w:val="bottom"/>
            <w:gridSpan w:val="3"/>
          </w:tcPr>
          <w:p>
            <w:pPr>
              <w:jc w:val="right"/>
              <w:ind w:right="4"/>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rPr>
                <w:sz w:val="20"/>
                <w:szCs w:val="20"/>
                <w:color w:val="auto"/>
              </w:rPr>
            </w:pPr>
            <w:r>
              <w:rPr>
                <w:rFonts w:ascii="Arial" w:cs="Arial" w:eastAsia="Arial" w:hAnsi="Arial"/>
                <w:sz w:val="12"/>
                <w:szCs w:val="12"/>
                <w:color w:val="auto"/>
              </w:rPr>
              <w:t>rred equity</w:t>
            </w:r>
          </w:p>
        </w:tc>
        <w:tc>
          <w:tcPr>
            <w:tcW w:w="1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22,608</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15,378</w:t>
            </w:r>
          </w:p>
        </w:tc>
        <w:tc>
          <w:tcPr>
            <w:tcW w:w="1500" w:type="dxa"/>
            <w:vAlign w:val="bottom"/>
            <w:gridSpan w:val="3"/>
          </w:tcPr>
          <w:p>
            <w:pPr>
              <w:jc w:val="right"/>
              <w:ind w:right="4"/>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rPr>
                <w:sz w:val="20"/>
                <w:szCs w:val="20"/>
                <w:color w:val="auto"/>
              </w:rPr>
            </w:pPr>
            <w:r>
              <w:rPr>
                <w:rFonts w:ascii="Arial" w:cs="Arial" w:eastAsia="Arial" w:hAnsi="Arial"/>
                <w:sz w:val="12"/>
                <w:szCs w:val="12"/>
                <w:color w:val="auto"/>
              </w:rPr>
              <w:t>mon equity &amp; warrants</w:t>
            </w:r>
          </w:p>
        </w:tc>
        <w:tc>
          <w:tcPr>
            <w:tcW w:w="1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36,052</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33,227</w:t>
            </w:r>
          </w:p>
        </w:tc>
        <w:tc>
          <w:tcPr>
            <w:tcW w:w="1500" w:type="dxa"/>
            <w:vAlign w:val="bottom"/>
            <w:gridSpan w:val="3"/>
          </w:tcPr>
          <w:p>
            <w:pPr>
              <w:jc w:val="right"/>
              <w:ind w:right="4"/>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80"/>
        </w:trPr>
        <w:tc>
          <w:tcPr>
            <w:tcW w:w="2380" w:type="dxa"/>
            <w:vAlign w:val="bottom"/>
            <w:gridSpan w:val="2"/>
          </w:tcPr>
          <w:p>
            <w:pPr>
              <w:ind w:left="20"/>
              <w:spacing w:after="0"/>
              <w:rPr>
                <w:sz w:val="20"/>
                <w:szCs w:val="20"/>
                <w:color w:val="auto"/>
              </w:rPr>
            </w:pPr>
            <w:r>
              <w:rPr>
                <w:rFonts w:ascii="Arial" w:cs="Arial" w:eastAsia="Arial" w:hAnsi="Arial"/>
                <w:sz w:val="12"/>
                <w:szCs w:val="12"/>
                <w:color w:val="auto"/>
              </w:rPr>
              <w:t>LF LLC</w:t>
            </w:r>
            <w:r>
              <w:rPr>
                <w:rFonts w:ascii="Arial" w:cs="Arial" w:eastAsia="Arial" w:hAnsi="Arial"/>
                <w:sz w:val="15"/>
                <w:szCs w:val="15"/>
                <w:color w:val="auto"/>
                <w:vertAlign w:val="superscript"/>
              </w:rPr>
              <w:t>4</w:t>
            </w:r>
          </w:p>
        </w:tc>
        <w:tc>
          <w:tcPr>
            <w:tcW w:w="17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57,158</w:t>
            </w: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72,800</w:t>
            </w: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688,432</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w w:val="78"/>
              </w:rPr>
              <w:t>100.%0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75"/>
              </w:rPr>
              <w:t>$204.%7</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703,557</w:t>
            </w:r>
          </w:p>
        </w:tc>
        <w:tc>
          <w:tcPr>
            <w:tcW w:w="1500" w:type="dxa"/>
            <w:vAlign w:val="bottom"/>
            <w:gridSpan w:val="3"/>
          </w:tcPr>
          <w:p>
            <w:pPr>
              <w:jc w:val="right"/>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-1353820</wp:posOffset>
            </wp:positionV>
            <wp:extent cx="6806565"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971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-1159510</wp:posOffset>
            </wp:positionV>
            <wp:extent cx="680656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143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-822325</wp:posOffset>
            </wp:positionV>
            <wp:extent cx="6806565"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971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-433705</wp:posOffset>
            </wp:positionV>
            <wp:extent cx="6806565"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971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-239395</wp:posOffset>
            </wp:positionV>
            <wp:extent cx="6806565"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14300"/>
                    </a:xfrm>
                    <a:prstGeom prst="rect">
                      <a:avLst/>
                    </a:prstGeom>
                    <a:noFill/>
                  </pic:spPr>
                </pic:pic>
              </a:graphicData>
            </a:graphic>
          </wp:anchor>
        </w:drawing>
      </w:r>
    </w:p>
    <w:p>
      <w:pPr>
        <w:spacing w:after="0" w:line="200" w:lineRule="exact"/>
        <w:rPr>
          <w:sz w:val="20"/>
          <w:szCs w:val="20"/>
          <w:color w:val="auto"/>
        </w:rPr>
      </w:pPr>
    </w:p>
    <w:p>
      <w:pPr>
        <w:ind w:left="500" w:right="20" w:hanging="212"/>
        <w:spacing w:after="0" w:line="218" w:lineRule="auto"/>
        <w:tabs>
          <w:tab w:leader="none" w:pos="499" w:val="left"/>
        </w:tabs>
        <w:numPr>
          <w:ilvl w:val="0"/>
          <w:numId w:val="30"/>
        </w:numPr>
        <w:rPr>
          <w:rFonts w:ascii="Arial" w:cs="Arial" w:eastAsia="Arial" w:hAnsi="Arial"/>
          <w:sz w:val="14"/>
          <w:szCs w:val="14"/>
          <w:color w:val="auto"/>
          <w:vertAlign w:val="superscript"/>
        </w:rPr>
      </w:pPr>
      <w:r>
        <w:rPr>
          <w:rFonts w:ascii="Arial" w:cs="Arial" w:eastAsia="Arial" w:hAnsi="Arial"/>
          <w:sz w:val="11"/>
          <w:szCs w:val="11"/>
          <w:color w:val="auto"/>
        </w:rPr>
        <w:t>Included in first lien loans are loans structured as first lien last out loans. These loans may, in certain cases, be subordinated in payment priority to other senior secured lenders. As of June 30, 2021 and March 31, 2021, the fair value of the first lien last out loans are $95.9 million and $85.6 million, respectively.</w:t>
      </w:r>
    </w:p>
    <w:p>
      <w:pPr>
        <w:spacing w:after="0" w:line="81" w:lineRule="exact"/>
        <w:rPr>
          <w:sz w:val="20"/>
          <w:szCs w:val="20"/>
          <w:color w:val="auto"/>
        </w:rPr>
      </w:pPr>
    </w:p>
    <w:p>
      <w:pPr>
        <w:jc w:val="both"/>
        <w:ind w:left="500" w:hanging="212"/>
        <w:spacing w:after="0" w:line="225" w:lineRule="auto"/>
        <w:tabs>
          <w:tab w:leader="none" w:pos="499" w:val="left"/>
        </w:tabs>
        <w:numPr>
          <w:ilvl w:val="0"/>
          <w:numId w:val="31"/>
        </w:numPr>
        <w:rPr>
          <w:rFonts w:ascii="Arial" w:cs="Arial" w:eastAsia="Arial" w:hAnsi="Arial"/>
          <w:sz w:val="14"/>
          <w:szCs w:val="14"/>
          <w:color w:val="auto"/>
          <w:vertAlign w:val="superscript"/>
        </w:rPr>
      </w:pPr>
      <w:r>
        <w:rPr>
          <w:rFonts w:ascii="Arial" w:cs="Arial" w:eastAsia="Arial" w:hAnsi="Arial"/>
          <w:sz w:val="11"/>
          <w:szCs w:val="11"/>
          <w:color w:val="auto"/>
        </w:rPr>
        <w:t>Included in first lien loans and second lien loans are loans structured as split lien term loans. These loans provide the Company with a first lien priority on certain assets of the obligor and a second lien priority on different assets of the obligor. As of June 30, 2021 and March 31, 2021, the fair value of the split lien term loans included in first lien loans is $26.0 million and $25.9 million, respectively. As of June 30, 2021 and March 31, 2021, the fair value of the split lien term loans included in second lien loans is $34.8 million and $19.1 million, respectively.</w:t>
      </w:r>
    </w:p>
    <w:p>
      <w:pPr>
        <w:spacing w:after="0" w:line="64" w:lineRule="exact"/>
        <w:rPr>
          <w:sz w:val="20"/>
          <w:szCs w:val="20"/>
          <w:color w:val="auto"/>
        </w:rPr>
      </w:pPr>
    </w:p>
    <w:p>
      <w:pPr>
        <w:ind w:left="500" w:hanging="212"/>
        <w:spacing w:after="0"/>
        <w:tabs>
          <w:tab w:leader="none" w:pos="500" w:val="left"/>
        </w:tabs>
        <w:numPr>
          <w:ilvl w:val="0"/>
          <w:numId w:val="32"/>
        </w:numPr>
        <w:rPr>
          <w:rFonts w:ascii="Arial" w:cs="Arial" w:eastAsia="Arial" w:hAnsi="Arial"/>
          <w:sz w:val="14"/>
          <w:szCs w:val="14"/>
          <w:color w:val="auto"/>
          <w:vertAlign w:val="superscript"/>
        </w:rPr>
      </w:pPr>
      <w:r>
        <w:rPr>
          <w:rFonts w:ascii="Arial" w:cs="Arial" w:eastAsia="Arial" w:hAnsi="Arial"/>
          <w:sz w:val="11"/>
          <w:szCs w:val="11"/>
          <w:color w:val="auto"/>
        </w:rPr>
        <w:t>Included in subordinated debt is an unsecured convertible note with a fair value of $0.2 million as of both June 30, 2021 and March 31, 2021.</w:t>
      </w:r>
    </w:p>
    <w:p>
      <w:pPr>
        <w:spacing w:after="0" w:line="89" w:lineRule="exact"/>
        <w:rPr>
          <w:sz w:val="20"/>
          <w:szCs w:val="20"/>
          <w:color w:val="auto"/>
        </w:rPr>
      </w:pPr>
    </w:p>
    <w:p>
      <w:pPr>
        <w:ind w:left="500" w:hanging="212"/>
        <w:spacing w:after="0" w:line="218" w:lineRule="auto"/>
        <w:tabs>
          <w:tab w:leader="none" w:pos="499" w:val="left"/>
        </w:tabs>
        <w:numPr>
          <w:ilvl w:val="0"/>
          <w:numId w:val="33"/>
        </w:numPr>
        <w:rPr>
          <w:rFonts w:ascii="Arial" w:cs="Arial" w:eastAsia="Arial" w:hAnsi="Arial"/>
          <w:sz w:val="14"/>
          <w:szCs w:val="14"/>
          <w:color w:val="auto"/>
          <w:vertAlign w:val="superscript"/>
        </w:rPr>
      </w:pPr>
      <w:r>
        <w:rPr>
          <w:rFonts w:ascii="Arial" w:cs="Arial" w:eastAsia="Arial" w:hAnsi="Arial"/>
          <w:sz w:val="11"/>
          <w:szCs w:val="11"/>
          <w:color w:val="auto"/>
        </w:rPr>
        <w:t>I-45 SLF LLC is a joint venture between CSWC and Main Street Capital Corporation. This entity primarily invests in syndicated senior secured loans to the UMM. The portfolio companies held by I-45 SLF LLC represent a diverse set of industry classifications, which are similar to those in which CSWC invests directly. See Note 13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80"/>
          </w:cols>
          <w:pgMar w:left="220" w:top="140" w:right="299" w:bottom="1440" w:gutter="0" w:footer="0" w:header="0"/>
        </w:sectPr>
      </w:pPr>
    </w:p>
    <w:bookmarkStart w:id="36" w:name="page37"/>
    <w:bookmarkEnd w:id="36"/>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tables show the composition of the investment portfolio by industry, at fair value and cost (with corresponding percentage of total portfolio investments) as of June 30, 2021 and March 31,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Fair Value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6"/>
              </w:rPr>
              <w:t>Percentage of Total Portfolio</w:t>
            </w:r>
          </w:p>
        </w:tc>
        <w:tc>
          <w:tcPr>
            <w:tcW w:w="15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2"/>
              </w:rPr>
              <w:t>Percentage of Net Assets</w:t>
            </w:r>
          </w:p>
        </w:tc>
        <w:tc>
          <w:tcPr>
            <w:tcW w:w="320" w:type="dxa"/>
            <w:vAlign w:val="bottom"/>
          </w:tcPr>
          <w:p>
            <w:pPr>
              <w:spacing w:after="0"/>
              <w:rPr>
                <w:sz w:val="10"/>
                <w:szCs w:val="10"/>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Cost</w:t>
            </w:r>
          </w:p>
        </w:tc>
        <w:tc>
          <w:tcPr>
            <w:tcW w:w="1460" w:type="dxa"/>
            <w:vAlign w:val="bottom"/>
          </w:tcPr>
          <w:p>
            <w:pPr>
              <w:jc w:val="right"/>
              <w:ind w:right="81"/>
              <w:spacing w:after="0"/>
              <w:rPr>
                <w:sz w:val="20"/>
                <w:szCs w:val="20"/>
                <w:color w:val="auto"/>
              </w:rPr>
            </w:pPr>
            <w:r>
              <w:rPr>
                <w:rFonts w:ascii="Arial" w:cs="Arial" w:eastAsia="Arial" w:hAnsi="Arial"/>
                <w:sz w:val="10"/>
                <w:szCs w:val="10"/>
                <w:b w:val="1"/>
                <w:bCs w:val="1"/>
                <w:color w:val="auto"/>
                <w:w w:val="95"/>
              </w:rPr>
              <w:t>Percentage of Total Portfolio</w:t>
            </w: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0"/>
              </w:rPr>
              <w:t>at Fair Value</w:t>
            </w: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0"/>
              </w:rPr>
              <w:t>at Fair Value</w:t>
            </w: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vMerge w:val="continue"/>
          </w:tcPr>
          <w:p>
            <w:pPr>
              <w:spacing w:after="0"/>
              <w:rPr>
                <w:sz w:val="10"/>
                <w:szCs w:val="10"/>
                <w:color w:val="auto"/>
              </w:rPr>
            </w:pPr>
          </w:p>
        </w:tc>
        <w:tc>
          <w:tcPr>
            <w:tcW w:w="14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at Cost</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ind w:left="280"/>
              <w:spacing w:after="0"/>
              <w:rPr>
                <w:sz w:val="20"/>
                <w:szCs w:val="20"/>
                <w:color w:val="auto"/>
              </w:rPr>
            </w:pPr>
            <w:r>
              <w:rPr>
                <w:rFonts w:ascii="Arial" w:cs="Arial" w:eastAsia="Arial" w:hAnsi="Arial"/>
                <w:sz w:val="10"/>
                <w:szCs w:val="10"/>
                <w:b w:val="1"/>
                <w:bCs w:val="1"/>
                <w:color w:val="auto"/>
              </w:rPr>
              <w:t>(dollars in thousands)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June 30, 2021:</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Healthcare Services</w:t>
            </w:r>
          </w:p>
        </w:tc>
        <w:tc>
          <w:tcPr>
            <w:tcW w:w="920" w:type="dxa"/>
            <w:vAlign w:val="bottom"/>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90,759</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11.4 %</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24.7 %</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99,759</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12.4 %</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Media, Marketing, &amp; Entertainment</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90,682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24.6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84,516</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Business Services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87,773</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23.8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89,995</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Consumer Products &amp; Retail</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60,490</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16.4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59,918</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53"/>
        </w:trPr>
        <w:tc>
          <w:tcPr>
            <w:tcW w:w="3780" w:type="dxa"/>
            <w:vAlign w:val="bottom"/>
          </w:tcPr>
          <w:p>
            <w:pPr>
              <w:spacing w:after="0" w:line="153" w:lineRule="exact"/>
              <w:rPr>
                <w:sz w:val="20"/>
                <w:szCs w:val="20"/>
                <w:color w:val="auto"/>
              </w:rPr>
            </w:pPr>
            <w:r>
              <w:rPr>
                <w:rFonts w:ascii="Arial" w:cs="Arial" w:eastAsia="Arial" w:hAnsi="Arial"/>
                <w:sz w:val="12"/>
                <w:szCs w:val="12"/>
                <w:color w:val="auto"/>
              </w:rPr>
              <w:t>I-45 SLF LLC</w:t>
            </w:r>
            <w:r>
              <w:rPr>
                <w:rFonts w:ascii="Arial" w:cs="Arial" w:eastAsia="Arial" w:hAnsi="Arial"/>
                <w:sz w:val="15"/>
                <w:szCs w:val="15"/>
                <w:color w:val="auto"/>
                <w:vertAlign w:val="superscript"/>
              </w:rPr>
              <w:t>1</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61,272</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16.7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76,000</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Software &amp; IT Services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59,421</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16.1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58,605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Distribution</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51,674</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51,370</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Industrial Services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39,059</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39,442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Financial Services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34,221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27,660</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Healthcare Products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33,895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32,784</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Technology Products &amp; Components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31,285</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28,215</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Food, Agriculture &amp; Beverage</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27,182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27,232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Transportation &amp; Logistics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24,248</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19,501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Education</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21,601</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21,575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Telecommunications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18,936</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22,011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Energy Services (Midstream)</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15,137</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15,207</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Environmental Services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12,128</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14,642</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Commodities &amp; Mining</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10,128</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10,823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Aerospace &amp; Defense</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9,543</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9,345</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Restaurants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8,301</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6,861</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Specialty Chemicals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7,984</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7,848</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Paper &amp; Forest Products</w:t>
            </w:r>
          </w:p>
        </w:tc>
        <w:tc>
          <w:tcPr>
            <w:tcW w:w="9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2,928</w:t>
            </w:r>
          </w:p>
        </w:tc>
        <w:tc>
          <w:tcPr>
            <w:tcW w:w="10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0.8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2,977</w:t>
            </w:r>
          </w:p>
        </w:tc>
        <w:tc>
          <w:tcPr>
            <w:tcW w:w="10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920" w:type="dxa"/>
            <w:vAlign w:val="bottom"/>
            <w:tcBorders>
              <w:bottom w:val="single" w:sz="8" w:color="auto"/>
            </w:tcBorders>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798,647</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217.0 %</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806,286</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3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941"/>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40" w:right="319" w:bottom="1440" w:gutter="0" w:footer="0" w:header="0"/>
        </w:sectPr>
      </w:pPr>
    </w:p>
    <w:bookmarkStart w:id="37" w:name="page38"/>
    <w:bookmarkEnd w:id="37"/>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Fair Value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6"/>
              </w:rPr>
              <w:t>Percentage of Total Portfolio</w:t>
            </w:r>
          </w:p>
        </w:tc>
        <w:tc>
          <w:tcPr>
            <w:tcW w:w="15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2"/>
              </w:rPr>
              <w:t>Percentage of Net Assets</w:t>
            </w:r>
          </w:p>
        </w:tc>
        <w:tc>
          <w:tcPr>
            <w:tcW w:w="320" w:type="dxa"/>
            <w:vAlign w:val="bottom"/>
          </w:tcPr>
          <w:p>
            <w:pPr>
              <w:spacing w:after="0"/>
              <w:rPr>
                <w:sz w:val="10"/>
                <w:szCs w:val="10"/>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Cost</w:t>
            </w:r>
          </w:p>
        </w:tc>
        <w:tc>
          <w:tcPr>
            <w:tcW w:w="1460" w:type="dxa"/>
            <w:vAlign w:val="bottom"/>
          </w:tcPr>
          <w:p>
            <w:pPr>
              <w:jc w:val="right"/>
              <w:ind w:right="81"/>
              <w:spacing w:after="0"/>
              <w:rPr>
                <w:sz w:val="20"/>
                <w:szCs w:val="20"/>
                <w:color w:val="auto"/>
              </w:rPr>
            </w:pPr>
            <w:r>
              <w:rPr>
                <w:rFonts w:ascii="Arial" w:cs="Arial" w:eastAsia="Arial" w:hAnsi="Arial"/>
                <w:sz w:val="10"/>
                <w:szCs w:val="10"/>
                <w:b w:val="1"/>
                <w:bCs w:val="1"/>
                <w:color w:val="auto"/>
                <w:w w:val="95"/>
              </w:rPr>
              <w:t>Percentage of Total Portfolio</w:t>
            </w: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0"/>
              </w:rPr>
              <w:t>at Fair Value</w:t>
            </w: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0"/>
              </w:rPr>
              <w:t>at Fair Value</w:t>
            </w: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vMerge w:val="continue"/>
          </w:tcPr>
          <w:p>
            <w:pPr>
              <w:spacing w:after="0"/>
              <w:rPr>
                <w:sz w:val="10"/>
                <w:szCs w:val="10"/>
                <w:color w:val="auto"/>
              </w:rPr>
            </w:pPr>
          </w:p>
        </w:tc>
        <w:tc>
          <w:tcPr>
            <w:tcW w:w="14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at Cost</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ind w:left="280"/>
              <w:spacing w:after="0"/>
              <w:rPr>
                <w:sz w:val="20"/>
                <w:szCs w:val="20"/>
                <w:color w:val="auto"/>
              </w:rPr>
            </w:pPr>
            <w:r>
              <w:rPr>
                <w:rFonts w:ascii="Arial" w:cs="Arial" w:eastAsia="Arial" w:hAnsi="Arial"/>
                <w:sz w:val="10"/>
                <w:szCs w:val="10"/>
                <w:b w:val="1"/>
                <w:bCs w:val="1"/>
                <w:color w:val="auto"/>
              </w:rPr>
              <w:t>(dollars in thousands)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March 31, 2021:</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Business Services</w:t>
            </w:r>
          </w:p>
        </w:tc>
        <w:tc>
          <w:tcPr>
            <w:tcW w:w="920" w:type="dxa"/>
            <w:vAlign w:val="bottom"/>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87,839</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12.8 %</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26.1 %</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89,758</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12.8 %</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Media, Marketing, &amp; Entertainment</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80,876</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24.1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75,447</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Healthcare Services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72,411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21.5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81,509</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I-45 SLF LLC</w:t>
            </w:r>
            <w:r>
              <w:rPr>
                <w:rFonts w:ascii="Arial" w:cs="Arial" w:eastAsia="Arial" w:hAnsi="Arial"/>
                <w:sz w:val="15"/>
                <w:szCs w:val="15"/>
                <w:color w:val="auto"/>
                <w:vertAlign w:val="superscript"/>
              </w:rPr>
              <w:t>1</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57,158</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72,800</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Distribution</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53,160</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52,819</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Software &amp; IT Services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46,696</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13.9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45,683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Industrial Services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39,071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39,424</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Healthcare Products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33,937</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32,785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Financial Services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33,861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28,283</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Technology Products &amp; Components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30,716</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9.1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28,220</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Consumer Products &amp; Retail</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29,980</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29,927</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Transportation &amp; Logistics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23,395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19,383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Food, Agriculture &amp; Beverage</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21,575</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21,641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Telecommunications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19,572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24,350</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Environmental Services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12,021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14,510</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Commodities &amp; Mining</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10,138</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10,603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Aerospace &amp; Defense</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9,668</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9,459</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Energy Services (Midstream)</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9,319</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Specialty Chemicals</w:t>
            </w:r>
          </w:p>
        </w:tc>
        <w:tc>
          <w:tcPr>
            <w:tcW w:w="9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7,841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7,841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Restaurants</w:t>
            </w: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6,822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3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Paper &amp; Forest Products</w:t>
            </w:r>
          </w:p>
        </w:tc>
        <w:tc>
          <w:tcPr>
            <w:tcW w:w="9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0.4</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0.9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2,974</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8"/>
        </w:trPr>
        <w:tc>
          <w:tcPr>
            <w:tcW w:w="37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688,432</w:t>
            </w:r>
          </w:p>
        </w:tc>
        <w:tc>
          <w:tcPr>
            <w:tcW w:w="1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204.7 %</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703,557</w:t>
            </w:r>
          </w:p>
        </w:tc>
        <w:tc>
          <w:tcPr>
            <w:tcW w:w="1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20" w:hanging="212"/>
        <w:spacing w:after="0" w:line="218" w:lineRule="auto"/>
        <w:tabs>
          <w:tab w:leader="none" w:pos="419" w:val="left"/>
        </w:tabs>
        <w:numPr>
          <w:ilvl w:val="0"/>
          <w:numId w:val="34"/>
        </w:numPr>
        <w:rPr>
          <w:rFonts w:ascii="Arial" w:cs="Arial" w:eastAsia="Arial" w:hAnsi="Arial"/>
          <w:sz w:val="14"/>
          <w:szCs w:val="14"/>
          <w:color w:val="auto"/>
          <w:vertAlign w:val="superscript"/>
        </w:rPr>
      </w:pPr>
      <w:r>
        <w:rPr>
          <w:rFonts w:ascii="Arial" w:cs="Arial" w:eastAsia="Arial" w:hAnsi="Arial"/>
          <w:sz w:val="11"/>
          <w:szCs w:val="11"/>
          <w:color w:val="auto"/>
        </w:rPr>
        <w:t>I-45 SLF LLC is a joint venture between CSWC and Main Street Capital Corporation. This entity primarily invests in syndicated senior secured loans to the UMM. The portfolio companies in I-45 SLF LLC represent a diverse set of industry classifications, which are similar to those in which CSWC invests directly. See Note 13 for further discussion.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140" w:right="299" w:bottom="1440" w:gutter="0" w:footer="0" w:header="0"/>
        </w:sectPr>
      </w:pPr>
    </w:p>
    <w:bookmarkStart w:id="38" w:name="page39"/>
    <w:bookmarkEnd w:id="38"/>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following tables summarize the composition of the investment portfolio by geographic region of the United States, at fair value and cost (with corresponding percentage of total portfolio investments), as of June 30, 2021 and March 31,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Fair Value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Percentage of Total Portfolio</w:t>
            </w:r>
          </w:p>
        </w:tc>
        <w:tc>
          <w:tcPr>
            <w:tcW w:w="15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2"/>
              </w:rPr>
              <w:t>Percentage of Net Assets</w:t>
            </w:r>
          </w:p>
        </w:tc>
        <w:tc>
          <w:tcPr>
            <w:tcW w:w="320" w:type="dxa"/>
            <w:vAlign w:val="bottom"/>
          </w:tcPr>
          <w:p>
            <w:pPr>
              <w:spacing w:after="0"/>
              <w:rPr>
                <w:sz w:val="10"/>
                <w:szCs w:val="10"/>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Cost</w:t>
            </w:r>
          </w:p>
        </w:tc>
        <w:tc>
          <w:tcPr>
            <w:tcW w:w="1460" w:type="dxa"/>
            <w:vAlign w:val="bottom"/>
          </w:tcPr>
          <w:p>
            <w:pPr>
              <w:jc w:val="right"/>
              <w:ind w:right="81"/>
              <w:spacing w:after="0"/>
              <w:rPr>
                <w:sz w:val="20"/>
                <w:szCs w:val="20"/>
                <w:color w:val="auto"/>
              </w:rPr>
            </w:pPr>
            <w:r>
              <w:rPr>
                <w:rFonts w:ascii="Arial" w:cs="Arial" w:eastAsia="Arial" w:hAnsi="Arial"/>
                <w:sz w:val="10"/>
                <w:szCs w:val="10"/>
                <w:b w:val="1"/>
                <w:bCs w:val="1"/>
                <w:color w:val="auto"/>
                <w:w w:val="95"/>
              </w:rPr>
              <w:t>Percentage of Total Portfolio</w:t>
            </w: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90"/>
              </w:rPr>
              <w:t>at Fair Value</w:t>
            </w: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0"/>
              </w:rPr>
              <w:t>at Fair Value</w:t>
            </w: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vMerge w:val="continue"/>
          </w:tcPr>
          <w:p>
            <w:pPr>
              <w:spacing w:after="0"/>
              <w:rPr>
                <w:sz w:val="10"/>
                <w:szCs w:val="10"/>
                <w:color w:val="auto"/>
              </w:rPr>
            </w:pPr>
          </w:p>
        </w:tc>
        <w:tc>
          <w:tcPr>
            <w:tcW w:w="14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at Cost</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6"/>
              </w:rPr>
              <w:t>(dollars in thousands)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June 30, 2021:</w:t>
            </w: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Southwest</w:t>
            </w: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205,230</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25.7 %</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55.8 %</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208,061</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25.8 %</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Northeast</w:t>
            </w: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186,785</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23.4</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50.7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184,422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West</w:t>
            </w: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125,661</w:t>
            </w:r>
          </w:p>
        </w:tc>
        <w:tc>
          <w:tcPr>
            <w:tcW w:w="80" w:type="dxa"/>
            <w:vAlign w:val="bottom"/>
          </w:tcPr>
          <w:p>
            <w:pPr>
              <w:spacing w:after="0"/>
              <w:rPr>
                <w:sz w:val="13"/>
                <w:szCs w:val="13"/>
                <w:color w:val="auto"/>
              </w:rPr>
            </w:pPr>
          </w:p>
        </w:tc>
        <w:tc>
          <w:tcPr>
            <w:tcW w:w="1480" w:type="dxa"/>
            <w:vAlign w:val="bottom"/>
          </w:tcPr>
          <w:p>
            <w:pPr>
              <w:jc w:val="right"/>
              <w:ind w:right="81"/>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3"/>
                <w:szCs w:val="13"/>
                <w:color w:val="auto"/>
              </w:rPr>
            </w:pPr>
          </w:p>
        </w:tc>
        <w:tc>
          <w:tcPr>
            <w:tcW w:w="1460" w:type="dxa"/>
            <w:vAlign w:val="bottom"/>
          </w:tcPr>
          <w:p>
            <w:pPr>
              <w:jc w:val="right"/>
              <w:ind w:right="102"/>
              <w:spacing w:after="0"/>
              <w:rPr>
                <w:sz w:val="20"/>
                <w:szCs w:val="20"/>
                <w:color w:val="auto"/>
              </w:rPr>
            </w:pPr>
            <w:r>
              <w:rPr>
                <w:rFonts w:ascii="Arial" w:cs="Arial" w:eastAsia="Arial" w:hAnsi="Arial"/>
                <w:sz w:val="12"/>
                <w:szCs w:val="12"/>
                <w:color w:val="auto"/>
              </w:rPr>
              <w:t>34.1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118,658</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Southeast</w:t>
            </w: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120,737</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32.8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122,821</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15.2</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Midwest</w:t>
            </w: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84,357</w:t>
            </w:r>
          </w:p>
        </w:tc>
        <w:tc>
          <w:tcPr>
            <w:tcW w:w="80" w:type="dxa"/>
            <w:vAlign w:val="bottom"/>
          </w:tcPr>
          <w:p>
            <w:pPr>
              <w:spacing w:after="0"/>
              <w:rPr>
                <w:sz w:val="13"/>
                <w:szCs w:val="13"/>
                <w:color w:val="auto"/>
              </w:rPr>
            </w:pPr>
          </w:p>
        </w:tc>
        <w:tc>
          <w:tcPr>
            <w:tcW w:w="1480" w:type="dxa"/>
            <w:vAlign w:val="bottom"/>
          </w:tcPr>
          <w:p>
            <w:pPr>
              <w:jc w:val="right"/>
              <w:ind w:right="81"/>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3"/>
                <w:szCs w:val="13"/>
                <w:color w:val="auto"/>
              </w:rPr>
            </w:pPr>
          </w:p>
        </w:tc>
        <w:tc>
          <w:tcPr>
            <w:tcW w:w="1460" w:type="dxa"/>
            <w:vAlign w:val="bottom"/>
          </w:tcPr>
          <w:p>
            <w:pPr>
              <w:jc w:val="right"/>
              <w:ind w:right="102"/>
              <w:spacing w:after="0"/>
              <w:rPr>
                <w:sz w:val="20"/>
                <w:szCs w:val="20"/>
                <w:color w:val="auto"/>
              </w:rPr>
            </w:pPr>
            <w:r>
              <w:rPr>
                <w:rFonts w:ascii="Arial" w:cs="Arial" w:eastAsia="Arial" w:hAnsi="Arial"/>
                <w:sz w:val="12"/>
                <w:szCs w:val="12"/>
                <w:color w:val="auto"/>
              </w:rPr>
              <w:t>22.9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81,798</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I-45 SLF LLC</w:t>
            </w:r>
            <w:r>
              <w:rPr>
                <w:rFonts w:ascii="Arial" w:cs="Arial" w:eastAsia="Arial" w:hAnsi="Arial"/>
                <w:sz w:val="15"/>
                <w:szCs w:val="15"/>
                <w:color w:val="auto"/>
                <w:vertAlign w:val="superscript"/>
              </w:rPr>
              <w:t>1</w:t>
            </w: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61,272</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16.7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76,000</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53"/>
        </w:trPr>
        <w:tc>
          <w:tcPr>
            <w:tcW w:w="3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International</w:t>
            </w: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14,605</w:t>
            </w: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14,526</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8"/>
        </w:trPr>
        <w:tc>
          <w:tcPr>
            <w:tcW w:w="37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798,647</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217.0 %</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806,286</w:t>
            </w:r>
          </w:p>
        </w:tc>
        <w:tc>
          <w:tcPr>
            <w:tcW w:w="1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March 31, 2021:</w:t>
            </w: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Southwest</w:t>
            </w: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196,956</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28.6 %</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58.6 %</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200,091</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28.4 %</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Northeast</w:t>
            </w: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153,761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22.3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45.7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150,595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Southeast</w:t>
            </w: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120,168</w:t>
            </w:r>
          </w:p>
        </w:tc>
        <w:tc>
          <w:tcPr>
            <w:tcW w:w="80" w:type="dxa"/>
            <w:vAlign w:val="bottom"/>
          </w:tcPr>
          <w:p>
            <w:pPr>
              <w:spacing w:after="0"/>
              <w:rPr>
                <w:sz w:val="13"/>
                <w:szCs w:val="13"/>
                <w:color w:val="auto"/>
              </w:rPr>
            </w:pPr>
          </w:p>
        </w:tc>
        <w:tc>
          <w:tcPr>
            <w:tcW w:w="1480" w:type="dxa"/>
            <w:vAlign w:val="bottom"/>
          </w:tcPr>
          <w:p>
            <w:pPr>
              <w:jc w:val="right"/>
              <w:ind w:right="81"/>
              <w:spacing w:after="0"/>
              <w:rPr>
                <w:sz w:val="20"/>
                <w:szCs w:val="20"/>
                <w:color w:val="auto"/>
              </w:rPr>
            </w:pPr>
            <w:r>
              <w:rPr>
                <w:rFonts w:ascii="Arial" w:cs="Arial" w:eastAsia="Arial" w:hAnsi="Arial"/>
                <w:sz w:val="12"/>
                <w:szCs w:val="12"/>
                <w:color w:val="auto"/>
              </w:rPr>
              <w:t>17.5</w:t>
            </w:r>
          </w:p>
        </w:tc>
        <w:tc>
          <w:tcPr>
            <w:tcW w:w="100" w:type="dxa"/>
            <w:vAlign w:val="bottom"/>
          </w:tcPr>
          <w:p>
            <w:pPr>
              <w:spacing w:after="0"/>
              <w:rPr>
                <w:sz w:val="13"/>
                <w:szCs w:val="13"/>
                <w:color w:val="auto"/>
              </w:rPr>
            </w:pPr>
          </w:p>
        </w:tc>
        <w:tc>
          <w:tcPr>
            <w:tcW w:w="1460" w:type="dxa"/>
            <w:vAlign w:val="bottom"/>
          </w:tcPr>
          <w:p>
            <w:pPr>
              <w:jc w:val="right"/>
              <w:ind w:right="102"/>
              <w:spacing w:after="0"/>
              <w:rPr>
                <w:sz w:val="20"/>
                <w:szCs w:val="20"/>
                <w:color w:val="auto"/>
              </w:rPr>
            </w:pPr>
            <w:r>
              <w:rPr>
                <w:rFonts w:ascii="Arial" w:cs="Arial" w:eastAsia="Arial" w:hAnsi="Arial"/>
                <w:sz w:val="12"/>
                <w:szCs w:val="12"/>
                <w:color w:val="auto"/>
              </w:rPr>
              <w:t>35.7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125,317</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West</w:t>
            </w: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90,910</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13.2</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27.0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87,363</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Midwest</w:t>
            </w: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69,479</w:t>
            </w:r>
          </w:p>
        </w:tc>
        <w:tc>
          <w:tcPr>
            <w:tcW w:w="80" w:type="dxa"/>
            <w:vAlign w:val="bottom"/>
          </w:tcPr>
          <w:p>
            <w:pPr>
              <w:spacing w:after="0"/>
              <w:rPr>
                <w:sz w:val="13"/>
                <w:szCs w:val="13"/>
                <w:color w:val="auto"/>
              </w:rPr>
            </w:pPr>
          </w:p>
        </w:tc>
        <w:tc>
          <w:tcPr>
            <w:tcW w:w="1480" w:type="dxa"/>
            <w:vAlign w:val="bottom"/>
          </w:tcPr>
          <w:p>
            <w:pPr>
              <w:jc w:val="right"/>
              <w:ind w:right="81"/>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3"/>
                <w:szCs w:val="13"/>
                <w:color w:val="auto"/>
              </w:rPr>
            </w:pPr>
          </w:p>
        </w:tc>
        <w:tc>
          <w:tcPr>
            <w:tcW w:w="1460" w:type="dxa"/>
            <w:vAlign w:val="bottom"/>
          </w:tcPr>
          <w:p>
            <w:pPr>
              <w:jc w:val="right"/>
              <w:ind w:right="102"/>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67,391</w:t>
            </w:r>
          </w:p>
        </w:tc>
        <w:tc>
          <w:tcPr>
            <w:tcW w:w="100" w:type="dxa"/>
            <w:vAlign w:val="bottom"/>
          </w:tcPr>
          <w:p>
            <w:pPr>
              <w:spacing w:after="0"/>
              <w:rPr>
                <w:sz w:val="13"/>
                <w:szCs w:val="13"/>
                <w:color w:val="auto"/>
              </w:rPr>
            </w:pPr>
          </w:p>
        </w:tc>
        <w:tc>
          <w:tcPr>
            <w:tcW w:w="1460" w:type="dxa"/>
            <w:vAlign w:val="bottom"/>
          </w:tcPr>
          <w:p>
            <w:pPr>
              <w:jc w:val="right"/>
              <w:ind w:right="81"/>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I-45 SLF LLC</w:t>
            </w:r>
            <w:r>
              <w:rPr>
                <w:rFonts w:ascii="Arial" w:cs="Arial" w:eastAsia="Arial" w:hAnsi="Arial"/>
                <w:sz w:val="15"/>
                <w:szCs w:val="15"/>
                <w:color w:val="auto"/>
                <w:vertAlign w:val="superscript"/>
              </w:rPr>
              <w:t>1</w:t>
            </w:r>
          </w:p>
        </w:tc>
        <w:tc>
          <w:tcPr>
            <w:tcW w:w="9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57,158</w:t>
            </w:r>
          </w:p>
        </w:tc>
        <w:tc>
          <w:tcPr>
            <w:tcW w:w="80" w:type="dxa"/>
            <w:vAlign w:val="bottom"/>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72,800</w:t>
            </w:r>
          </w:p>
        </w:tc>
        <w:tc>
          <w:tcPr>
            <w:tcW w:w="10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90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688,432</w:t>
            </w:r>
          </w:p>
        </w:tc>
        <w:tc>
          <w:tcPr>
            <w:tcW w:w="80" w:type="dxa"/>
            <w:vAlign w:val="bottom"/>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204.7 %</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703,557</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420" w:hanging="212"/>
        <w:spacing w:after="0" w:line="218" w:lineRule="auto"/>
        <w:tabs>
          <w:tab w:leader="none" w:pos="419" w:val="left"/>
        </w:tabs>
        <w:numPr>
          <w:ilvl w:val="0"/>
          <w:numId w:val="35"/>
        </w:numPr>
        <w:rPr>
          <w:rFonts w:ascii="Arial" w:cs="Arial" w:eastAsia="Arial" w:hAnsi="Arial"/>
          <w:sz w:val="14"/>
          <w:szCs w:val="14"/>
          <w:color w:val="auto"/>
          <w:vertAlign w:val="superscript"/>
        </w:rPr>
      </w:pPr>
      <w:r>
        <w:rPr>
          <w:rFonts w:ascii="Arial" w:cs="Arial" w:eastAsia="Arial" w:hAnsi="Arial"/>
          <w:sz w:val="11"/>
          <w:szCs w:val="11"/>
          <w:color w:val="auto"/>
        </w:rPr>
        <w:t>I-45 SLF LLC is a joint venture between CSWC and Main Street Capital Corporation. This entity primarily invests in syndicated senior secured loans to the UMM. The portfolio companies held by I-45 SLF LLC represent a diverse set of industry classifications, which are similar to those in which CSWC invests directly. See Note 13 for further discussion.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0"/>
          </w:cols>
          <w:pgMar w:left="300" w:top="140" w:right="299" w:bottom="1440" w:gutter="0" w:footer="0" w:header="0"/>
        </w:sectPr>
      </w:pPr>
    </w:p>
    <w:bookmarkStart w:id="39" w:name="page40"/>
    <w:bookmarkEnd w:id="39"/>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FAIR VALUE MEASUREMENTS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Investment Valuation Process</w:t>
      </w:r>
    </w:p>
    <w:p>
      <w:pPr>
        <w:spacing w:after="0" w:line="172" w:lineRule="exact"/>
        <w:rPr>
          <w:sz w:val="20"/>
          <w:szCs w:val="20"/>
          <w:color w:val="auto"/>
        </w:rPr>
      </w:pPr>
    </w:p>
    <w:p>
      <w:pPr>
        <w:jc w:val="both"/>
        <w:ind w:left="8" w:right="20" w:firstLine="432"/>
        <w:spacing w:after="0" w:line="289" w:lineRule="auto"/>
        <w:rPr>
          <w:sz w:val="20"/>
          <w:szCs w:val="20"/>
          <w:color w:val="auto"/>
        </w:rPr>
      </w:pPr>
      <w:r>
        <w:rPr>
          <w:rFonts w:ascii="Arial" w:cs="Arial" w:eastAsia="Arial" w:hAnsi="Arial"/>
          <w:sz w:val="11"/>
          <w:szCs w:val="11"/>
          <w:color w:val="auto"/>
        </w:rPr>
        <w:t>The valuation process is led by the finance department in conjunction with the investment team. The process includes a monthly review of each investment by our executive officers and investment team. Valuations of each portfolio security are prepared quarterly by the finance department using updated financial and other operational information collected by the investment team. Each investment valuation is then subject to review by the executive officers and investment team. In conjunction with the internal valuation process, we have also engaged multiple independent consulting firms specializing in financial due diligence, valuation, and business advisory services to provide third-party valuation reviews of certain investments. The third-party valuation firms provide a range of values for selected investments, which is presented to CSWC’s executive officers and Board of Directors.</w:t>
      </w:r>
    </w:p>
    <w:p>
      <w:pPr>
        <w:spacing w:after="0" w:line="12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CSWC also uses a standard internal investment rating system in connection with its investment oversight, portfolio management, and investment valuation procedures for its debt portfolio. This system takes into account both quantitative and qualitative factors of the portfolio company and the investments held therein.</w:t>
      </w:r>
    </w:p>
    <w:p>
      <w:pPr>
        <w:spacing w:after="0" w:line="133"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There is no single standard for determining fair value in good faith, as fair value depends upon the specific circumstances of each individual investment. While management believes our valuation methodologies are appropriate and consistent with market participants, the recorded fair values of our investments may differ significantly from fair values that would have been used had an active market for the securities existed. In addition, changes in the market environment and other events that may occur over the life of the investments may cause the gains or losses ultimately realized on these investments to be different than the valuations currently assigned. The Board of Directors has the ultimate responsibility for reviewing and approving, in good faith, the fair value of CSWC’s investments in accordance with the 1940 Act.</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Hierarchy</w:t>
      </w:r>
    </w:p>
    <w:p>
      <w:pPr>
        <w:spacing w:after="0" w:line="172"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 xml:space="preserve">CSWC has established and documented processes for determining the fair values of portfolio company investments on a recurring basis in accordance with the 1940 Act and ASC 820. </w:t>
      </w:r>
      <w:r>
        <w:rPr>
          <w:rFonts w:ascii="Arial" w:cs="Arial" w:eastAsia="Arial" w:hAnsi="Arial"/>
          <w:sz w:val="9"/>
          <w:szCs w:val="9"/>
          <w:color w:val="auto"/>
        </w:rPr>
        <w:t>As</w:t>
      </w:r>
      <w:r>
        <w:rPr>
          <w:rFonts w:ascii="Arial" w:cs="Arial" w:eastAsia="Arial" w:hAnsi="Arial"/>
          <w:sz w:val="11"/>
          <w:szCs w:val="11"/>
          <w:color w:val="auto"/>
        </w:rPr>
        <w:t xml:space="preserve"> required by ASC 820, 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unrealized appreciation and depreciation related to such investments categorized within the Level 3 tables below may include changes in fair value that are attributable to both observable inputs (Levels 1 and 2) and unobservable inputs (Level 3). CSWC conducts reviews of fair value hierarchy classifications on a quarterly basis. We also use judgment and consider factors specific to the investment in determining the significance of an input to a fair value measurement.</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three levels of valuation inputs established by ASC 820 are as follows:</w:t>
      </w:r>
    </w:p>
    <w:p>
      <w:pPr>
        <w:spacing w:after="0" w:line="177" w:lineRule="exact"/>
        <w:rPr>
          <w:sz w:val="20"/>
          <w:szCs w:val="20"/>
          <w:color w:val="auto"/>
        </w:rPr>
      </w:pPr>
    </w:p>
    <w:p>
      <w:pPr>
        <w:ind w:left="648" w:hanging="216"/>
        <w:spacing w:after="0"/>
        <w:tabs>
          <w:tab w:leader="none" w:pos="648"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Investments whose values are based on unadjusted quoted prices in active markets for identical assets or liabilities.</w:t>
      </w:r>
    </w:p>
    <w:p>
      <w:pPr>
        <w:spacing w:after="0" w:line="114" w:lineRule="exact"/>
        <w:rPr>
          <w:rFonts w:ascii="Arial" w:cs="Arial" w:eastAsia="Arial" w:hAnsi="Arial"/>
          <w:sz w:val="12"/>
          <w:szCs w:val="12"/>
          <w:color w:val="auto"/>
        </w:rPr>
      </w:pPr>
    </w:p>
    <w:p>
      <w:pPr>
        <w:ind w:left="648" w:hanging="216"/>
        <w:spacing w:after="0" w:line="292" w:lineRule="auto"/>
        <w:tabs>
          <w:tab w:leader="none" w:pos="645"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Investments whose values are based on quoted prices for similar assets and liabilities in active markets, and inputs that are observable for the asset or liability, either directly or indirectly, for substantially the full</w:t>
      </w:r>
      <w:r>
        <w:rPr>
          <w:rFonts w:ascii="Arial" w:cs="Arial" w:eastAsia="Arial" w:hAnsi="Arial"/>
          <w:sz w:val="12"/>
          <w:szCs w:val="12"/>
          <w:i w:val="1"/>
          <w:iCs w:val="1"/>
          <w:color w:val="auto"/>
        </w:rPr>
        <w:t xml:space="preserve"> </w:t>
      </w:r>
      <w:r>
        <w:rPr>
          <w:rFonts w:ascii="Arial" w:cs="Arial" w:eastAsia="Arial" w:hAnsi="Arial"/>
          <w:sz w:val="12"/>
          <w:szCs w:val="12"/>
          <w:color w:val="auto"/>
        </w:rPr>
        <w:t>term of the financial instrument.</w:t>
      </w:r>
    </w:p>
    <w:p>
      <w:pPr>
        <w:spacing w:after="0" w:line="60" w:lineRule="exact"/>
        <w:rPr>
          <w:rFonts w:ascii="Arial" w:cs="Arial" w:eastAsia="Arial" w:hAnsi="Arial"/>
          <w:sz w:val="12"/>
          <w:szCs w:val="12"/>
          <w:color w:val="auto"/>
        </w:rPr>
      </w:pPr>
    </w:p>
    <w:p>
      <w:pPr>
        <w:ind w:left="648" w:hanging="216"/>
        <w:spacing w:after="0"/>
        <w:tabs>
          <w:tab w:leader="none" w:pos="648"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Investments whose values are based on unobservable inputs that are significant to the overall fair value measurement.</w:t>
      </w:r>
    </w:p>
    <w:p>
      <w:pPr>
        <w:spacing w:after="0" w:line="105"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As of June 30, 2021 and March 31, 2021, 100% of the CSWC investment portfolio consisted of privately held debt and equity instruments for which inputs falling within the categories of Level 1 and Level 2 are generally not readily available. Therefore, CSWC determines the fair value of its investments (excluding investments for which fair value is measured at net asset value ("NAV") in good faith using Level 3 inputs, pursuant to a valuation policy and process that is established by the management of CSWC, with assistance from multiple third-party valuation advisors, which is subsequently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308"/>
          </w:cols>
          <w:pgMar w:left="292" w:top="140" w:right="299" w:bottom="1440" w:gutter="0" w:footer="0" w:header="0"/>
        </w:sectPr>
      </w:pPr>
    </w:p>
    <w:bookmarkStart w:id="40" w:name="page41"/>
    <w:bookmarkEnd w:id="40"/>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Valuation Inputs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ASC 820 defines fair value in terms of the price that would be received upon the sale of an asset or paid to transfer a liability in an orderly transaction between market participants at the measurement date excluding transaction costs. Under ASC 820, the fair value measurement also assumes that the transaction to sell an asset occurs in the principal market for the asset or, in the absence of a principal market, the most advantageous market for the asset. The principal market is the market in which the reporting entity would sell or transfer the asset with the greatest volume and level of activity for the asset. In determining the principal market for an asset or liability under ASC 820, it is assumed that the reporting entity has access to the market as of the measurement date.</w:t>
      </w:r>
    </w:p>
    <w:p>
      <w:pPr>
        <w:spacing w:after="0" w:line="14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Level 3 inputs to CSWC’s valuation process reflect our best estimate of the assumptions that would be used by market participants in pricing the investment in a transaction in the principal or most advantageous market for the asset.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determination of each portfolio investment categorized as Level 3 required one or more of the following unobservable inputs:</w:t>
      </w:r>
    </w:p>
    <w:p>
      <w:pPr>
        <w:spacing w:after="0" w:line="177" w:lineRule="exact"/>
        <w:rPr>
          <w:sz w:val="20"/>
          <w:szCs w:val="20"/>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Financial information obtained from each portfolio company, including unaudited statements of operations and balance sheets for the most recent period available as compared to budgeted numbers;</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Current and projected financial condition of the portfolio company;</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Current and projected ability of the portfolio company to service its debt obligations;</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Type and amount of collateral, if any, underlying the investment;</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Current financial ratios (e.g., fixed charge coverage ratio, interest coverage ratio and net debt/EBITDA ratio) applicable to the investment;</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Current liquidity of the investment and related financial ratios (e.g., current ratio and quick ratio);</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Indicative dealer quotations from brokers, banks, and other market participants;</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Market yields on other securities of similar risk;</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Pending debt or capital restructuring of the portfolio company;</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Projected operating results of the portfolio company;</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Current information regarding any offers to purchase the investment;</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Current ability of the portfolio company to raise any additional financing as needed;</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the economic environment which may have a material impact on the operating results of the portfolio company;</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Internal occurrences that may have an impact (both positive and negative) on the operating performance of the portfolio company;</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Qualitative assessment of key management;</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Contractual rights, obligations or restrictions associated with the investment; and</w:t>
      </w:r>
    </w:p>
    <w:p>
      <w:pPr>
        <w:spacing w:after="0" w:line="15"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Other factors deemed relevant.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CSWC uses several different valuation approaches depending on the security type including the Market Approach, the Income Approach, the Enterprise Value Waterfall Approach, and the NAV Valuation Method.</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Market Approach</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Market Approach is a qualitative and quantitative analysis of the aforementioned unobservable inputs. It is a combination of the Enterprise Value Waterfall Approach and Income Approach as described in detail below. For investments recently originated (within a quarterly reporting period) or where the value has not departed significantly from its cost, we generally rely on our cost basis or recent transaction price to determine the fair value, unless a material event has occurred since origination.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Approach</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valuing debt securities, CSWC typically uses an Income Approach model, which considers some or all of the factors listed above. Under the Income Approach, CSWC develops an expectation of the yield that a hypothetical market participant would require when purchasing each debt investment (the “Required Market Yield”). The Required Market Yield is calculated in a two-step process. First, using quarterly market data we estimate the current market yield of similar debt securities. Next,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300"/>
          </w:cols>
          <w:pgMar w:left="300" w:top="140" w:right="299" w:bottom="1440" w:gutter="0" w:footer="0" w:header="0"/>
        </w:sectPr>
      </w:pPr>
    </w:p>
    <w:bookmarkStart w:id="41" w:name="page42"/>
    <w:bookmarkEnd w:id="41"/>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based on the factors described above, we modify the current market yield for each security to produce a unique Required Market Yield for each of our investments. The resulting Required Market Yield is the significant Level 3 input to the Income Approach model. If, with respect to an investment, the unobservable inputs have not fluctuated significantly from the date the investment was made or have not fluctuated significantly from CSWC’s expectations on the date the investment was made, and there have been no significant fluctuations in the market pricing for such investments, we may conclude that the Required Market Yield for that investment is equal to the stated rate on the investment. In instances where CSWC determines that the Required Market Yield is different from the stated rate on the investment, we discount the contractual cash flows on the debt instrument using the Required Market Yield in order to estimate the fair value of the debt security.</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addition, under the Income Approach, CSWC also determines the appropriateness of the use of third-party broker quotes, if any, as a significant Level 3 input in determining fair value. In determining the appropriateness of the use of third-party broker quotes, CSWC evaluates the level of actual transactions used by the broker to develop the quote, whether the quote was an indicative price or binding offer, the depth and consistency of broker quotes, the source of the broker quotes, and the correlation of changes in broker quotes with underlying performance of the portfolio company and other market indices. To the extent sufficient observable inputs are available to determine fair value, CSWC may use third-party broker quotes or other independent pricing to determine the fair value of certain debt investments.</w:t>
      </w:r>
    </w:p>
    <w:p>
      <w:pPr>
        <w:spacing w:after="0" w:line="14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Fair value measurements using the Income Approach model can be sensitive to significant changes in one or more of the inputs. A significant increase (decrease) in the Required Market Yield for a particular debt security may result in a lower (higher) fair value for that security. A significant increase (decrease) in a third-party broker quote for a particular debt security may result in a higher (lower) value for that security.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Enterprise Value Waterfall Approach</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valuing equity securities (including warrants), CSWC estimates fair value using an Enterprise Value Waterfall valuation model. CSWC estimates the enterprise value of a portfolio company and then allocates the enterprise value to the portfolio company’s securities in order of their relative liquidation preference. In addition, CSWC assumes that any outstanding debt or other securities that are senior to CSWC’s equity securities are required to be repaid at par. Additionally, we may estimate the fair value of non-performing debt securities using the Enterprise Value Waterfall approach as needed.</w:t>
      </w:r>
    </w:p>
    <w:p>
      <w:pPr>
        <w:spacing w:after="0" w:line="14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To estimate the enterprise value of the portfolio company, CSWC uses a weighted valuation model based on public comparable companies, observable transactions and discounted cash flow analyses. A main input into the valuation model is a measure of the portfolio company’s financial performance, which generally is either earnings before interest, taxes, depreciation and amortization, as adjusted (“Adjusted EBITDA”) or revenues. In addition, we consider other factors, including but not limited to (1) offers from third parties to purchase the portfolio company and (2) the implied value of recent investments in the equity securities of the portfolio company. For certain non-performing assets, we may utilize the liquidation or collateral value of the portfolio company's assets in our estimation of its enterprise value.</w:t>
      </w:r>
    </w:p>
    <w:p>
      <w:pPr>
        <w:spacing w:after="0" w:line="14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significant Level 3 inputs to the Enterprise Value Waterfall model are (1) an appropriate multiple derived from the comparable public companies and transactions, (2) discount rate assumptions used in the discounted cash flow model and (3) a measure of the portfolio company’s financial performance, which generally is either Adjusted EBITDA or revenues. Inputs can be based on historical operating results, projections of future operating results or a combination thereof. The operating results of a portfolio company may be unaudited, projected or pro forma financial information and may require adjustments for certain non-recurring items. CSWC also may consult with the portfolio company’s senior management to obtain updates on the portfolio company’s performance, including information such as industry trends, new product development, loss of customers and other operational issues. Fair value measurements using the Enterprise Value Waterfall model can be sensitive to significant changes in one or more of the inputs. A significant increase (decrease) in either the multiple, Adjusted EBITDA or revenues for a particular equity security would result in a higher (lower) fair value for that security.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NAV Valuation Method</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Under the NAV valuation method, for an investment in an investment fund that does not have a readily determinable fair value, CSWC measures the fair value of the investment predominately based on the NAV of the investment fund as of the measurement date. However, in determining the fair value of the investment, we may consider whether adjustments to the NAV are necessary in certain circumstances, based on the analysis of any restrictions on redemption of our investment as of the measurement date, recent actual sales or redemptions of interests in the investment fund, expected future cash flows available to equity holders, or other uncertainties surrounding CSWC’s ability to realize the full NAV of its interests in the investment fund.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0"/>
          </w:cols>
          <w:pgMar w:left="300" w:top="140" w:right="299" w:bottom="1440" w:gutter="0" w:footer="0" w:header="0"/>
        </w:sectPr>
      </w:pPr>
    </w:p>
    <w:bookmarkStart w:id="42" w:name="page43"/>
    <w:bookmarkEnd w:id="42"/>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Option Pricing Model Method</w:t>
      </w:r>
    </w:p>
    <w:p>
      <w:pPr>
        <w:spacing w:after="0" w:line="16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In certain situations, CSWC will acquire financial instruments which are most appropriately valued using an option pricing model. Typically, option pricing models will use the Black Scholes model methodology and attempt to replicate the features of the underlying derivative instrument. The significant Level 3 input to the Option Pricing Model is the assumed volatility of the underlying portfolio company cash flows. Other inputs into the model are the current price of the security, the strike price of the security, and the time to maturity.</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fair value hierarchy tables set forth our investment portfolio by level as of June 30, 2021 and March 31, 2021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6"/>
              </w:rPr>
              <w:t>Fair Value Measurements</w:t>
            </w: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5"/>
              </w:rPr>
              <w:t>at June 30, 2021 Using</w:t>
            </w: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5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gridSpan w:val="3"/>
          </w:tcPr>
          <w:p>
            <w:pPr>
              <w:jc w:val="right"/>
              <w:ind w:right="140"/>
              <w:spacing w:after="0" w:line="83" w:lineRule="exact"/>
              <w:rPr>
                <w:sz w:val="20"/>
                <w:szCs w:val="20"/>
                <w:color w:val="auto"/>
              </w:rPr>
            </w:pPr>
            <w:r>
              <w:rPr>
                <w:rFonts w:ascii="Arial" w:cs="Arial" w:eastAsia="Arial" w:hAnsi="Arial"/>
                <w:sz w:val="8"/>
                <w:szCs w:val="8"/>
                <w:b w:val="1"/>
                <w:bCs w:val="1"/>
                <w:color w:val="auto"/>
              </w:rPr>
              <w:t>Quoted Prices in Active Markets</w:t>
            </w:r>
          </w:p>
        </w:tc>
        <w:tc>
          <w:tcPr>
            <w:tcW w:w="1400" w:type="dxa"/>
            <w:vAlign w:val="bottom"/>
            <w:gridSpan w:val="3"/>
          </w:tcPr>
          <w:p>
            <w:pPr>
              <w:jc w:val="center"/>
              <w:ind w:right="80"/>
              <w:spacing w:after="0" w:line="83" w:lineRule="exact"/>
              <w:rPr>
                <w:sz w:val="20"/>
                <w:szCs w:val="20"/>
                <w:color w:val="auto"/>
              </w:rPr>
            </w:pPr>
            <w:r>
              <w:rPr>
                <w:rFonts w:ascii="Arial" w:cs="Arial" w:eastAsia="Arial" w:hAnsi="Arial"/>
                <w:sz w:val="8"/>
                <w:szCs w:val="8"/>
                <w:b w:val="1"/>
                <w:bCs w:val="1"/>
                <w:color w:val="auto"/>
              </w:rPr>
              <w:t>Significant Other Observable</w:t>
            </w:r>
          </w:p>
        </w:tc>
        <w:tc>
          <w:tcPr>
            <w:tcW w:w="120" w:type="dxa"/>
            <w:vAlign w:val="bottom"/>
          </w:tcPr>
          <w:p>
            <w:pPr>
              <w:spacing w:after="0"/>
              <w:rPr>
                <w:sz w:val="7"/>
                <w:szCs w:val="7"/>
                <w:color w:val="auto"/>
              </w:rPr>
            </w:pPr>
          </w:p>
        </w:tc>
        <w:tc>
          <w:tcPr>
            <w:tcW w:w="1200" w:type="dxa"/>
            <w:vAlign w:val="bottom"/>
          </w:tcPr>
          <w:p>
            <w:pPr>
              <w:jc w:val="center"/>
              <w:ind w:right="44"/>
              <w:spacing w:after="0" w:line="83" w:lineRule="exact"/>
              <w:rPr>
                <w:sz w:val="20"/>
                <w:szCs w:val="20"/>
                <w:color w:val="auto"/>
              </w:rPr>
            </w:pPr>
            <w:r>
              <w:rPr>
                <w:rFonts w:ascii="Arial" w:cs="Arial" w:eastAsia="Arial" w:hAnsi="Arial"/>
                <w:sz w:val="8"/>
                <w:szCs w:val="8"/>
                <w:b w:val="1"/>
                <w:bCs w:val="1"/>
                <w:color w:val="auto"/>
              </w:rPr>
              <w:t>Significant Unobservable</w:t>
            </w:r>
          </w:p>
        </w:tc>
        <w:tc>
          <w:tcPr>
            <w:tcW w:w="0" w:type="dxa"/>
            <w:vAlign w:val="bottom"/>
          </w:tcPr>
          <w:p>
            <w:pPr>
              <w:spacing w:after="0"/>
              <w:rPr>
                <w:sz w:val="1"/>
                <w:szCs w:val="1"/>
                <w:color w:val="auto"/>
              </w:rPr>
            </w:pPr>
          </w:p>
        </w:tc>
      </w:tr>
      <w:tr>
        <w:trPr>
          <w:trHeight w:val="90"/>
        </w:trPr>
        <w:tc>
          <w:tcPr>
            <w:tcW w:w="5220" w:type="dxa"/>
            <w:vAlign w:val="bottom"/>
            <w:vMerge w:val="restart"/>
          </w:tcPr>
          <w:p>
            <w:pPr>
              <w:spacing w:after="0"/>
              <w:rPr>
                <w:sz w:val="20"/>
                <w:szCs w:val="20"/>
                <w:color w:val="auto"/>
              </w:rPr>
            </w:pPr>
            <w:r>
              <w:rPr>
                <w:rFonts w:ascii="Arial" w:cs="Arial" w:eastAsia="Arial" w:hAnsi="Arial"/>
                <w:sz w:val="10"/>
                <w:szCs w:val="10"/>
                <w:b w:val="1"/>
                <w:bCs w:val="1"/>
                <w:color w:val="auto"/>
              </w:rPr>
              <w:t>Asset Category</w:t>
            </w:r>
          </w:p>
        </w:tc>
        <w:tc>
          <w:tcPr>
            <w:tcW w:w="260" w:type="dxa"/>
            <w:vAlign w:val="bottom"/>
          </w:tcPr>
          <w:p>
            <w:pPr>
              <w:spacing w:after="0"/>
              <w:rPr>
                <w:sz w:val="7"/>
                <w:szCs w:val="7"/>
                <w:color w:val="auto"/>
              </w:rPr>
            </w:pPr>
          </w:p>
        </w:tc>
        <w:tc>
          <w:tcPr>
            <w:tcW w:w="820" w:type="dxa"/>
            <w:vAlign w:val="bottom"/>
            <w:vMerge w:val="restart"/>
          </w:tcPr>
          <w:p>
            <w:pPr>
              <w:jc w:val="right"/>
              <w:ind w:right="382"/>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gridSpan w:val="2"/>
          </w:tcPr>
          <w:p>
            <w:pPr>
              <w:jc w:val="center"/>
              <w:ind w:right="300"/>
              <w:spacing w:after="0" w:line="90" w:lineRule="exact"/>
              <w:rPr>
                <w:sz w:val="20"/>
                <w:szCs w:val="20"/>
                <w:color w:val="auto"/>
              </w:rPr>
            </w:pPr>
            <w:r>
              <w:rPr>
                <w:rFonts w:ascii="Arial" w:cs="Arial" w:eastAsia="Arial" w:hAnsi="Arial"/>
                <w:sz w:val="10"/>
                <w:szCs w:val="10"/>
                <w:b w:val="1"/>
                <w:bCs w:val="1"/>
                <w:color w:val="auto"/>
                <w:w w:val="84"/>
              </w:rPr>
              <w:t>for Identical Assets</w:t>
            </w:r>
          </w:p>
        </w:tc>
        <w:tc>
          <w:tcPr>
            <w:tcW w:w="80" w:type="dxa"/>
            <w:vAlign w:val="bottom"/>
          </w:tcPr>
          <w:p>
            <w:pPr>
              <w:spacing w:after="0"/>
              <w:rPr>
                <w:sz w:val="7"/>
                <w:szCs w:val="7"/>
                <w:color w:val="auto"/>
              </w:rPr>
            </w:pPr>
          </w:p>
        </w:tc>
        <w:tc>
          <w:tcPr>
            <w:tcW w:w="132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6"/>
              </w:rPr>
              <w:t>Inputs</w:t>
            </w:r>
          </w:p>
        </w:tc>
        <w:tc>
          <w:tcPr>
            <w:tcW w:w="120" w:type="dxa"/>
            <w:vAlign w:val="bottom"/>
          </w:tcPr>
          <w:p>
            <w:pPr>
              <w:spacing w:after="0"/>
              <w:rPr>
                <w:sz w:val="7"/>
                <w:szCs w:val="7"/>
                <w:color w:val="auto"/>
              </w:rPr>
            </w:pPr>
          </w:p>
        </w:tc>
        <w:tc>
          <w:tcPr>
            <w:tcW w:w="1200" w:type="dxa"/>
            <w:vAlign w:val="bottom"/>
          </w:tcPr>
          <w:p>
            <w:pPr>
              <w:jc w:val="center"/>
              <w:ind w:right="44"/>
              <w:spacing w:after="0" w:line="90" w:lineRule="exact"/>
              <w:rPr>
                <w:sz w:val="20"/>
                <w:szCs w:val="20"/>
                <w:color w:val="auto"/>
              </w:rPr>
            </w:pPr>
            <w:r>
              <w:rPr>
                <w:rFonts w:ascii="Arial" w:cs="Arial" w:eastAsia="Arial" w:hAnsi="Arial"/>
                <w:sz w:val="10"/>
                <w:szCs w:val="10"/>
                <w:b w:val="1"/>
                <w:bCs w:val="1"/>
                <w:color w:val="auto"/>
                <w:w w:val="86"/>
              </w:rPr>
              <w:t>Inputs</w:t>
            </w:r>
          </w:p>
        </w:tc>
        <w:tc>
          <w:tcPr>
            <w:tcW w:w="0" w:type="dxa"/>
            <w:vAlign w:val="bottom"/>
          </w:tcPr>
          <w:p>
            <w:pPr>
              <w:spacing w:after="0"/>
              <w:rPr>
                <w:sz w:val="1"/>
                <w:szCs w:val="1"/>
                <w:color w:val="auto"/>
              </w:rPr>
            </w:pPr>
          </w:p>
        </w:tc>
      </w:tr>
      <w:tr>
        <w:trPr>
          <w:trHeight w:val="125"/>
        </w:trPr>
        <w:tc>
          <w:tcPr>
            <w:tcW w:w="522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88"/>
              </w:rPr>
              <w:t>(Level 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88"/>
              </w:rPr>
              <w:t>(Level 2)</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0"/>
                <w:szCs w:val="10"/>
                <w:b w:val="1"/>
                <w:bCs w:val="1"/>
                <w:color w:val="auto"/>
                <w:w w:val="88"/>
              </w:rPr>
              <w:t>(Level 3)</w:t>
            </w:r>
          </w:p>
        </w:tc>
        <w:tc>
          <w:tcPr>
            <w:tcW w:w="0" w:type="dxa"/>
            <w:vAlign w:val="bottom"/>
          </w:tcPr>
          <w:p>
            <w:pPr>
              <w:spacing w:after="0"/>
              <w:rPr>
                <w:sz w:val="1"/>
                <w:szCs w:val="1"/>
                <w:color w:val="auto"/>
              </w:rPr>
            </w:pPr>
          </w:p>
        </w:tc>
      </w:tr>
      <w:tr>
        <w:trPr>
          <w:trHeight w:val="14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First lien loans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606,159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606,159</w:t>
            </w:r>
          </w:p>
        </w:tc>
        <w:tc>
          <w:tcPr>
            <w:tcW w:w="0" w:type="dxa"/>
            <w:vAlign w:val="bottom"/>
          </w:tcPr>
          <w:p>
            <w:pPr>
              <w:spacing w:after="0"/>
              <w:rPr>
                <w:sz w:val="1"/>
                <w:szCs w:val="1"/>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Second lien loans</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53,009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53,009</w:t>
            </w: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Subordinated debt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12,089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12,089</w:t>
            </w:r>
          </w:p>
        </w:tc>
        <w:tc>
          <w:tcPr>
            <w:tcW w:w="0" w:type="dxa"/>
            <w:vAlign w:val="bottom"/>
          </w:tcPr>
          <w:p>
            <w:pPr>
              <w:spacing w:after="0"/>
              <w:rPr>
                <w:sz w:val="1"/>
                <w:szCs w:val="1"/>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Preferred equity</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27,267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27,267</w:t>
            </w: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Common equity &amp; warrants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38,851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38,851</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Investments measured at net asset value</w:t>
            </w:r>
            <w:r>
              <w:rPr>
                <w:rFonts w:ascii="Arial" w:cs="Arial" w:eastAsia="Arial" w:hAnsi="Arial"/>
                <w:sz w:val="15"/>
                <w:szCs w:val="15"/>
                <w:color w:val="auto"/>
                <w:vertAlign w:val="superscript"/>
              </w:rPr>
              <w:t>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61,272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798,647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737,375</w:t>
            </w:r>
          </w:p>
        </w:tc>
        <w:tc>
          <w:tcPr>
            <w:tcW w:w="0" w:type="dxa"/>
            <w:vAlign w:val="bottom"/>
          </w:tcPr>
          <w:p>
            <w:pPr>
              <w:spacing w:after="0"/>
              <w:rPr>
                <w:sz w:val="1"/>
                <w:szCs w:val="1"/>
                <w:color w:val="auto"/>
              </w:rPr>
            </w:pPr>
          </w:p>
        </w:tc>
      </w:tr>
      <w:tr>
        <w:trPr>
          <w:trHeight w:val="199"/>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6"/>
              </w:rPr>
              <w:t>Fair Value Measurements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5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8"/>
              </w:rPr>
              <w:t>at March 31, 2021 Using</w:t>
            </w: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5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gridSpan w:val="3"/>
          </w:tcPr>
          <w:p>
            <w:pPr>
              <w:jc w:val="right"/>
              <w:ind w:right="140"/>
              <w:spacing w:after="0" w:line="83" w:lineRule="exact"/>
              <w:rPr>
                <w:sz w:val="20"/>
                <w:szCs w:val="20"/>
                <w:color w:val="auto"/>
              </w:rPr>
            </w:pPr>
            <w:r>
              <w:rPr>
                <w:rFonts w:ascii="Arial" w:cs="Arial" w:eastAsia="Arial" w:hAnsi="Arial"/>
                <w:sz w:val="8"/>
                <w:szCs w:val="8"/>
                <w:b w:val="1"/>
                <w:bCs w:val="1"/>
                <w:color w:val="auto"/>
              </w:rPr>
              <w:t>Quoted Prices in Active Markets</w:t>
            </w:r>
          </w:p>
        </w:tc>
        <w:tc>
          <w:tcPr>
            <w:tcW w:w="1400" w:type="dxa"/>
            <w:vAlign w:val="bottom"/>
            <w:gridSpan w:val="3"/>
          </w:tcPr>
          <w:p>
            <w:pPr>
              <w:jc w:val="center"/>
              <w:ind w:right="80"/>
              <w:spacing w:after="0" w:line="83" w:lineRule="exact"/>
              <w:rPr>
                <w:sz w:val="20"/>
                <w:szCs w:val="20"/>
                <w:color w:val="auto"/>
              </w:rPr>
            </w:pPr>
            <w:r>
              <w:rPr>
                <w:rFonts w:ascii="Arial" w:cs="Arial" w:eastAsia="Arial" w:hAnsi="Arial"/>
                <w:sz w:val="8"/>
                <w:szCs w:val="8"/>
                <w:b w:val="1"/>
                <w:bCs w:val="1"/>
                <w:color w:val="auto"/>
              </w:rPr>
              <w:t>Significant Other Observable</w:t>
            </w:r>
          </w:p>
        </w:tc>
        <w:tc>
          <w:tcPr>
            <w:tcW w:w="120" w:type="dxa"/>
            <w:vAlign w:val="bottom"/>
          </w:tcPr>
          <w:p>
            <w:pPr>
              <w:spacing w:after="0"/>
              <w:rPr>
                <w:sz w:val="7"/>
                <w:szCs w:val="7"/>
                <w:color w:val="auto"/>
              </w:rPr>
            </w:pPr>
          </w:p>
        </w:tc>
        <w:tc>
          <w:tcPr>
            <w:tcW w:w="1200" w:type="dxa"/>
            <w:vAlign w:val="bottom"/>
          </w:tcPr>
          <w:p>
            <w:pPr>
              <w:jc w:val="center"/>
              <w:ind w:right="44"/>
              <w:spacing w:after="0" w:line="83" w:lineRule="exact"/>
              <w:rPr>
                <w:sz w:val="20"/>
                <w:szCs w:val="20"/>
                <w:color w:val="auto"/>
              </w:rPr>
            </w:pPr>
            <w:r>
              <w:rPr>
                <w:rFonts w:ascii="Arial" w:cs="Arial" w:eastAsia="Arial" w:hAnsi="Arial"/>
                <w:sz w:val="8"/>
                <w:szCs w:val="8"/>
                <w:b w:val="1"/>
                <w:bCs w:val="1"/>
                <w:color w:val="auto"/>
              </w:rPr>
              <w:t>Significant Unobservable</w:t>
            </w:r>
          </w:p>
        </w:tc>
        <w:tc>
          <w:tcPr>
            <w:tcW w:w="0" w:type="dxa"/>
            <w:vAlign w:val="bottom"/>
          </w:tcPr>
          <w:p>
            <w:pPr>
              <w:spacing w:after="0"/>
              <w:rPr>
                <w:sz w:val="1"/>
                <w:szCs w:val="1"/>
                <w:color w:val="auto"/>
              </w:rPr>
            </w:pPr>
          </w:p>
        </w:tc>
      </w:tr>
      <w:tr>
        <w:trPr>
          <w:trHeight w:val="90"/>
        </w:trPr>
        <w:tc>
          <w:tcPr>
            <w:tcW w:w="5220" w:type="dxa"/>
            <w:vAlign w:val="bottom"/>
            <w:vMerge w:val="restart"/>
          </w:tcPr>
          <w:p>
            <w:pPr>
              <w:spacing w:after="0"/>
              <w:rPr>
                <w:sz w:val="20"/>
                <w:szCs w:val="20"/>
                <w:color w:val="auto"/>
              </w:rPr>
            </w:pPr>
            <w:r>
              <w:rPr>
                <w:rFonts w:ascii="Arial" w:cs="Arial" w:eastAsia="Arial" w:hAnsi="Arial"/>
                <w:sz w:val="10"/>
                <w:szCs w:val="10"/>
                <w:b w:val="1"/>
                <w:bCs w:val="1"/>
                <w:color w:val="auto"/>
              </w:rPr>
              <w:t>Asset Category</w:t>
            </w:r>
          </w:p>
        </w:tc>
        <w:tc>
          <w:tcPr>
            <w:tcW w:w="260" w:type="dxa"/>
            <w:vAlign w:val="bottom"/>
          </w:tcPr>
          <w:p>
            <w:pPr>
              <w:spacing w:after="0"/>
              <w:rPr>
                <w:sz w:val="7"/>
                <w:szCs w:val="7"/>
                <w:color w:val="auto"/>
              </w:rPr>
            </w:pPr>
          </w:p>
        </w:tc>
        <w:tc>
          <w:tcPr>
            <w:tcW w:w="820" w:type="dxa"/>
            <w:vAlign w:val="bottom"/>
            <w:vMerge w:val="restart"/>
          </w:tcPr>
          <w:p>
            <w:pPr>
              <w:jc w:val="right"/>
              <w:ind w:right="382"/>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gridSpan w:val="2"/>
          </w:tcPr>
          <w:p>
            <w:pPr>
              <w:jc w:val="center"/>
              <w:ind w:right="300"/>
              <w:spacing w:after="0" w:line="90" w:lineRule="exact"/>
              <w:rPr>
                <w:sz w:val="20"/>
                <w:szCs w:val="20"/>
                <w:color w:val="auto"/>
              </w:rPr>
            </w:pPr>
            <w:r>
              <w:rPr>
                <w:rFonts w:ascii="Arial" w:cs="Arial" w:eastAsia="Arial" w:hAnsi="Arial"/>
                <w:sz w:val="10"/>
                <w:szCs w:val="10"/>
                <w:b w:val="1"/>
                <w:bCs w:val="1"/>
                <w:color w:val="auto"/>
                <w:w w:val="84"/>
              </w:rPr>
              <w:t>for Identical Assets</w:t>
            </w:r>
          </w:p>
        </w:tc>
        <w:tc>
          <w:tcPr>
            <w:tcW w:w="80" w:type="dxa"/>
            <w:vAlign w:val="bottom"/>
          </w:tcPr>
          <w:p>
            <w:pPr>
              <w:spacing w:after="0"/>
              <w:rPr>
                <w:sz w:val="7"/>
                <w:szCs w:val="7"/>
                <w:color w:val="auto"/>
              </w:rPr>
            </w:pPr>
          </w:p>
        </w:tc>
        <w:tc>
          <w:tcPr>
            <w:tcW w:w="132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6"/>
              </w:rPr>
              <w:t>Inputs</w:t>
            </w:r>
          </w:p>
        </w:tc>
        <w:tc>
          <w:tcPr>
            <w:tcW w:w="120" w:type="dxa"/>
            <w:vAlign w:val="bottom"/>
          </w:tcPr>
          <w:p>
            <w:pPr>
              <w:spacing w:after="0"/>
              <w:rPr>
                <w:sz w:val="7"/>
                <w:szCs w:val="7"/>
                <w:color w:val="auto"/>
              </w:rPr>
            </w:pPr>
          </w:p>
        </w:tc>
        <w:tc>
          <w:tcPr>
            <w:tcW w:w="1200" w:type="dxa"/>
            <w:vAlign w:val="bottom"/>
          </w:tcPr>
          <w:p>
            <w:pPr>
              <w:jc w:val="center"/>
              <w:ind w:right="44"/>
              <w:spacing w:after="0" w:line="90" w:lineRule="exact"/>
              <w:rPr>
                <w:sz w:val="20"/>
                <w:szCs w:val="20"/>
                <w:color w:val="auto"/>
              </w:rPr>
            </w:pPr>
            <w:r>
              <w:rPr>
                <w:rFonts w:ascii="Arial" w:cs="Arial" w:eastAsia="Arial" w:hAnsi="Arial"/>
                <w:sz w:val="10"/>
                <w:szCs w:val="10"/>
                <w:b w:val="1"/>
                <w:bCs w:val="1"/>
                <w:color w:val="auto"/>
                <w:w w:val="86"/>
              </w:rPr>
              <w:t>Inputs</w:t>
            </w:r>
          </w:p>
        </w:tc>
        <w:tc>
          <w:tcPr>
            <w:tcW w:w="0" w:type="dxa"/>
            <w:vAlign w:val="bottom"/>
          </w:tcPr>
          <w:p>
            <w:pPr>
              <w:spacing w:after="0"/>
              <w:rPr>
                <w:sz w:val="1"/>
                <w:szCs w:val="1"/>
                <w:color w:val="auto"/>
              </w:rPr>
            </w:pPr>
          </w:p>
        </w:tc>
      </w:tr>
      <w:tr>
        <w:trPr>
          <w:trHeight w:val="125"/>
        </w:trPr>
        <w:tc>
          <w:tcPr>
            <w:tcW w:w="522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88"/>
              </w:rPr>
              <w:t>(Level 1)</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88"/>
              </w:rPr>
              <w:t>(Level 2)</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0"/>
                <w:szCs w:val="10"/>
                <w:b w:val="1"/>
                <w:bCs w:val="1"/>
                <w:color w:val="auto"/>
                <w:w w:val="88"/>
              </w:rPr>
              <w:t>(Level 3)</w:t>
            </w:r>
          </w:p>
        </w:tc>
        <w:tc>
          <w:tcPr>
            <w:tcW w:w="0" w:type="dxa"/>
            <w:vAlign w:val="bottom"/>
          </w:tcPr>
          <w:p>
            <w:pPr>
              <w:spacing w:after="0"/>
              <w:rPr>
                <w:sz w:val="1"/>
                <w:szCs w:val="1"/>
                <w:color w:val="auto"/>
              </w:rPr>
            </w:pPr>
          </w:p>
        </w:tc>
      </w:tr>
      <w:tr>
        <w:trPr>
          <w:trHeight w:val="14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First lien loans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524,161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524,161</w:t>
            </w:r>
          </w:p>
        </w:tc>
        <w:tc>
          <w:tcPr>
            <w:tcW w:w="0" w:type="dxa"/>
            <w:vAlign w:val="bottom"/>
          </w:tcPr>
          <w:p>
            <w:pPr>
              <w:spacing w:after="0"/>
              <w:rPr>
                <w:sz w:val="1"/>
                <w:szCs w:val="1"/>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Second lien loans</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36,919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36,919</w:t>
            </w: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Subordinated debt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11,534</w:t>
            </w:r>
          </w:p>
        </w:tc>
        <w:tc>
          <w:tcPr>
            <w:tcW w:w="0" w:type="dxa"/>
            <w:vAlign w:val="bottom"/>
          </w:tcPr>
          <w:p>
            <w:pPr>
              <w:spacing w:after="0"/>
              <w:rPr>
                <w:sz w:val="1"/>
                <w:szCs w:val="1"/>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Preferred equity</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22,608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22,608</w:t>
            </w: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Common equity &amp; warrants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36,052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36,052</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Investments measured at net asset value</w:t>
            </w:r>
            <w:r>
              <w:rPr>
                <w:rFonts w:ascii="Arial" w:cs="Arial" w:eastAsia="Arial" w:hAnsi="Arial"/>
                <w:sz w:val="15"/>
                <w:szCs w:val="15"/>
                <w:color w:val="auto"/>
                <w:vertAlign w:val="superscript"/>
              </w:rPr>
              <w:t>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57,158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688,432</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631,274</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208" w:hanging="208"/>
        <w:spacing w:after="0" w:line="300" w:lineRule="auto"/>
        <w:tabs>
          <w:tab w:leader="none" w:pos="207" w:val="left"/>
        </w:tabs>
        <w:numPr>
          <w:ilvl w:val="0"/>
          <w:numId w:val="39"/>
        </w:numPr>
        <w:rPr>
          <w:rFonts w:ascii="Arial" w:cs="Arial" w:eastAsia="Arial" w:hAnsi="Arial"/>
          <w:sz w:val="12"/>
          <w:szCs w:val="12"/>
          <w:color w:val="auto"/>
          <w:vertAlign w:val="superscript"/>
        </w:rPr>
      </w:pPr>
      <w:r>
        <w:rPr>
          <w:rFonts w:ascii="Arial" w:cs="Arial" w:eastAsia="Arial" w:hAnsi="Arial"/>
          <w:sz w:val="9"/>
          <w:szCs w:val="9"/>
          <w:color w:val="auto"/>
        </w:rPr>
        <w:t>Certain investments that are measured at fair value using the NAV per share (or its equivalent) practical expedient have not been categorized in the fair value hierarchy. The fair value amounts presented in this table are intended to permit reconciliation of the fair value hierarchy to the amounts presented in Consolidated Statements of Assets and Liabilities. For the investment valued at net asset value per share at June 30, 2021 and March 31, 2021, the redemption restrictions dictate that we cannot withdraw our membership interest without unanimous approval. We are permitted to sell or transfer our membership interest and must deliver written notice of such transfer to the other member no later than 60 business days prior to the sale or transfer.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8"/>
          </w:cols>
          <w:pgMar w:left="292" w:top="140" w:right="299" w:bottom="1440" w:gutter="0" w:footer="0" w:header="0"/>
        </w:sectPr>
      </w:pPr>
    </w:p>
    <w:bookmarkStart w:id="43" w:name="page44"/>
    <w:bookmarkEnd w:id="43"/>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firstLine="432"/>
        <w:spacing w:after="0" w:line="293" w:lineRule="auto"/>
        <w:rPr>
          <w:sz w:val="20"/>
          <w:szCs w:val="20"/>
          <w:color w:val="auto"/>
        </w:rPr>
      </w:pPr>
      <w:r>
        <w:rPr>
          <w:rFonts w:ascii="Arial" w:cs="Arial" w:eastAsia="Arial" w:hAnsi="Arial"/>
          <w:sz w:val="11"/>
          <w:szCs w:val="11"/>
          <w:color w:val="auto"/>
        </w:rPr>
        <w:t>The tables below present the Valuation Techniques and Significant Level 3 Inputs (ranges and weighted averages) used in the valuation of CSWC’s debt and equity securities at June 30, 2021 and March 31, 2021. Significant Level 3 Inputs were weighted by the relative fair value of the investments. The tables are not intended to be all inclusive, but instead capture the significant unobservable inputs relevant to our determination of fair value.</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23"/>
        </w:trPr>
        <w:tc>
          <w:tcPr>
            <w:tcW w:w="15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jc w:val="center"/>
              <w:ind w:right="203"/>
              <w:spacing w:after="0"/>
              <w:rPr>
                <w:sz w:val="20"/>
                <w:szCs w:val="20"/>
                <w:color w:val="auto"/>
              </w:rPr>
            </w:pPr>
            <w:r>
              <w:rPr>
                <w:rFonts w:ascii="Arial" w:cs="Arial" w:eastAsia="Arial" w:hAnsi="Arial"/>
                <w:sz w:val="10"/>
                <w:szCs w:val="10"/>
                <w:b w:val="1"/>
                <w:bCs w:val="1"/>
                <w:color w:val="auto"/>
                <w:w w:val="90"/>
              </w:rPr>
              <w:t>Fair Value at</w:t>
            </w:r>
          </w:p>
        </w:tc>
        <w:tc>
          <w:tcPr>
            <w:tcW w:w="460" w:type="dxa"/>
            <w:vAlign w:val="bottom"/>
          </w:tcPr>
          <w:p>
            <w:pPr>
              <w:spacing w:after="0"/>
              <w:rPr>
                <w:sz w:val="10"/>
                <w:szCs w:val="10"/>
                <w:color w:val="auto"/>
              </w:rPr>
            </w:pPr>
          </w:p>
        </w:tc>
        <w:tc>
          <w:tcPr>
            <w:tcW w:w="27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5"/>
              </w:rPr>
              <w:t>Significant</w:t>
            </w: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rPr>
                <w:sz w:val="10"/>
                <w:szCs w:val="10"/>
                <w:color w:val="auto"/>
              </w:rPr>
            </w:pPr>
          </w:p>
        </w:tc>
        <w:tc>
          <w:tcPr>
            <w:tcW w:w="1540" w:type="dxa"/>
            <w:vAlign w:val="bottom"/>
            <w:gridSpan w:val="2"/>
          </w:tcPr>
          <w:p>
            <w:pPr>
              <w:jc w:val="center"/>
              <w:ind w:left="162"/>
              <w:spacing w:after="0"/>
              <w:rPr>
                <w:sz w:val="20"/>
                <w:szCs w:val="20"/>
                <w:color w:val="auto"/>
              </w:rPr>
            </w:pPr>
            <w:r>
              <w:rPr>
                <w:rFonts w:ascii="Arial" w:cs="Arial" w:eastAsia="Arial" w:hAnsi="Arial"/>
                <w:sz w:val="10"/>
                <w:szCs w:val="10"/>
                <w:b w:val="1"/>
                <w:bCs w:val="1"/>
                <w:color w:val="auto"/>
                <w:w w:val="88"/>
              </w:rPr>
              <w:t>Valuation</w:t>
            </w:r>
          </w:p>
        </w:tc>
        <w:tc>
          <w:tcPr>
            <w:tcW w:w="680" w:type="dxa"/>
            <w:vAlign w:val="bottom"/>
          </w:tcPr>
          <w:p>
            <w:pPr>
              <w:spacing w:after="0"/>
              <w:rPr>
                <w:sz w:val="10"/>
                <w:szCs w:val="10"/>
                <w:color w:val="auto"/>
              </w:rPr>
            </w:pPr>
          </w:p>
        </w:tc>
        <w:tc>
          <w:tcPr>
            <w:tcW w:w="1200" w:type="dxa"/>
            <w:vAlign w:val="bottom"/>
          </w:tcPr>
          <w:p>
            <w:pPr>
              <w:jc w:val="center"/>
              <w:ind w:right="203"/>
              <w:spacing w:after="0"/>
              <w:rPr>
                <w:sz w:val="20"/>
                <w:szCs w:val="20"/>
                <w:color w:val="auto"/>
              </w:rPr>
            </w:pPr>
            <w:r>
              <w:rPr>
                <w:rFonts w:ascii="Arial" w:cs="Arial" w:eastAsia="Arial" w:hAnsi="Arial"/>
                <w:sz w:val="10"/>
                <w:szCs w:val="10"/>
                <w:b w:val="1"/>
                <w:bCs w:val="1"/>
                <w:color w:val="auto"/>
                <w:w w:val="82"/>
              </w:rPr>
              <w:t>June 30, 2021</w:t>
            </w:r>
          </w:p>
        </w:tc>
        <w:tc>
          <w:tcPr>
            <w:tcW w:w="460" w:type="dxa"/>
            <w:vAlign w:val="bottom"/>
          </w:tcPr>
          <w:p>
            <w:pPr>
              <w:spacing w:after="0"/>
              <w:rPr>
                <w:sz w:val="10"/>
                <w:szCs w:val="10"/>
                <w:color w:val="auto"/>
              </w:rPr>
            </w:pPr>
          </w:p>
        </w:tc>
        <w:tc>
          <w:tcPr>
            <w:tcW w:w="27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Unobservable</w:t>
            </w: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left="361"/>
              <w:spacing w:after="0"/>
              <w:rPr>
                <w:sz w:val="20"/>
                <w:szCs w:val="20"/>
                <w:color w:val="auto"/>
              </w:rPr>
            </w:pPr>
            <w:r>
              <w:rPr>
                <w:rFonts w:ascii="Arial" w:cs="Arial" w:eastAsia="Arial" w:hAnsi="Arial"/>
                <w:sz w:val="10"/>
                <w:szCs w:val="10"/>
                <w:b w:val="1"/>
                <w:bCs w:val="1"/>
                <w:color w:val="auto"/>
                <w:w w:val="84"/>
              </w:rPr>
              <w:t>Weighted</w:t>
            </w:r>
          </w:p>
        </w:tc>
        <w:tc>
          <w:tcPr>
            <w:tcW w:w="0" w:type="dxa"/>
            <w:vAlign w:val="bottom"/>
          </w:tcPr>
          <w:p>
            <w:pPr>
              <w:spacing w:after="0"/>
              <w:rPr>
                <w:sz w:val="1"/>
                <w:szCs w:val="1"/>
                <w:color w:val="auto"/>
              </w:rPr>
            </w:pPr>
          </w:p>
        </w:tc>
      </w:tr>
      <w:tr>
        <w:trPr>
          <w:trHeight w:val="130"/>
        </w:trPr>
        <w:tc>
          <w:tcPr>
            <w:tcW w:w="1520" w:type="dxa"/>
            <w:vAlign w:val="bottom"/>
          </w:tcPr>
          <w:p>
            <w:pPr>
              <w:ind w:left="440"/>
              <w:spacing w:after="0"/>
              <w:rPr>
                <w:sz w:val="20"/>
                <w:szCs w:val="20"/>
                <w:color w:val="auto"/>
              </w:rPr>
            </w:pPr>
            <w:r>
              <w:rPr>
                <w:rFonts w:ascii="Arial" w:cs="Arial" w:eastAsia="Arial" w:hAnsi="Arial"/>
                <w:sz w:val="10"/>
                <w:szCs w:val="10"/>
                <w:b w:val="1"/>
                <w:bCs w:val="1"/>
                <w:color w:val="auto"/>
              </w:rPr>
              <w:t>Type</w:t>
            </w:r>
          </w:p>
        </w:tc>
        <w:tc>
          <w:tcPr>
            <w:tcW w:w="1540" w:type="dxa"/>
            <w:vAlign w:val="bottom"/>
            <w:gridSpan w:val="2"/>
          </w:tcPr>
          <w:p>
            <w:pPr>
              <w:jc w:val="center"/>
              <w:ind w:left="182"/>
              <w:spacing w:after="0"/>
              <w:rPr>
                <w:sz w:val="20"/>
                <w:szCs w:val="20"/>
                <w:color w:val="auto"/>
              </w:rPr>
            </w:pPr>
            <w:r>
              <w:rPr>
                <w:rFonts w:ascii="Arial" w:cs="Arial" w:eastAsia="Arial" w:hAnsi="Arial"/>
                <w:sz w:val="10"/>
                <w:szCs w:val="10"/>
                <w:b w:val="1"/>
                <w:bCs w:val="1"/>
                <w:color w:val="auto"/>
                <w:w w:val="83"/>
              </w:rPr>
              <w:t>Technique</w:t>
            </w:r>
          </w:p>
        </w:tc>
        <w:tc>
          <w:tcPr>
            <w:tcW w:w="680" w:type="dxa"/>
            <w:vAlign w:val="bottom"/>
          </w:tcPr>
          <w:p>
            <w:pPr>
              <w:spacing w:after="0"/>
              <w:rPr>
                <w:sz w:val="11"/>
                <w:szCs w:val="11"/>
                <w:color w:val="auto"/>
              </w:rPr>
            </w:pPr>
          </w:p>
        </w:tc>
        <w:tc>
          <w:tcPr>
            <w:tcW w:w="1200" w:type="dxa"/>
            <w:vAlign w:val="bottom"/>
          </w:tcPr>
          <w:p>
            <w:pPr>
              <w:jc w:val="center"/>
              <w:ind w:right="203"/>
              <w:spacing w:after="0"/>
              <w:rPr>
                <w:sz w:val="20"/>
                <w:szCs w:val="20"/>
                <w:color w:val="auto"/>
              </w:rPr>
            </w:pPr>
            <w:r>
              <w:rPr>
                <w:rFonts w:ascii="Arial" w:cs="Arial" w:eastAsia="Arial" w:hAnsi="Arial"/>
                <w:sz w:val="10"/>
                <w:szCs w:val="10"/>
                <w:b w:val="1"/>
                <w:bCs w:val="1"/>
                <w:color w:val="auto"/>
                <w:w w:val="84"/>
              </w:rPr>
              <w:t>(in thousands)</w:t>
            </w:r>
          </w:p>
        </w:tc>
        <w:tc>
          <w:tcPr>
            <w:tcW w:w="460" w:type="dxa"/>
            <w:vAlign w:val="bottom"/>
          </w:tcPr>
          <w:p>
            <w:pPr>
              <w:spacing w:after="0"/>
              <w:rPr>
                <w:sz w:val="11"/>
                <w:szCs w:val="11"/>
                <w:color w:val="auto"/>
              </w:rPr>
            </w:pPr>
          </w:p>
        </w:tc>
        <w:tc>
          <w:tcPr>
            <w:tcW w:w="27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3"/>
              </w:rPr>
              <w:t>Inputs</w:t>
            </w:r>
          </w:p>
        </w:tc>
        <w:tc>
          <w:tcPr>
            <w:tcW w:w="1440" w:type="dxa"/>
            <w:vAlign w:val="bottom"/>
            <w:gridSpan w:val="3"/>
          </w:tcPr>
          <w:p>
            <w:pPr>
              <w:jc w:val="center"/>
              <w:ind w:left="281"/>
              <w:spacing w:after="0"/>
              <w:rPr>
                <w:sz w:val="20"/>
                <w:szCs w:val="20"/>
                <w:color w:val="auto"/>
              </w:rPr>
            </w:pPr>
            <w:r>
              <w:rPr>
                <w:rFonts w:ascii="Arial" w:cs="Arial" w:eastAsia="Arial" w:hAnsi="Arial"/>
                <w:sz w:val="10"/>
                <w:szCs w:val="10"/>
                <w:b w:val="1"/>
                <w:bCs w:val="1"/>
                <w:color w:val="auto"/>
                <w:w w:val="84"/>
              </w:rPr>
              <w:t>Range</w:t>
            </w:r>
          </w:p>
        </w:tc>
        <w:tc>
          <w:tcPr>
            <w:tcW w:w="1120" w:type="dxa"/>
            <w:vAlign w:val="bottom"/>
          </w:tcPr>
          <w:p>
            <w:pPr>
              <w:jc w:val="center"/>
              <w:ind w:left="361"/>
              <w:spacing w:after="0"/>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155"/>
        </w:trPr>
        <w:tc>
          <w:tcPr>
            <w:tcW w:w="15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First lien loans</w:t>
            </w:r>
          </w:p>
        </w:tc>
        <w:tc>
          <w:tcPr>
            <w:tcW w:w="1540" w:type="dxa"/>
            <w:vAlign w:val="bottom"/>
            <w:gridSpan w:val="2"/>
            <w:shd w:val="clear" w:color="auto" w:fill="CCEEFF"/>
          </w:tcPr>
          <w:p>
            <w:pPr>
              <w:jc w:val="center"/>
              <w:ind w:left="182"/>
              <w:spacing w:after="0"/>
              <w:rPr>
                <w:sz w:val="20"/>
                <w:szCs w:val="20"/>
                <w:color w:val="auto"/>
              </w:rPr>
            </w:pPr>
            <w:r>
              <w:rPr>
                <w:rFonts w:ascii="Arial" w:cs="Arial" w:eastAsia="Arial" w:hAnsi="Arial"/>
                <w:sz w:val="12"/>
                <w:szCs w:val="12"/>
                <w:color w:val="auto"/>
                <w:w w:val="91"/>
              </w:rPr>
              <w:t>Income Approach</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504,379</w:t>
            </w:r>
          </w:p>
        </w:tc>
        <w:tc>
          <w:tcPr>
            <w:tcW w:w="46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Discount Rate</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500" w:type="dxa"/>
            <w:vAlign w:val="bottom"/>
            <w:shd w:val="clear" w:color="auto" w:fill="CCEEFF"/>
          </w:tcPr>
          <w:p>
            <w:pPr>
              <w:spacing w:after="0"/>
              <w:rPr>
                <w:sz w:val="20"/>
                <w:szCs w:val="20"/>
                <w:color w:val="auto"/>
              </w:rPr>
            </w:pPr>
            <w:r>
              <w:rPr>
                <w:rFonts w:ascii="Arial" w:cs="Arial" w:eastAsia="Arial" w:hAnsi="Arial"/>
                <w:sz w:val="12"/>
                <w:szCs w:val="12"/>
                <w:color w:val="auto"/>
              </w:rPr>
              <w:t>- 31.2%</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361"/>
              <w:spacing w:after="0"/>
              <w:rPr>
                <w:sz w:val="20"/>
                <w:szCs w:val="20"/>
                <w:color w:val="auto"/>
              </w:rPr>
            </w:pPr>
            <w:r>
              <w:rPr>
                <w:rFonts w:ascii="Arial" w:cs="Arial" w:eastAsia="Arial" w:hAnsi="Arial"/>
                <w:sz w:val="12"/>
                <w:szCs w:val="12"/>
                <w:color w:val="auto"/>
                <w:w w:val="88"/>
              </w:rPr>
              <w:t>10.7%</w:t>
            </w: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720" w:type="dxa"/>
            <w:vAlign w:val="bottom"/>
            <w:gridSpan w:val="2"/>
          </w:tcPr>
          <w:p>
            <w:pPr>
              <w:ind w:left="440"/>
              <w:spacing w:after="0"/>
              <w:rPr>
                <w:sz w:val="20"/>
                <w:szCs w:val="20"/>
                <w:color w:val="auto"/>
              </w:rPr>
            </w:pPr>
            <w:r>
              <w:rPr>
                <w:rFonts w:ascii="Arial" w:cs="Arial" w:eastAsia="Arial" w:hAnsi="Arial"/>
                <w:sz w:val="12"/>
                <w:szCs w:val="12"/>
                <w:color w:val="auto"/>
              </w:rPr>
              <w:t>Third Party Broker Quote</w:t>
            </w:r>
          </w:p>
        </w:tc>
        <w:tc>
          <w:tcPr>
            <w:tcW w:w="840" w:type="dxa"/>
            <w:vAlign w:val="bottom"/>
          </w:tcPr>
          <w:p>
            <w:pPr>
              <w:jc w:val="right"/>
              <w:spacing w:after="0"/>
              <w:rPr>
                <w:sz w:val="20"/>
                <w:szCs w:val="20"/>
                <w:color w:val="auto"/>
              </w:rPr>
            </w:pPr>
            <w:r>
              <w:rPr>
                <w:rFonts w:ascii="Arial" w:cs="Arial" w:eastAsia="Arial" w:hAnsi="Arial"/>
                <w:sz w:val="12"/>
                <w:szCs w:val="12"/>
                <w:color w:val="auto"/>
              </w:rPr>
              <w:t>43.9</w:t>
            </w:r>
          </w:p>
        </w:tc>
        <w:tc>
          <w:tcPr>
            <w:tcW w:w="500" w:type="dxa"/>
            <w:vAlign w:val="bottom"/>
          </w:tcPr>
          <w:p>
            <w:pPr>
              <w:spacing w:after="0"/>
              <w:rPr>
                <w:sz w:val="20"/>
                <w:szCs w:val="20"/>
                <w:color w:val="auto"/>
              </w:rPr>
            </w:pPr>
            <w:r>
              <w:rPr>
                <w:rFonts w:ascii="Arial" w:cs="Arial" w:eastAsia="Arial" w:hAnsi="Arial"/>
                <w:sz w:val="12"/>
                <w:szCs w:val="12"/>
                <w:color w:val="auto"/>
              </w:rPr>
              <w:t>- 101.5</w:t>
            </w:r>
          </w:p>
        </w:tc>
        <w:tc>
          <w:tcPr>
            <w:tcW w:w="100" w:type="dxa"/>
            <w:vAlign w:val="bottom"/>
          </w:tcPr>
          <w:p>
            <w:pPr>
              <w:spacing w:after="0"/>
              <w:rPr>
                <w:sz w:val="13"/>
                <w:szCs w:val="13"/>
                <w:color w:val="auto"/>
              </w:rPr>
            </w:pPr>
          </w:p>
        </w:tc>
        <w:tc>
          <w:tcPr>
            <w:tcW w:w="1120" w:type="dxa"/>
            <w:vAlign w:val="bottom"/>
          </w:tcPr>
          <w:p>
            <w:pPr>
              <w:jc w:val="center"/>
              <w:ind w:left="361"/>
              <w:spacing w:after="0"/>
              <w:rPr>
                <w:sz w:val="20"/>
                <w:szCs w:val="20"/>
                <w:color w:val="auto"/>
              </w:rPr>
            </w:pPr>
            <w:r>
              <w:rPr>
                <w:rFonts w:ascii="Arial" w:cs="Arial" w:eastAsia="Arial" w:hAnsi="Arial"/>
                <w:sz w:val="12"/>
                <w:szCs w:val="12"/>
                <w:color w:val="auto"/>
                <w:w w:val="93"/>
              </w:rPr>
              <w:t>85.9</w:t>
            </w: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left="162"/>
              <w:spacing w:after="0"/>
              <w:rPr>
                <w:sz w:val="20"/>
                <w:szCs w:val="20"/>
                <w:color w:val="auto"/>
              </w:rPr>
            </w:pPr>
            <w:r>
              <w:rPr>
                <w:rFonts w:ascii="Arial" w:cs="Arial" w:eastAsia="Arial" w:hAnsi="Arial"/>
                <w:sz w:val="12"/>
                <w:szCs w:val="12"/>
                <w:color w:val="auto"/>
                <w:w w:val="91"/>
              </w:rPr>
              <w:t>Market Approach</w:t>
            </w:r>
          </w:p>
        </w:tc>
        <w:tc>
          <w:tcPr>
            <w:tcW w:w="6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101,780</w:t>
            </w:r>
          </w:p>
        </w:tc>
        <w:tc>
          <w:tcPr>
            <w:tcW w:w="46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Cost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- 99.0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361"/>
              <w:spacing w:after="0"/>
              <w:rPr>
                <w:sz w:val="20"/>
                <w:szCs w:val="20"/>
                <w:color w:val="auto"/>
              </w:rPr>
            </w:pPr>
            <w:r>
              <w:rPr>
                <w:rFonts w:ascii="Arial" w:cs="Arial" w:eastAsia="Arial" w:hAnsi="Arial"/>
                <w:sz w:val="12"/>
                <w:szCs w:val="12"/>
                <w:color w:val="auto"/>
                <w:w w:val="93"/>
              </w:rPr>
              <w:t>98.2</w:t>
            </w: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720" w:type="dxa"/>
            <w:vAlign w:val="bottom"/>
            <w:gridSpan w:val="2"/>
          </w:tcPr>
          <w:p>
            <w:pPr>
              <w:ind w:left="440"/>
              <w:spacing w:after="0"/>
              <w:rPr>
                <w:sz w:val="20"/>
                <w:szCs w:val="20"/>
                <w:color w:val="auto"/>
              </w:rPr>
            </w:pPr>
            <w:r>
              <w:rPr>
                <w:rFonts w:ascii="Arial" w:cs="Arial" w:eastAsia="Arial" w:hAnsi="Arial"/>
                <w:sz w:val="12"/>
                <w:szCs w:val="12"/>
                <w:color w:val="auto"/>
              </w:rPr>
              <w:t>Exit Value</w:t>
            </w:r>
          </w:p>
        </w:tc>
        <w:tc>
          <w:tcPr>
            <w:tcW w:w="840" w:type="dxa"/>
            <w:vAlign w:val="bottom"/>
          </w:tcPr>
          <w:p>
            <w:pPr>
              <w:jc w:val="right"/>
              <w:spacing w:after="0"/>
              <w:rPr>
                <w:sz w:val="20"/>
                <w:szCs w:val="20"/>
                <w:color w:val="auto"/>
              </w:rPr>
            </w:pPr>
            <w:r>
              <w:rPr>
                <w:rFonts w:ascii="Arial" w:cs="Arial" w:eastAsia="Arial" w:hAnsi="Arial"/>
                <w:sz w:val="12"/>
                <w:szCs w:val="12"/>
                <w:color w:val="auto"/>
              </w:rPr>
              <w:t>100.0</w:t>
            </w:r>
          </w:p>
        </w:tc>
        <w:tc>
          <w:tcPr>
            <w:tcW w:w="500" w:type="dxa"/>
            <w:vAlign w:val="bottom"/>
          </w:tcPr>
          <w:p>
            <w:pPr>
              <w:ind w:left="20"/>
              <w:spacing w:after="0"/>
              <w:rPr>
                <w:sz w:val="20"/>
                <w:szCs w:val="20"/>
                <w:color w:val="auto"/>
              </w:rPr>
            </w:pPr>
            <w:r>
              <w:rPr>
                <w:rFonts w:ascii="Arial" w:cs="Arial" w:eastAsia="Arial" w:hAnsi="Arial"/>
                <w:sz w:val="12"/>
                <w:szCs w:val="12"/>
                <w:color w:val="auto"/>
              </w:rPr>
              <w:t>- 100.0</w:t>
            </w:r>
          </w:p>
        </w:tc>
        <w:tc>
          <w:tcPr>
            <w:tcW w:w="100" w:type="dxa"/>
            <w:vAlign w:val="bottom"/>
          </w:tcPr>
          <w:p>
            <w:pPr>
              <w:spacing w:after="0"/>
              <w:rPr>
                <w:sz w:val="13"/>
                <w:szCs w:val="13"/>
                <w:color w:val="auto"/>
              </w:rPr>
            </w:pPr>
          </w:p>
        </w:tc>
        <w:tc>
          <w:tcPr>
            <w:tcW w:w="1120" w:type="dxa"/>
            <w:vAlign w:val="bottom"/>
          </w:tcPr>
          <w:p>
            <w:pPr>
              <w:jc w:val="center"/>
              <w:ind w:left="361"/>
              <w:spacing w:after="0"/>
              <w:rPr>
                <w:sz w:val="20"/>
                <w:szCs w:val="20"/>
                <w:color w:val="auto"/>
              </w:rPr>
            </w:pPr>
            <w:r>
              <w:rPr>
                <w:rFonts w:ascii="Arial" w:cs="Arial" w:eastAsia="Arial" w:hAnsi="Arial"/>
                <w:sz w:val="12"/>
                <w:szCs w:val="12"/>
                <w:color w:val="auto"/>
                <w:w w:val="86"/>
              </w:rPr>
              <w:t>100.0</w:t>
            </w: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Second lien loans</w:t>
            </w:r>
          </w:p>
        </w:tc>
        <w:tc>
          <w:tcPr>
            <w:tcW w:w="1540" w:type="dxa"/>
            <w:vAlign w:val="bottom"/>
            <w:gridSpan w:val="2"/>
            <w:shd w:val="clear" w:color="auto" w:fill="CCEEFF"/>
          </w:tcPr>
          <w:p>
            <w:pPr>
              <w:jc w:val="center"/>
              <w:ind w:left="182"/>
              <w:spacing w:after="0"/>
              <w:rPr>
                <w:sz w:val="20"/>
                <w:szCs w:val="20"/>
                <w:color w:val="auto"/>
              </w:rPr>
            </w:pPr>
            <w:r>
              <w:rPr>
                <w:rFonts w:ascii="Arial" w:cs="Arial" w:eastAsia="Arial" w:hAnsi="Arial"/>
                <w:sz w:val="12"/>
                <w:szCs w:val="12"/>
                <w:color w:val="auto"/>
                <w:w w:val="91"/>
              </w:rPr>
              <w:t>Income Approach</w:t>
            </w:r>
          </w:p>
        </w:tc>
        <w:tc>
          <w:tcPr>
            <w:tcW w:w="6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37,574</w:t>
            </w:r>
          </w:p>
        </w:tc>
        <w:tc>
          <w:tcPr>
            <w:tcW w:w="46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Discount Rate</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- 20.7%</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361"/>
              <w:spacing w:after="0"/>
              <w:rPr>
                <w:sz w:val="20"/>
                <w:szCs w:val="20"/>
                <w:color w:val="auto"/>
              </w:rPr>
            </w:pPr>
            <w:r>
              <w:rPr>
                <w:rFonts w:ascii="Arial" w:cs="Arial" w:eastAsia="Arial" w:hAnsi="Arial"/>
                <w:sz w:val="12"/>
                <w:szCs w:val="12"/>
                <w:color w:val="auto"/>
                <w:w w:val="88"/>
              </w:rPr>
              <w:t>16.2%</w:t>
            </w: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720" w:type="dxa"/>
            <w:vAlign w:val="bottom"/>
            <w:gridSpan w:val="2"/>
          </w:tcPr>
          <w:p>
            <w:pPr>
              <w:ind w:left="440"/>
              <w:spacing w:after="0"/>
              <w:rPr>
                <w:sz w:val="20"/>
                <w:szCs w:val="20"/>
                <w:color w:val="auto"/>
              </w:rPr>
            </w:pPr>
            <w:r>
              <w:rPr>
                <w:rFonts w:ascii="Arial" w:cs="Arial" w:eastAsia="Arial" w:hAnsi="Arial"/>
                <w:sz w:val="12"/>
                <w:szCs w:val="12"/>
                <w:color w:val="auto"/>
              </w:rPr>
              <w:t>Third Party Broker Quote</w:t>
            </w:r>
          </w:p>
        </w:tc>
        <w:tc>
          <w:tcPr>
            <w:tcW w:w="840" w:type="dxa"/>
            <w:vAlign w:val="bottom"/>
          </w:tcPr>
          <w:p>
            <w:pPr>
              <w:jc w:val="right"/>
              <w:spacing w:after="0"/>
              <w:rPr>
                <w:sz w:val="20"/>
                <w:szCs w:val="20"/>
                <w:color w:val="auto"/>
              </w:rPr>
            </w:pPr>
            <w:r>
              <w:rPr>
                <w:rFonts w:ascii="Arial" w:cs="Arial" w:eastAsia="Arial" w:hAnsi="Arial"/>
                <w:sz w:val="12"/>
                <w:szCs w:val="12"/>
                <w:color w:val="auto"/>
              </w:rPr>
              <w:t>99.3</w:t>
            </w:r>
          </w:p>
        </w:tc>
        <w:tc>
          <w:tcPr>
            <w:tcW w:w="500" w:type="dxa"/>
            <w:vAlign w:val="bottom"/>
          </w:tcPr>
          <w:p>
            <w:pPr>
              <w:spacing w:after="0"/>
              <w:rPr>
                <w:sz w:val="20"/>
                <w:szCs w:val="20"/>
                <w:color w:val="auto"/>
              </w:rPr>
            </w:pPr>
            <w:r>
              <w:rPr>
                <w:rFonts w:ascii="Arial" w:cs="Arial" w:eastAsia="Arial" w:hAnsi="Arial"/>
                <w:sz w:val="12"/>
                <w:szCs w:val="12"/>
                <w:color w:val="auto"/>
              </w:rPr>
              <w:t>- 101.3</w:t>
            </w:r>
          </w:p>
        </w:tc>
        <w:tc>
          <w:tcPr>
            <w:tcW w:w="100" w:type="dxa"/>
            <w:vAlign w:val="bottom"/>
          </w:tcPr>
          <w:p>
            <w:pPr>
              <w:spacing w:after="0"/>
              <w:rPr>
                <w:sz w:val="13"/>
                <w:szCs w:val="13"/>
                <w:color w:val="auto"/>
              </w:rPr>
            </w:pPr>
          </w:p>
        </w:tc>
        <w:tc>
          <w:tcPr>
            <w:tcW w:w="1120" w:type="dxa"/>
            <w:vAlign w:val="bottom"/>
          </w:tcPr>
          <w:p>
            <w:pPr>
              <w:jc w:val="center"/>
              <w:ind w:left="361"/>
              <w:spacing w:after="0"/>
              <w:rPr>
                <w:sz w:val="20"/>
                <w:szCs w:val="20"/>
                <w:color w:val="auto"/>
              </w:rPr>
            </w:pPr>
            <w:r>
              <w:rPr>
                <w:rFonts w:ascii="Arial" w:cs="Arial" w:eastAsia="Arial" w:hAnsi="Arial"/>
                <w:sz w:val="12"/>
                <w:szCs w:val="12"/>
                <w:color w:val="auto"/>
                <w:w w:val="93"/>
              </w:rPr>
              <w:t>99.5</w:t>
            </w: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left="162"/>
              <w:spacing w:after="0"/>
              <w:rPr>
                <w:sz w:val="20"/>
                <w:szCs w:val="20"/>
                <w:color w:val="auto"/>
              </w:rPr>
            </w:pPr>
            <w:r>
              <w:rPr>
                <w:rFonts w:ascii="Arial" w:cs="Arial" w:eastAsia="Arial" w:hAnsi="Arial"/>
                <w:sz w:val="12"/>
                <w:szCs w:val="12"/>
                <w:color w:val="auto"/>
                <w:w w:val="91"/>
              </w:rPr>
              <w:t>Market Approach</w:t>
            </w:r>
          </w:p>
        </w:tc>
        <w:tc>
          <w:tcPr>
            <w:tcW w:w="6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15,435</w:t>
            </w:r>
          </w:p>
        </w:tc>
        <w:tc>
          <w:tcPr>
            <w:tcW w:w="46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Cost</w:t>
            </w:r>
          </w:p>
        </w:tc>
        <w:tc>
          <w:tcPr>
            <w:tcW w:w="1340" w:type="dxa"/>
            <w:vAlign w:val="bottom"/>
            <w:gridSpan w:val="2"/>
            <w:shd w:val="clear" w:color="auto" w:fill="CCEEFF"/>
          </w:tcPr>
          <w:p>
            <w:pPr>
              <w:jc w:val="center"/>
              <w:ind w:left="361"/>
              <w:spacing w:after="0"/>
              <w:rPr>
                <w:sz w:val="20"/>
                <w:szCs w:val="20"/>
                <w:color w:val="auto"/>
              </w:rPr>
            </w:pPr>
            <w:r>
              <w:rPr>
                <w:rFonts w:ascii="Arial" w:cs="Arial" w:eastAsia="Arial" w:hAnsi="Arial"/>
                <w:sz w:val="12"/>
                <w:szCs w:val="12"/>
                <w:color w:val="auto"/>
                <w:w w:val="85"/>
              </w:rPr>
              <w:t>98.0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361"/>
              <w:spacing w:after="0"/>
              <w:rPr>
                <w:sz w:val="20"/>
                <w:szCs w:val="20"/>
                <w:color w:val="auto"/>
              </w:rPr>
            </w:pPr>
            <w:r>
              <w:rPr>
                <w:rFonts w:ascii="Arial" w:cs="Arial" w:eastAsia="Arial" w:hAnsi="Arial"/>
                <w:sz w:val="12"/>
                <w:szCs w:val="12"/>
                <w:color w:val="auto"/>
                <w:w w:val="93"/>
              </w:rPr>
              <w:t>98.0</w:t>
            </w:r>
          </w:p>
        </w:tc>
        <w:tc>
          <w:tcPr>
            <w:tcW w:w="0" w:type="dxa"/>
            <w:vAlign w:val="bottom"/>
          </w:tcPr>
          <w:p>
            <w:pPr>
              <w:spacing w:after="0"/>
              <w:rPr>
                <w:sz w:val="1"/>
                <w:szCs w:val="1"/>
                <w:color w:val="auto"/>
              </w:rPr>
            </w:pPr>
          </w:p>
        </w:tc>
      </w:tr>
      <w:tr>
        <w:trPr>
          <w:trHeight w:val="153"/>
        </w:trPr>
        <w:tc>
          <w:tcPr>
            <w:tcW w:w="1520" w:type="dxa"/>
            <w:vAlign w:val="bottom"/>
          </w:tcPr>
          <w:p>
            <w:pPr>
              <w:ind w:left="440"/>
              <w:spacing w:after="0"/>
              <w:rPr>
                <w:sz w:val="20"/>
                <w:szCs w:val="20"/>
                <w:color w:val="auto"/>
              </w:rPr>
            </w:pPr>
            <w:r>
              <w:rPr>
                <w:rFonts w:ascii="Arial" w:cs="Arial" w:eastAsia="Arial" w:hAnsi="Arial"/>
                <w:sz w:val="12"/>
                <w:szCs w:val="12"/>
                <w:color w:val="auto"/>
              </w:rPr>
              <w:t>Subordinated debt</w:t>
            </w:r>
          </w:p>
        </w:tc>
        <w:tc>
          <w:tcPr>
            <w:tcW w:w="1540" w:type="dxa"/>
            <w:vAlign w:val="bottom"/>
            <w:gridSpan w:val="2"/>
          </w:tcPr>
          <w:p>
            <w:pPr>
              <w:jc w:val="center"/>
              <w:ind w:left="182"/>
              <w:spacing w:after="0"/>
              <w:rPr>
                <w:sz w:val="20"/>
                <w:szCs w:val="20"/>
                <w:color w:val="auto"/>
              </w:rPr>
            </w:pPr>
            <w:r>
              <w:rPr>
                <w:rFonts w:ascii="Arial" w:cs="Arial" w:eastAsia="Arial" w:hAnsi="Arial"/>
                <w:sz w:val="12"/>
                <w:szCs w:val="12"/>
                <w:color w:val="auto"/>
                <w:w w:val="91"/>
              </w:rPr>
              <w:t>Income Approach</w:t>
            </w:r>
          </w:p>
        </w:tc>
        <w:tc>
          <w:tcPr>
            <w:tcW w:w="6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12,089</w:t>
            </w:r>
          </w:p>
        </w:tc>
        <w:tc>
          <w:tcPr>
            <w:tcW w:w="460" w:type="dxa"/>
            <w:vAlign w:val="bottom"/>
          </w:tcPr>
          <w:p>
            <w:pPr>
              <w:spacing w:after="0"/>
              <w:rPr>
                <w:sz w:val="13"/>
                <w:szCs w:val="13"/>
                <w:color w:val="auto"/>
              </w:rPr>
            </w:pPr>
          </w:p>
        </w:tc>
        <w:tc>
          <w:tcPr>
            <w:tcW w:w="2720" w:type="dxa"/>
            <w:vAlign w:val="bottom"/>
            <w:gridSpan w:val="2"/>
          </w:tcPr>
          <w:p>
            <w:pPr>
              <w:ind w:left="440"/>
              <w:spacing w:after="0"/>
              <w:rPr>
                <w:sz w:val="20"/>
                <w:szCs w:val="20"/>
                <w:color w:val="auto"/>
              </w:rPr>
            </w:pPr>
            <w:r>
              <w:rPr>
                <w:rFonts w:ascii="Arial" w:cs="Arial" w:eastAsia="Arial" w:hAnsi="Arial"/>
                <w:sz w:val="12"/>
                <w:szCs w:val="12"/>
                <w:color w:val="auto"/>
              </w:rPr>
              <w:t>Discount Rate</w:t>
            </w:r>
          </w:p>
        </w:tc>
        <w:tc>
          <w:tcPr>
            <w:tcW w:w="840" w:type="dxa"/>
            <w:vAlign w:val="bottom"/>
          </w:tcPr>
          <w:p>
            <w:pPr>
              <w:jc w:val="right"/>
              <w:spacing w:after="0"/>
              <w:rPr>
                <w:sz w:val="20"/>
                <w:szCs w:val="20"/>
                <w:color w:val="auto"/>
              </w:rPr>
            </w:pPr>
            <w:r>
              <w:rPr>
                <w:rFonts w:ascii="Arial" w:cs="Arial" w:eastAsia="Arial" w:hAnsi="Arial"/>
                <w:sz w:val="12"/>
                <w:szCs w:val="12"/>
                <w:color w:val="auto"/>
              </w:rPr>
              <w:t>6.2%</w:t>
            </w:r>
          </w:p>
        </w:tc>
        <w:tc>
          <w:tcPr>
            <w:tcW w:w="500" w:type="dxa"/>
            <w:vAlign w:val="bottom"/>
          </w:tcPr>
          <w:p>
            <w:pPr>
              <w:spacing w:after="0"/>
              <w:rPr>
                <w:sz w:val="20"/>
                <w:szCs w:val="20"/>
                <w:color w:val="auto"/>
              </w:rPr>
            </w:pPr>
            <w:r>
              <w:rPr>
                <w:rFonts w:ascii="Arial" w:cs="Arial" w:eastAsia="Arial" w:hAnsi="Arial"/>
                <w:sz w:val="12"/>
                <w:szCs w:val="12"/>
                <w:color w:val="auto"/>
              </w:rPr>
              <w:t>- 25.0%</w:t>
            </w:r>
          </w:p>
        </w:tc>
        <w:tc>
          <w:tcPr>
            <w:tcW w:w="100" w:type="dxa"/>
            <w:vAlign w:val="bottom"/>
          </w:tcPr>
          <w:p>
            <w:pPr>
              <w:spacing w:after="0"/>
              <w:rPr>
                <w:sz w:val="13"/>
                <w:szCs w:val="13"/>
                <w:color w:val="auto"/>
              </w:rPr>
            </w:pPr>
          </w:p>
        </w:tc>
        <w:tc>
          <w:tcPr>
            <w:tcW w:w="1120" w:type="dxa"/>
            <w:vAlign w:val="bottom"/>
          </w:tcPr>
          <w:p>
            <w:pPr>
              <w:jc w:val="center"/>
              <w:ind w:left="361"/>
              <w:spacing w:after="0"/>
              <w:rPr>
                <w:sz w:val="20"/>
                <w:szCs w:val="20"/>
                <w:color w:val="auto"/>
              </w:rPr>
            </w:pPr>
            <w:r>
              <w:rPr>
                <w:rFonts w:ascii="Arial" w:cs="Arial" w:eastAsia="Arial" w:hAnsi="Arial"/>
                <w:sz w:val="12"/>
                <w:szCs w:val="12"/>
                <w:color w:val="auto"/>
                <w:w w:val="88"/>
              </w:rPr>
              <w:t>10.7%</w:t>
            </w:r>
          </w:p>
        </w:tc>
        <w:tc>
          <w:tcPr>
            <w:tcW w:w="0" w:type="dxa"/>
            <w:vAlign w:val="bottom"/>
          </w:tcPr>
          <w:p>
            <w:pPr>
              <w:spacing w:after="0"/>
              <w:rPr>
                <w:sz w:val="1"/>
                <w:szCs w:val="1"/>
                <w:color w:val="auto"/>
              </w:rPr>
            </w:pPr>
          </w:p>
        </w:tc>
      </w:tr>
      <w:tr>
        <w:trPr>
          <w:trHeight w:val="117"/>
        </w:trPr>
        <w:tc>
          <w:tcPr>
            <w:tcW w:w="1520" w:type="dxa"/>
            <w:vAlign w:val="bottom"/>
            <w:vMerge w:val="restart"/>
            <w:shd w:val="clear" w:color="auto" w:fill="CCEEFF"/>
          </w:tcPr>
          <w:p>
            <w:pPr>
              <w:ind w:left="440"/>
              <w:spacing w:after="0"/>
              <w:rPr>
                <w:sz w:val="20"/>
                <w:szCs w:val="20"/>
                <w:color w:val="auto"/>
              </w:rPr>
            </w:pPr>
            <w:r>
              <w:rPr>
                <w:rFonts w:ascii="Arial" w:cs="Arial" w:eastAsia="Arial" w:hAnsi="Arial"/>
                <w:sz w:val="12"/>
                <w:szCs w:val="12"/>
                <w:color w:val="auto"/>
              </w:rPr>
              <w:t>Preferred equity</w:t>
            </w:r>
          </w:p>
        </w:tc>
        <w:tc>
          <w:tcPr>
            <w:tcW w:w="1540" w:type="dxa"/>
            <w:vAlign w:val="bottom"/>
            <w:gridSpan w:val="2"/>
            <w:shd w:val="clear" w:color="auto" w:fill="CCEEFF"/>
          </w:tcPr>
          <w:p>
            <w:pPr>
              <w:jc w:val="center"/>
              <w:ind w:left="162"/>
              <w:spacing w:after="0" w:line="117" w:lineRule="exact"/>
              <w:rPr>
                <w:sz w:val="20"/>
                <w:szCs w:val="20"/>
                <w:color w:val="auto"/>
              </w:rPr>
            </w:pPr>
            <w:r>
              <w:rPr>
                <w:rFonts w:ascii="Arial" w:cs="Arial" w:eastAsia="Arial" w:hAnsi="Arial"/>
                <w:sz w:val="12"/>
                <w:szCs w:val="12"/>
                <w:color w:val="auto"/>
                <w:w w:val="90"/>
              </w:rPr>
              <w:t>Enterprise Value</w:t>
            </w:r>
          </w:p>
        </w:tc>
        <w:tc>
          <w:tcPr>
            <w:tcW w:w="68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24,288</w:t>
            </w:r>
          </w:p>
        </w:tc>
        <w:tc>
          <w:tcPr>
            <w:tcW w:w="460" w:type="dxa"/>
            <w:vAlign w:val="bottom"/>
            <w:shd w:val="clear" w:color="auto" w:fill="CCEEFF"/>
          </w:tcPr>
          <w:p>
            <w:pPr>
              <w:spacing w:after="0"/>
              <w:rPr>
                <w:sz w:val="10"/>
                <w:szCs w:val="10"/>
                <w:color w:val="auto"/>
              </w:rPr>
            </w:pPr>
          </w:p>
        </w:tc>
        <w:tc>
          <w:tcPr>
            <w:tcW w:w="2720" w:type="dxa"/>
            <w:vAlign w:val="bottom"/>
            <w:gridSpan w:val="2"/>
            <w:vMerge w:val="restart"/>
            <w:shd w:val="clear" w:color="auto" w:fill="CCEEFF"/>
          </w:tcPr>
          <w:p>
            <w:pPr>
              <w:ind w:left="440"/>
              <w:spacing w:after="0"/>
              <w:rPr>
                <w:sz w:val="20"/>
                <w:szCs w:val="20"/>
                <w:color w:val="auto"/>
              </w:rPr>
            </w:pPr>
            <w:r>
              <w:rPr>
                <w:rFonts w:ascii="Arial" w:cs="Arial" w:eastAsia="Arial" w:hAnsi="Arial"/>
                <w:sz w:val="12"/>
                <w:szCs w:val="12"/>
                <w:color w:val="auto"/>
              </w:rPr>
              <w:t>EBITDA Multiple</w:t>
            </w:r>
          </w:p>
        </w:tc>
        <w:tc>
          <w:tcPr>
            <w:tcW w:w="1440" w:type="dxa"/>
            <w:vAlign w:val="bottom"/>
            <w:gridSpan w:val="3"/>
            <w:vMerge w:val="restart"/>
            <w:shd w:val="clear" w:color="auto" w:fill="CCEEFF"/>
          </w:tcPr>
          <w:p>
            <w:pPr>
              <w:jc w:val="center"/>
              <w:ind w:left="301"/>
              <w:spacing w:after="0"/>
              <w:rPr>
                <w:sz w:val="20"/>
                <w:szCs w:val="20"/>
                <w:color w:val="auto"/>
              </w:rPr>
            </w:pPr>
            <w:r>
              <w:rPr>
                <w:rFonts w:ascii="Arial" w:cs="Arial" w:eastAsia="Arial" w:hAnsi="Arial"/>
                <w:sz w:val="12"/>
                <w:szCs w:val="12"/>
                <w:color w:val="auto"/>
                <w:w w:val="92"/>
              </w:rPr>
              <w:t>7.0x - 9.8x</w:t>
            </w:r>
          </w:p>
        </w:tc>
        <w:tc>
          <w:tcPr>
            <w:tcW w:w="1120" w:type="dxa"/>
            <w:vAlign w:val="bottom"/>
            <w:vMerge w:val="restart"/>
            <w:shd w:val="clear" w:color="auto" w:fill="CCEEFF"/>
          </w:tcPr>
          <w:p>
            <w:pPr>
              <w:jc w:val="center"/>
              <w:ind w:left="361"/>
              <w:spacing w:after="0"/>
              <w:rPr>
                <w:sz w:val="20"/>
                <w:szCs w:val="20"/>
                <w:color w:val="auto"/>
              </w:rPr>
            </w:pPr>
            <w:r>
              <w:rPr>
                <w:rFonts w:ascii="Arial" w:cs="Arial" w:eastAsia="Arial" w:hAnsi="Arial"/>
                <w:sz w:val="12"/>
                <w:szCs w:val="12"/>
                <w:color w:val="auto"/>
                <w:w w:val="96"/>
              </w:rPr>
              <w:t>9.0x</w:t>
            </w:r>
          </w:p>
        </w:tc>
        <w:tc>
          <w:tcPr>
            <w:tcW w:w="0" w:type="dxa"/>
            <w:vAlign w:val="bottom"/>
          </w:tcPr>
          <w:p>
            <w:pPr>
              <w:spacing w:after="0"/>
              <w:rPr>
                <w:sz w:val="1"/>
                <w:szCs w:val="1"/>
                <w:color w:val="auto"/>
              </w:rPr>
            </w:pPr>
          </w:p>
        </w:tc>
      </w:tr>
      <w:tr>
        <w:trPr>
          <w:trHeight w:val="153"/>
        </w:trPr>
        <w:tc>
          <w:tcPr>
            <w:tcW w:w="1520" w:type="dxa"/>
            <w:vAlign w:val="bottom"/>
            <w:vMerge w:val="continue"/>
            <w:shd w:val="clear" w:color="auto" w:fill="CCEEFF"/>
          </w:tcPr>
          <w:p>
            <w:pPr>
              <w:spacing w:after="0"/>
              <w:rPr>
                <w:sz w:val="13"/>
                <w:szCs w:val="13"/>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Waterfall Approach</w:t>
            </w:r>
          </w:p>
        </w:tc>
        <w:tc>
          <w:tcPr>
            <w:tcW w:w="68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720" w:type="dxa"/>
            <w:vAlign w:val="bottom"/>
            <w:gridSpan w:val="2"/>
            <w:vMerge w:val="continue"/>
            <w:shd w:val="clear" w:color="auto" w:fill="CCEEFF"/>
          </w:tcPr>
          <w:p>
            <w:pPr>
              <w:spacing w:after="0"/>
              <w:rPr>
                <w:sz w:val="13"/>
                <w:szCs w:val="13"/>
                <w:color w:val="auto"/>
              </w:rPr>
            </w:pPr>
          </w:p>
        </w:tc>
        <w:tc>
          <w:tcPr>
            <w:tcW w:w="1440" w:type="dxa"/>
            <w:vAlign w:val="bottom"/>
            <w:gridSpan w:val="3"/>
            <w:vMerge w:val="continue"/>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720" w:type="dxa"/>
            <w:vAlign w:val="bottom"/>
            <w:gridSpan w:val="2"/>
          </w:tcPr>
          <w:p>
            <w:pPr>
              <w:ind w:left="440"/>
              <w:spacing w:after="0"/>
              <w:rPr>
                <w:sz w:val="20"/>
                <w:szCs w:val="20"/>
                <w:color w:val="auto"/>
              </w:rPr>
            </w:pPr>
            <w:r>
              <w:rPr>
                <w:rFonts w:ascii="Arial" w:cs="Arial" w:eastAsia="Arial" w:hAnsi="Arial"/>
                <w:sz w:val="12"/>
                <w:szCs w:val="12"/>
                <w:color w:val="auto"/>
              </w:rPr>
              <w:t>Discount Rate</w:t>
            </w:r>
          </w:p>
        </w:tc>
        <w:tc>
          <w:tcPr>
            <w:tcW w:w="840" w:type="dxa"/>
            <w:vAlign w:val="bottom"/>
          </w:tcPr>
          <w:p>
            <w:pPr>
              <w:jc w:val="right"/>
              <w:spacing w:after="0"/>
              <w:rPr>
                <w:sz w:val="20"/>
                <w:szCs w:val="20"/>
                <w:color w:val="auto"/>
              </w:rPr>
            </w:pPr>
            <w:r>
              <w:rPr>
                <w:rFonts w:ascii="Arial" w:cs="Arial" w:eastAsia="Arial" w:hAnsi="Arial"/>
                <w:sz w:val="12"/>
                <w:szCs w:val="12"/>
                <w:color w:val="auto"/>
              </w:rPr>
              <w:t>13.2%</w:t>
            </w:r>
          </w:p>
        </w:tc>
        <w:tc>
          <w:tcPr>
            <w:tcW w:w="500" w:type="dxa"/>
            <w:vAlign w:val="bottom"/>
          </w:tcPr>
          <w:p>
            <w:pPr>
              <w:ind w:left="20"/>
              <w:spacing w:after="0"/>
              <w:rPr>
                <w:sz w:val="20"/>
                <w:szCs w:val="20"/>
                <w:color w:val="auto"/>
              </w:rPr>
            </w:pPr>
            <w:r>
              <w:rPr>
                <w:rFonts w:ascii="Arial" w:cs="Arial" w:eastAsia="Arial" w:hAnsi="Arial"/>
                <w:sz w:val="12"/>
                <w:szCs w:val="12"/>
                <w:color w:val="auto"/>
              </w:rPr>
              <w:t>- 21.9%</w:t>
            </w:r>
          </w:p>
        </w:tc>
        <w:tc>
          <w:tcPr>
            <w:tcW w:w="100" w:type="dxa"/>
            <w:vAlign w:val="bottom"/>
          </w:tcPr>
          <w:p>
            <w:pPr>
              <w:spacing w:after="0"/>
              <w:rPr>
                <w:sz w:val="13"/>
                <w:szCs w:val="13"/>
                <w:color w:val="auto"/>
              </w:rPr>
            </w:pPr>
          </w:p>
        </w:tc>
        <w:tc>
          <w:tcPr>
            <w:tcW w:w="1120" w:type="dxa"/>
            <w:vAlign w:val="bottom"/>
          </w:tcPr>
          <w:p>
            <w:pPr>
              <w:jc w:val="center"/>
              <w:ind w:left="361"/>
              <w:spacing w:after="0"/>
              <w:rPr>
                <w:sz w:val="20"/>
                <w:szCs w:val="20"/>
                <w:color w:val="auto"/>
              </w:rPr>
            </w:pPr>
            <w:r>
              <w:rPr>
                <w:rFonts w:ascii="Arial" w:cs="Arial" w:eastAsia="Arial" w:hAnsi="Arial"/>
                <w:sz w:val="12"/>
                <w:szCs w:val="12"/>
                <w:color w:val="auto"/>
                <w:w w:val="88"/>
              </w:rPr>
              <w:t>18.4%</w:t>
            </w: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left="162"/>
              <w:spacing w:after="0"/>
              <w:rPr>
                <w:sz w:val="20"/>
                <w:szCs w:val="20"/>
                <w:color w:val="auto"/>
              </w:rPr>
            </w:pPr>
            <w:r>
              <w:rPr>
                <w:rFonts w:ascii="Arial" w:cs="Arial" w:eastAsia="Arial" w:hAnsi="Arial"/>
                <w:sz w:val="12"/>
                <w:szCs w:val="12"/>
                <w:color w:val="auto"/>
                <w:w w:val="91"/>
              </w:rPr>
              <w:t>Market Approach</w:t>
            </w:r>
          </w:p>
        </w:tc>
        <w:tc>
          <w:tcPr>
            <w:tcW w:w="6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2,979</w:t>
            </w:r>
          </w:p>
        </w:tc>
        <w:tc>
          <w:tcPr>
            <w:tcW w:w="46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Cost</w:t>
            </w:r>
          </w:p>
        </w:tc>
        <w:tc>
          <w:tcPr>
            <w:tcW w:w="1340" w:type="dxa"/>
            <w:vAlign w:val="bottom"/>
            <w:gridSpan w:val="2"/>
            <w:shd w:val="clear" w:color="auto" w:fill="CCEEFF"/>
          </w:tcPr>
          <w:p>
            <w:pPr>
              <w:jc w:val="center"/>
              <w:ind w:left="361"/>
              <w:spacing w:after="0"/>
              <w:rPr>
                <w:sz w:val="20"/>
                <w:szCs w:val="20"/>
                <w:color w:val="auto"/>
              </w:rPr>
            </w:pPr>
            <w:r>
              <w:rPr>
                <w:rFonts w:ascii="Arial" w:cs="Arial" w:eastAsia="Arial" w:hAnsi="Arial"/>
                <w:sz w:val="12"/>
                <w:szCs w:val="12"/>
                <w:color w:val="auto"/>
                <w:w w:val="93"/>
              </w:rPr>
              <w:t>100.0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361"/>
              <w:spacing w:after="0"/>
              <w:rPr>
                <w:sz w:val="20"/>
                <w:szCs w:val="20"/>
                <w:color w:val="auto"/>
              </w:rPr>
            </w:pPr>
            <w:r>
              <w:rPr>
                <w:rFonts w:ascii="Arial" w:cs="Arial" w:eastAsia="Arial" w:hAnsi="Arial"/>
                <w:sz w:val="12"/>
                <w:szCs w:val="12"/>
                <w:color w:val="auto"/>
                <w:w w:val="86"/>
              </w:rPr>
              <w:t>100.0</w:t>
            </w:r>
          </w:p>
        </w:tc>
        <w:tc>
          <w:tcPr>
            <w:tcW w:w="0" w:type="dxa"/>
            <w:vAlign w:val="bottom"/>
          </w:tcPr>
          <w:p>
            <w:pPr>
              <w:spacing w:after="0"/>
              <w:rPr>
                <w:sz w:val="1"/>
                <w:szCs w:val="1"/>
                <w:color w:val="auto"/>
              </w:rPr>
            </w:pPr>
          </w:p>
        </w:tc>
      </w:tr>
      <w:tr>
        <w:trPr>
          <w:trHeight w:val="117"/>
        </w:trPr>
        <w:tc>
          <w:tcPr>
            <w:tcW w:w="1520" w:type="dxa"/>
            <w:vAlign w:val="bottom"/>
          </w:tcPr>
          <w:p>
            <w:pPr>
              <w:ind w:left="440"/>
              <w:spacing w:after="0" w:line="117" w:lineRule="exact"/>
              <w:rPr>
                <w:sz w:val="20"/>
                <w:szCs w:val="20"/>
                <w:color w:val="auto"/>
              </w:rPr>
            </w:pPr>
            <w:r>
              <w:rPr>
                <w:rFonts w:ascii="Arial" w:cs="Arial" w:eastAsia="Arial" w:hAnsi="Arial"/>
                <w:sz w:val="12"/>
                <w:szCs w:val="12"/>
                <w:color w:val="auto"/>
              </w:rPr>
              <w:t>Common equity &amp;</w:t>
            </w:r>
          </w:p>
        </w:tc>
        <w:tc>
          <w:tcPr>
            <w:tcW w:w="1540" w:type="dxa"/>
            <w:vAlign w:val="bottom"/>
            <w:gridSpan w:val="2"/>
          </w:tcPr>
          <w:p>
            <w:pPr>
              <w:jc w:val="center"/>
              <w:ind w:left="162"/>
              <w:spacing w:after="0" w:line="117" w:lineRule="exact"/>
              <w:rPr>
                <w:sz w:val="20"/>
                <w:szCs w:val="20"/>
                <w:color w:val="auto"/>
              </w:rPr>
            </w:pPr>
            <w:r>
              <w:rPr>
                <w:rFonts w:ascii="Arial" w:cs="Arial" w:eastAsia="Arial" w:hAnsi="Arial"/>
                <w:sz w:val="12"/>
                <w:szCs w:val="12"/>
                <w:color w:val="auto"/>
                <w:w w:val="90"/>
              </w:rPr>
              <w:t>Enterprise Value</w:t>
            </w:r>
          </w:p>
        </w:tc>
        <w:tc>
          <w:tcPr>
            <w:tcW w:w="680" w:type="dxa"/>
            <w:vAlign w:val="bottom"/>
          </w:tcPr>
          <w:p>
            <w:pPr>
              <w:spacing w:after="0"/>
              <w:rPr>
                <w:sz w:val="10"/>
                <w:szCs w:val="10"/>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2"/>
                <w:szCs w:val="12"/>
                <w:color w:val="auto"/>
              </w:rPr>
              <w:t>36,608</w:t>
            </w:r>
          </w:p>
        </w:tc>
        <w:tc>
          <w:tcPr>
            <w:tcW w:w="460" w:type="dxa"/>
            <w:vAlign w:val="bottom"/>
          </w:tcPr>
          <w:p>
            <w:pPr>
              <w:spacing w:after="0"/>
              <w:rPr>
                <w:sz w:val="10"/>
                <w:szCs w:val="10"/>
                <w:color w:val="auto"/>
              </w:rPr>
            </w:pPr>
          </w:p>
        </w:tc>
        <w:tc>
          <w:tcPr>
            <w:tcW w:w="2720" w:type="dxa"/>
            <w:vAlign w:val="bottom"/>
            <w:gridSpan w:val="2"/>
            <w:vMerge w:val="restart"/>
          </w:tcPr>
          <w:p>
            <w:pPr>
              <w:ind w:left="440"/>
              <w:spacing w:after="0"/>
              <w:rPr>
                <w:sz w:val="20"/>
                <w:szCs w:val="20"/>
                <w:color w:val="auto"/>
              </w:rPr>
            </w:pPr>
            <w:r>
              <w:rPr>
                <w:rFonts w:ascii="Arial" w:cs="Arial" w:eastAsia="Arial" w:hAnsi="Arial"/>
                <w:sz w:val="12"/>
                <w:szCs w:val="12"/>
                <w:color w:val="auto"/>
              </w:rPr>
              <w:t>EBITDA Multiple</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5.5x</w:t>
            </w:r>
          </w:p>
        </w:tc>
        <w:tc>
          <w:tcPr>
            <w:tcW w:w="600" w:type="dxa"/>
            <w:vAlign w:val="bottom"/>
            <w:gridSpan w:val="2"/>
            <w:vMerge w:val="restart"/>
          </w:tcPr>
          <w:p>
            <w:pPr>
              <w:spacing w:after="0"/>
              <w:rPr>
                <w:sz w:val="20"/>
                <w:szCs w:val="20"/>
                <w:color w:val="auto"/>
              </w:rPr>
            </w:pPr>
            <w:r>
              <w:rPr>
                <w:rFonts w:ascii="Arial" w:cs="Arial" w:eastAsia="Arial" w:hAnsi="Arial"/>
                <w:sz w:val="12"/>
                <w:szCs w:val="12"/>
                <w:color w:val="auto"/>
              </w:rPr>
              <w:t>- 13.2x</w:t>
            </w:r>
          </w:p>
        </w:tc>
        <w:tc>
          <w:tcPr>
            <w:tcW w:w="1120" w:type="dxa"/>
            <w:vAlign w:val="bottom"/>
            <w:vMerge w:val="restart"/>
          </w:tcPr>
          <w:p>
            <w:pPr>
              <w:jc w:val="center"/>
              <w:ind w:left="361"/>
              <w:spacing w:after="0"/>
              <w:rPr>
                <w:sz w:val="20"/>
                <w:szCs w:val="20"/>
                <w:color w:val="auto"/>
              </w:rPr>
            </w:pPr>
            <w:r>
              <w:rPr>
                <w:rFonts w:ascii="Arial" w:cs="Arial" w:eastAsia="Arial" w:hAnsi="Arial"/>
                <w:sz w:val="12"/>
                <w:szCs w:val="12"/>
                <w:color w:val="auto"/>
                <w:w w:val="96"/>
              </w:rPr>
              <w:t>8.5x</w:t>
            </w:r>
          </w:p>
        </w:tc>
        <w:tc>
          <w:tcPr>
            <w:tcW w:w="0" w:type="dxa"/>
            <w:vAlign w:val="bottom"/>
          </w:tcPr>
          <w:p>
            <w:pPr>
              <w:spacing w:after="0"/>
              <w:rPr>
                <w:sz w:val="1"/>
                <w:szCs w:val="1"/>
                <w:color w:val="auto"/>
              </w:rPr>
            </w:pPr>
          </w:p>
        </w:tc>
      </w:tr>
      <w:tr>
        <w:trPr>
          <w:trHeight w:val="153"/>
        </w:trPr>
        <w:tc>
          <w:tcPr>
            <w:tcW w:w="1520" w:type="dxa"/>
            <w:vAlign w:val="bottom"/>
          </w:tcPr>
          <w:p>
            <w:pPr>
              <w:ind w:left="20"/>
              <w:spacing w:after="0"/>
              <w:rPr>
                <w:sz w:val="20"/>
                <w:szCs w:val="20"/>
                <w:color w:val="auto"/>
              </w:rPr>
            </w:pPr>
            <w:r>
              <w:rPr>
                <w:rFonts w:ascii="Arial" w:cs="Arial" w:eastAsia="Arial" w:hAnsi="Arial"/>
                <w:sz w:val="12"/>
                <w:szCs w:val="12"/>
                <w:color w:val="auto"/>
              </w:rPr>
              <w:t>warrants</w:t>
            </w:r>
          </w:p>
        </w:tc>
        <w:tc>
          <w:tcPr>
            <w:tcW w:w="1540" w:type="dxa"/>
            <w:vAlign w:val="bottom"/>
            <w:gridSpan w:val="2"/>
          </w:tcPr>
          <w:p>
            <w:pPr>
              <w:ind w:left="200"/>
              <w:spacing w:after="0"/>
              <w:rPr>
                <w:sz w:val="20"/>
                <w:szCs w:val="20"/>
                <w:color w:val="auto"/>
              </w:rPr>
            </w:pPr>
            <w:r>
              <w:rPr>
                <w:rFonts w:ascii="Arial" w:cs="Arial" w:eastAsia="Arial" w:hAnsi="Arial"/>
                <w:sz w:val="12"/>
                <w:szCs w:val="12"/>
                <w:color w:val="auto"/>
              </w:rPr>
              <w:t>Waterfall Approach</w:t>
            </w:r>
          </w:p>
        </w:tc>
        <w:tc>
          <w:tcPr>
            <w:tcW w:w="6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Discount Rate</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- 29.2%</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361"/>
              <w:spacing w:after="0"/>
              <w:rPr>
                <w:sz w:val="20"/>
                <w:szCs w:val="20"/>
                <w:color w:val="auto"/>
              </w:rPr>
            </w:pPr>
            <w:r>
              <w:rPr>
                <w:rFonts w:ascii="Arial" w:cs="Arial" w:eastAsia="Arial" w:hAnsi="Arial"/>
                <w:sz w:val="12"/>
                <w:szCs w:val="12"/>
                <w:color w:val="auto"/>
                <w:w w:val="88"/>
              </w:rPr>
              <w:t>19.2%</w:t>
            </w: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540" w:type="dxa"/>
            <w:vAlign w:val="bottom"/>
            <w:gridSpan w:val="2"/>
          </w:tcPr>
          <w:p>
            <w:pPr>
              <w:jc w:val="center"/>
              <w:ind w:left="162"/>
              <w:spacing w:after="0"/>
              <w:rPr>
                <w:sz w:val="20"/>
                <w:szCs w:val="20"/>
                <w:color w:val="auto"/>
              </w:rPr>
            </w:pPr>
            <w:r>
              <w:rPr>
                <w:rFonts w:ascii="Arial" w:cs="Arial" w:eastAsia="Arial" w:hAnsi="Arial"/>
                <w:sz w:val="12"/>
                <w:szCs w:val="12"/>
                <w:color w:val="auto"/>
                <w:w w:val="91"/>
              </w:rPr>
              <w:t>Market Approach</w:t>
            </w:r>
          </w:p>
        </w:tc>
        <w:tc>
          <w:tcPr>
            <w:tcW w:w="6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2,243</w:t>
            </w:r>
          </w:p>
        </w:tc>
        <w:tc>
          <w:tcPr>
            <w:tcW w:w="460" w:type="dxa"/>
            <w:vAlign w:val="bottom"/>
          </w:tcPr>
          <w:p>
            <w:pPr>
              <w:spacing w:after="0"/>
              <w:rPr>
                <w:sz w:val="13"/>
                <w:szCs w:val="13"/>
                <w:color w:val="auto"/>
              </w:rPr>
            </w:pPr>
          </w:p>
        </w:tc>
        <w:tc>
          <w:tcPr>
            <w:tcW w:w="2720" w:type="dxa"/>
            <w:vAlign w:val="bottom"/>
            <w:gridSpan w:val="2"/>
          </w:tcPr>
          <w:p>
            <w:pPr>
              <w:ind w:left="440"/>
              <w:spacing w:after="0"/>
              <w:rPr>
                <w:sz w:val="20"/>
                <w:szCs w:val="20"/>
                <w:color w:val="auto"/>
              </w:rPr>
            </w:pPr>
            <w:r>
              <w:rPr>
                <w:rFonts w:ascii="Arial" w:cs="Arial" w:eastAsia="Arial" w:hAnsi="Arial"/>
                <w:sz w:val="12"/>
                <w:szCs w:val="12"/>
                <w:color w:val="auto"/>
              </w:rPr>
              <w:t>Cost</w:t>
            </w:r>
          </w:p>
        </w:tc>
        <w:tc>
          <w:tcPr>
            <w:tcW w:w="1340" w:type="dxa"/>
            <w:vAlign w:val="bottom"/>
            <w:gridSpan w:val="2"/>
          </w:tcPr>
          <w:p>
            <w:pPr>
              <w:jc w:val="center"/>
              <w:ind w:left="361"/>
              <w:spacing w:after="0"/>
              <w:rPr>
                <w:sz w:val="20"/>
                <w:szCs w:val="20"/>
                <w:color w:val="auto"/>
              </w:rPr>
            </w:pPr>
            <w:r>
              <w:rPr>
                <w:rFonts w:ascii="Arial" w:cs="Arial" w:eastAsia="Arial" w:hAnsi="Arial"/>
                <w:sz w:val="12"/>
                <w:szCs w:val="12"/>
                <w:color w:val="auto"/>
                <w:w w:val="93"/>
              </w:rPr>
              <w:t>100.0</w:t>
            </w:r>
          </w:p>
        </w:tc>
        <w:tc>
          <w:tcPr>
            <w:tcW w:w="100" w:type="dxa"/>
            <w:vAlign w:val="bottom"/>
          </w:tcPr>
          <w:p>
            <w:pPr>
              <w:spacing w:after="0"/>
              <w:rPr>
                <w:sz w:val="13"/>
                <w:szCs w:val="13"/>
                <w:color w:val="auto"/>
              </w:rPr>
            </w:pPr>
          </w:p>
        </w:tc>
        <w:tc>
          <w:tcPr>
            <w:tcW w:w="1120" w:type="dxa"/>
            <w:vAlign w:val="bottom"/>
          </w:tcPr>
          <w:p>
            <w:pPr>
              <w:jc w:val="center"/>
              <w:ind w:left="361"/>
              <w:spacing w:after="0"/>
              <w:rPr>
                <w:sz w:val="20"/>
                <w:szCs w:val="20"/>
                <w:color w:val="auto"/>
              </w:rPr>
            </w:pPr>
            <w:r>
              <w:rPr>
                <w:rFonts w:ascii="Arial" w:cs="Arial" w:eastAsia="Arial" w:hAnsi="Arial"/>
                <w:sz w:val="12"/>
                <w:szCs w:val="12"/>
                <w:color w:val="auto"/>
                <w:w w:val="86"/>
              </w:rPr>
              <w:t>100.0</w:t>
            </w: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Exit Value</w:t>
            </w:r>
          </w:p>
        </w:tc>
        <w:tc>
          <w:tcPr>
            <w:tcW w:w="1340" w:type="dxa"/>
            <w:vAlign w:val="bottom"/>
            <w:gridSpan w:val="2"/>
            <w:shd w:val="clear" w:color="auto" w:fill="CCEEFF"/>
          </w:tcPr>
          <w:p>
            <w:pPr>
              <w:jc w:val="center"/>
              <w:ind w:left="361"/>
              <w:spacing w:after="0"/>
              <w:rPr>
                <w:sz w:val="20"/>
                <w:szCs w:val="20"/>
                <w:color w:val="auto"/>
              </w:rPr>
            </w:pPr>
            <w:r>
              <w:rPr>
                <w:rFonts w:ascii="Arial" w:cs="Arial" w:eastAsia="Arial" w:hAnsi="Arial"/>
                <w:sz w:val="12"/>
                <w:szCs w:val="12"/>
                <w:color w:val="auto"/>
                <w:w w:val="93"/>
              </w:rPr>
              <w:t>235.6</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361"/>
              <w:spacing w:after="0"/>
              <w:rPr>
                <w:sz w:val="20"/>
                <w:szCs w:val="20"/>
                <w:color w:val="auto"/>
              </w:rPr>
            </w:pPr>
            <w:r>
              <w:rPr>
                <w:rFonts w:ascii="Arial" w:cs="Arial" w:eastAsia="Arial" w:hAnsi="Arial"/>
                <w:sz w:val="12"/>
                <w:szCs w:val="12"/>
                <w:color w:val="auto"/>
                <w:w w:val="86"/>
              </w:rPr>
              <w:t>235.6</w:t>
            </w:r>
          </w:p>
        </w:tc>
        <w:tc>
          <w:tcPr>
            <w:tcW w:w="0" w:type="dxa"/>
            <w:vAlign w:val="bottom"/>
          </w:tcPr>
          <w:p>
            <w:pPr>
              <w:spacing w:after="0"/>
              <w:rPr>
                <w:sz w:val="1"/>
                <w:szCs w:val="1"/>
                <w:color w:val="auto"/>
              </w:rPr>
            </w:pPr>
          </w:p>
        </w:tc>
      </w:tr>
      <w:tr>
        <w:trPr>
          <w:trHeight w:val="97"/>
        </w:trPr>
        <w:tc>
          <w:tcPr>
            <w:tcW w:w="1520" w:type="dxa"/>
            <w:vAlign w:val="bottom"/>
          </w:tcPr>
          <w:p>
            <w:pPr>
              <w:ind w:left="440"/>
              <w:spacing w:after="0" w:line="97" w:lineRule="exact"/>
              <w:rPr>
                <w:sz w:val="20"/>
                <w:szCs w:val="20"/>
                <w:color w:val="auto"/>
              </w:rPr>
            </w:pPr>
            <w:r>
              <w:rPr>
                <w:rFonts w:ascii="Arial" w:cs="Arial" w:eastAsia="Arial" w:hAnsi="Arial"/>
                <w:sz w:val="11"/>
                <w:szCs w:val="11"/>
                <w:color w:val="auto"/>
              </w:rPr>
              <w:t>Total Level 3</w:t>
            </w: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vMerge w:val="restart"/>
          </w:tcPr>
          <w:p>
            <w:pPr>
              <w:jc w:val="right"/>
              <w:ind w:right="3"/>
              <w:spacing w:after="0"/>
              <w:rPr>
                <w:sz w:val="20"/>
                <w:szCs w:val="20"/>
                <w:color w:val="auto"/>
              </w:rPr>
            </w:pPr>
            <w:r>
              <w:rPr>
                <w:rFonts w:ascii="Arial" w:cs="Arial" w:eastAsia="Arial" w:hAnsi="Arial"/>
                <w:sz w:val="12"/>
                <w:szCs w:val="12"/>
                <w:color w:val="auto"/>
              </w:rPr>
              <w:t>737,375</w:t>
            </w: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520" w:type="dxa"/>
            <w:vAlign w:val="bottom"/>
          </w:tcPr>
          <w:p>
            <w:pPr>
              <w:ind w:left="20"/>
              <w:spacing w:after="0" w:line="135" w:lineRule="exact"/>
              <w:rPr>
                <w:sz w:val="20"/>
                <w:szCs w:val="20"/>
                <w:color w:val="auto"/>
              </w:rPr>
            </w:pPr>
            <w:r>
              <w:rPr>
                <w:rFonts w:ascii="Arial" w:cs="Arial" w:eastAsia="Arial" w:hAnsi="Arial"/>
                <w:sz w:val="12"/>
                <w:szCs w:val="12"/>
                <w:color w:val="auto"/>
              </w:rPr>
              <w:t>Investments</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280"/>
          </w:cols>
          <w:pgMar w:left="300" w:top="140" w:right="319" w:bottom="1440" w:gutter="0" w:footer="0" w:header="0"/>
        </w:sectPr>
      </w:pPr>
    </w:p>
    <w:bookmarkStart w:id="44" w:name="page45"/>
    <w:bookmarkEnd w:id="44"/>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300" w:type="dxa"/>
        <w:tblCellMar>
          <w:top w:w="0" w:type="dxa"/>
          <w:left w:w="0" w:type="dxa"/>
          <w:bottom w:w="0" w:type="dxa"/>
          <w:right w:w="0" w:type="dxa"/>
        </w:tblCellMar>
      </w:tblPr>
      <w:tr>
        <w:trPr>
          <w:trHeight w:val="123"/>
        </w:trPr>
        <w:tc>
          <w:tcPr>
            <w:tcW w:w="15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left="412"/>
              <w:spacing w:after="0"/>
              <w:rPr>
                <w:sz w:val="20"/>
                <w:szCs w:val="20"/>
                <w:color w:val="auto"/>
              </w:rPr>
            </w:pPr>
            <w:r>
              <w:rPr>
                <w:rFonts w:ascii="Arial" w:cs="Arial" w:eastAsia="Arial" w:hAnsi="Arial"/>
                <w:sz w:val="10"/>
                <w:szCs w:val="10"/>
                <w:b w:val="1"/>
                <w:bCs w:val="1"/>
                <w:color w:val="auto"/>
                <w:w w:val="90"/>
              </w:rPr>
              <w:t>Fair Value at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5"/>
              </w:rPr>
              <w:t>Significant</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4"/>
              </w:rPr>
              <w:t>Valuation</w:t>
            </w:r>
          </w:p>
        </w:tc>
        <w:tc>
          <w:tcPr>
            <w:tcW w:w="1160" w:type="dxa"/>
            <w:vAlign w:val="bottom"/>
          </w:tcPr>
          <w:p>
            <w:pPr>
              <w:jc w:val="center"/>
              <w:ind w:left="432"/>
              <w:spacing w:after="0"/>
              <w:rPr>
                <w:sz w:val="20"/>
                <w:szCs w:val="20"/>
                <w:color w:val="auto"/>
              </w:rPr>
            </w:pPr>
            <w:r>
              <w:rPr>
                <w:rFonts w:ascii="Arial" w:cs="Arial" w:eastAsia="Arial" w:hAnsi="Arial"/>
                <w:sz w:val="10"/>
                <w:szCs w:val="10"/>
                <w:b w:val="1"/>
                <w:bCs w:val="1"/>
                <w:color w:val="auto"/>
                <w:w w:val="89"/>
              </w:rPr>
              <w:t>March 31, 2021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Unobservable</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88"/>
              </w:rPr>
              <w:t>Weighted</w:t>
            </w:r>
          </w:p>
        </w:tc>
        <w:tc>
          <w:tcPr>
            <w:tcW w:w="0" w:type="dxa"/>
            <w:vAlign w:val="bottom"/>
          </w:tcPr>
          <w:p>
            <w:pPr>
              <w:spacing w:after="0"/>
              <w:rPr>
                <w:sz w:val="1"/>
                <w:szCs w:val="1"/>
                <w:color w:val="auto"/>
              </w:rPr>
            </w:pPr>
          </w:p>
        </w:tc>
      </w:tr>
      <w:tr>
        <w:trPr>
          <w:trHeight w:val="130"/>
        </w:trPr>
        <w:tc>
          <w:tcPr>
            <w:tcW w:w="1560" w:type="dxa"/>
            <w:vAlign w:val="bottom"/>
          </w:tcPr>
          <w:p>
            <w:pPr>
              <w:ind w:left="20"/>
              <w:spacing w:after="0"/>
              <w:rPr>
                <w:sz w:val="20"/>
                <w:szCs w:val="20"/>
                <w:color w:val="auto"/>
              </w:rPr>
            </w:pPr>
            <w:r>
              <w:rPr>
                <w:rFonts w:ascii="Arial" w:cs="Arial" w:eastAsia="Arial" w:hAnsi="Arial"/>
                <w:sz w:val="10"/>
                <w:szCs w:val="10"/>
                <w:b w:val="1"/>
                <w:bCs w:val="1"/>
                <w:color w:val="auto"/>
              </w:rPr>
              <w:t>Type</w:t>
            </w:r>
          </w:p>
        </w:tc>
        <w:tc>
          <w:tcPr>
            <w:tcW w:w="1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3"/>
              </w:rPr>
              <w:t>Technique</w:t>
            </w:r>
          </w:p>
        </w:tc>
        <w:tc>
          <w:tcPr>
            <w:tcW w:w="1160" w:type="dxa"/>
            <w:vAlign w:val="bottom"/>
          </w:tcPr>
          <w:p>
            <w:pPr>
              <w:jc w:val="center"/>
              <w:ind w:left="412"/>
              <w:spacing w:after="0"/>
              <w:rPr>
                <w:sz w:val="20"/>
                <w:szCs w:val="20"/>
                <w:color w:val="auto"/>
              </w:rPr>
            </w:pPr>
            <w:r>
              <w:rPr>
                <w:rFonts w:ascii="Arial" w:cs="Arial" w:eastAsia="Arial" w:hAnsi="Arial"/>
                <w:sz w:val="10"/>
                <w:szCs w:val="10"/>
                <w:b w:val="1"/>
                <w:bCs w:val="1"/>
                <w:color w:val="auto"/>
                <w:w w:val="84"/>
              </w:rPr>
              <w:t>(in thousands)</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Inputs</w:t>
            </w:r>
          </w:p>
        </w:tc>
        <w:tc>
          <w:tcPr>
            <w:tcW w:w="1620" w:type="dxa"/>
            <w:vAlign w:val="bottom"/>
            <w:gridSpan w:val="4"/>
          </w:tcPr>
          <w:p>
            <w:pPr>
              <w:ind w:left="620"/>
              <w:spacing w:after="0"/>
              <w:rPr>
                <w:sz w:val="20"/>
                <w:szCs w:val="20"/>
                <w:color w:val="auto"/>
              </w:rPr>
            </w:pPr>
            <w:r>
              <w:rPr>
                <w:rFonts w:ascii="Arial" w:cs="Arial" w:eastAsia="Arial" w:hAnsi="Arial"/>
                <w:sz w:val="10"/>
                <w:szCs w:val="10"/>
                <w:b w:val="1"/>
                <w:bCs w:val="1"/>
                <w:color w:val="auto"/>
              </w:rPr>
              <w:t>Range</w:t>
            </w: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80"/>
              </w:rPr>
              <w:t>Average</w:t>
            </w:r>
          </w:p>
        </w:tc>
        <w:tc>
          <w:tcPr>
            <w:tcW w:w="0" w:type="dxa"/>
            <w:vAlign w:val="bottom"/>
          </w:tcPr>
          <w:p>
            <w:pPr>
              <w:spacing w:after="0"/>
              <w:rPr>
                <w:sz w:val="1"/>
                <w:szCs w:val="1"/>
                <w:color w:val="auto"/>
              </w:rPr>
            </w:pPr>
          </w:p>
        </w:tc>
      </w:tr>
      <w:tr>
        <w:trPr>
          <w:trHeight w:val="155"/>
        </w:trPr>
        <w:tc>
          <w:tcPr>
            <w:tcW w:w="15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First lien loans</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1"/>
              </w:rPr>
              <w:t>Income Approach</w:t>
            </w:r>
          </w:p>
        </w:tc>
        <w:tc>
          <w:tcPr>
            <w:tcW w:w="1160" w:type="dxa"/>
            <w:vAlign w:val="bottom"/>
            <w:shd w:val="clear" w:color="auto" w:fill="CCEEFF"/>
          </w:tcPr>
          <w:p>
            <w:pPr>
              <w:jc w:val="right"/>
              <w:ind w:right="105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465,712</w:t>
            </w:r>
          </w:p>
        </w:tc>
        <w:tc>
          <w:tcPr>
            <w:tcW w:w="80" w:type="dxa"/>
            <w:vAlign w:val="bottom"/>
            <w:shd w:val="clear" w:color="auto" w:fill="CCEEFF"/>
          </w:tcPr>
          <w:p>
            <w:pPr>
              <w:spacing w:after="0"/>
              <w:rPr>
                <w:sz w:val="13"/>
                <w:szCs w:val="13"/>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Discount Rate</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- 28.8%</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10.9%</w:t>
            </w: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gridSpan w:val="2"/>
          </w:tcPr>
          <w:p>
            <w:pPr>
              <w:ind w:left="20"/>
              <w:spacing w:after="0"/>
              <w:rPr>
                <w:sz w:val="20"/>
                <w:szCs w:val="20"/>
                <w:color w:val="auto"/>
              </w:rPr>
            </w:pPr>
            <w:r>
              <w:rPr>
                <w:rFonts w:ascii="Arial" w:cs="Arial" w:eastAsia="Arial" w:hAnsi="Arial"/>
                <w:sz w:val="12"/>
                <w:szCs w:val="12"/>
                <w:color w:val="auto"/>
              </w:rPr>
              <w:t>Third Party Broker Quote</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53.1</w:t>
            </w:r>
          </w:p>
        </w:tc>
        <w:tc>
          <w:tcPr>
            <w:tcW w:w="800" w:type="dxa"/>
            <w:vAlign w:val="bottom"/>
          </w:tcPr>
          <w:p>
            <w:pPr>
              <w:ind w:left="20"/>
              <w:spacing w:after="0"/>
              <w:rPr>
                <w:sz w:val="20"/>
                <w:szCs w:val="20"/>
                <w:color w:val="auto"/>
              </w:rPr>
            </w:pPr>
            <w:r>
              <w:rPr>
                <w:rFonts w:ascii="Arial" w:cs="Arial" w:eastAsia="Arial" w:hAnsi="Arial"/>
                <w:sz w:val="12"/>
                <w:szCs w:val="12"/>
                <w:color w:val="auto"/>
              </w:rPr>
              <w:t>- 99.9</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87.9</w:t>
            </w: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Market Approach</w:t>
            </w: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58,449</w:t>
            </w:r>
          </w:p>
        </w:tc>
        <w:tc>
          <w:tcPr>
            <w:tcW w:w="80" w:type="dxa"/>
            <w:vAlign w:val="bottom"/>
            <w:shd w:val="clear" w:color="auto" w:fill="CCEEFF"/>
          </w:tcPr>
          <w:p>
            <w:pPr>
              <w:spacing w:after="0"/>
              <w:rPr>
                <w:sz w:val="13"/>
                <w:szCs w:val="13"/>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Cost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93.9</w:t>
            </w:r>
          </w:p>
        </w:tc>
        <w:tc>
          <w:tcPr>
            <w:tcW w:w="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- 98.0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97.6</w:t>
            </w: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gridSpan w:val="2"/>
          </w:tcPr>
          <w:p>
            <w:pPr>
              <w:ind w:left="20"/>
              <w:spacing w:after="0"/>
              <w:rPr>
                <w:sz w:val="20"/>
                <w:szCs w:val="20"/>
                <w:color w:val="auto"/>
              </w:rPr>
            </w:pPr>
            <w:r>
              <w:rPr>
                <w:rFonts w:ascii="Arial" w:cs="Arial" w:eastAsia="Arial" w:hAnsi="Arial"/>
                <w:sz w:val="12"/>
                <w:szCs w:val="12"/>
                <w:color w:val="auto"/>
              </w:rPr>
              <w:t>Exit Value</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800" w:type="dxa"/>
            <w:vAlign w:val="bottom"/>
          </w:tcPr>
          <w:p>
            <w:pPr>
              <w:ind w:left="20"/>
              <w:spacing w:after="0"/>
              <w:rPr>
                <w:sz w:val="20"/>
                <w:szCs w:val="20"/>
                <w:color w:val="auto"/>
              </w:rPr>
            </w:pPr>
            <w:r>
              <w:rPr>
                <w:rFonts w:ascii="Arial" w:cs="Arial" w:eastAsia="Arial" w:hAnsi="Arial"/>
                <w:sz w:val="12"/>
                <w:szCs w:val="12"/>
                <w:color w:val="auto"/>
              </w:rPr>
              <w:t>- 101.0</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93"/>
              </w:rPr>
              <w:t>100.2</w:t>
            </w: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Second lien loans</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1"/>
              </w:rPr>
              <w:t>Income Approach</w:t>
            </w: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36,864</w:t>
            </w:r>
          </w:p>
        </w:tc>
        <w:tc>
          <w:tcPr>
            <w:tcW w:w="80" w:type="dxa"/>
            <w:vAlign w:val="bottom"/>
            <w:shd w:val="clear" w:color="auto" w:fill="CCEEFF"/>
          </w:tcPr>
          <w:p>
            <w:pPr>
              <w:spacing w:after="0"/>
              <w:rPr>
                <w:sz w:val="13"/>
                <w:szCs w:val="13"/>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Discount Rate</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- 17.6%</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14.4%</w:t>
            </w: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gridSpan w:val="2"/>
          </w:tcPr>
          <w:p>
            <w:pPr>
              <w:ind w:left="20"/>
              <w:spacing w:after="0"/>
              <w:rPr>
                <w:sz w:val="20"/>
                <w:szCs w:val="20"/>
                <w:color w:val="auto"/>
              </w:rPr>
            </w:pPr>
            <w:r>
              <w:rPr>
                <w:rFonts w:ascii="Arial" w:cs="Arial" w:eastAsia="Arial" w:hAnsi="Arial"/>
                <w:sz w:val="12"/>
                <w:szCs w:val="12"/>
                <w:color w:val="auto"/>
              </w:rPr>
              <w:t>Third Party Broker Quote</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96.5</w:t>
            </w:r>
          </w:p>
        </w:tc>
        <w:tc>
          <w:tcPr>
            <w:tcW w:w="800" w:type="dxa"/>
            <w:vAlign w:val="bottom"/>
          </w:tcPr>
          <w:p>
            <w:pPr>
              <w:ind w:left="20"/>
              <w:spacing w:after="0"/>
              <w:rPr>
                <w:sz w:val="20"/>
                <w:szCs w:val="20"/>
                <w:color w:val="auto"/>
              </w:rPr>
            </w:pPr>
            <w:r>
              <w:rPr>
                <w:rFonts w:ascii="Arial" w:cs="Arial" w:eastAsia="Arial" w:hAnsi="Arial"/>
                <w:sz w:val="12"/>
                <w:szCs w:val="12"/>
                <w:color w:val="auto"/>
              </w:rPr>
              <w:t>- 97.8</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96.6</w:t>
            </w: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Market Approach</w:t>
            </w: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80" w:type="dxa"/>
            <w:vAlign w:val="bottom"/>
            <w:shd w:val="clear" w:color="auto" w:fill="CCEEFF"/>
          </w:tcPr>
          <w:p>
            <w:pPr>
              <w:spacing w:after="0"/>
              <w:rPr>
                <w:sz w:val="13"/>
                <w:szCs w:val="13"/>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Exit Value</w:t>
            </w:r>
          </w:p>
        </w:tc>
        <w:tc>
          <w:tcPr>
            <w:tcW w:w="6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620"/>
              <w:spacing w:after="0"/>
              <w:rPr>
                <w:sz w:val="20"/>
                <w:szCs w:val="20"/>
                <w:color w:val="auto"/>
              </w:rPr>
            </w:pPr>
            <w:r>
              <w:rPr>
                <w:rFonts w:ascii="Arial" w:cs="Arial" w:eastAsia="Arial" w:hAnsi="Arial"/>
                <w:sz w:val="12"/>
                <w:szCs w:val="12"/>
                <w:color w:val="auto"/>
                <w:w w:val="95"/>
              </w:rPr>
              <w:t>2.4</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2.4</w:t>
            </w:r>
          </w:p>
        </w:tc>
        <w:tc>
          <w:tcPr>
            <w:tcW w:w="0" w:type="dxa"/>
            <w:vAlign w:val="bottom"/>
          </w:tcPr>
          <w:p>
            <w:pPr>
              <w:spacing w:after="0"/>
              <w:rPr>
                <w:sz w:val="1"/>
                <w:szCs w:val="1"/>
                <w:color w:val="auto"/>
              </w:rPr>
            </w:pPr>
          </w:p>
        </w:tc>
      </w:tr>
      <w:tr>
        <w:trPr>
          <w:trHeight w:val="153"/>
        </w:trPr>
        <w:tc>
          <w:tcPr>
            <w:tcW w:w="1560" w:type="dxa"/>
            <w:vAlign w:val="bottom"/>
          </w:tcPr>
          <w:p>
            <w:pPr>
              <w:ind w:left="20"/>
              <w:spacing w:after="0"/>
              <w:rPr>
                <w:sz w:val="20"/>
                <w:szCs w:val="20"/>
                <w:color w:val="auto"/>
              </w:rPr>
            </w:pPr>
            <w:r>
              <w:rPr>
                <w:rFonts w:ascii="Arial" w:cs="Arial" w:eastAsia="Arial" w:hAnsi="Arial"/>
                <w:sz w:val="12"/>
                <w:szCs w:val="12"/>
                <w:color w:val="auto"/>
              </w:rPr>
              <w:t>Subordinated debt</w:t>
            </w:r>
          </w:p>
        </w:tc>
        <w:tc>
          <w:tcPr>
            <w:tcW w:w="184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Income Approach</w:t>
            </w:r>
          </w:p>
        </w:tc>
        <w:tc>
          <w:tcPr>
            <w:tcW w:w="1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11,534</w:t>
            </w:r>
          </w:p>
        </w:tc>
        <w:tc>
          <w:tcPr>
            <w:tcW w:w="80" w:type="dxa"/>
            <w:vAlign w:val="bottom"/>
          </w:tcPr>
          <w:p>
            <w:pPr>
              <w:spacing w:after="0"/>
              <w:rPr>
                <w:sz w:val="13"/>
                <w:szCs w:val="13"/>
                <w:color w:val="auto"/>
              </w:rPr>
            </w:pPr>
          </w:p>
        </w:tc>
        <w:tc>
          <w:tcPr>
            <w:tcW w:w="27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680" w:type="dxa"/>
            <w:vAlign w:val="bottom"/>
          </w:tcPr>
          <w:p>
            <w:pPr>
              <w:jc w:val="right"/>
              <w:spacing w:after="0"/>
              <w:rPr>
                <w:sz w:val="20"/>
                <w:szCs w:val="20"/>
                <w:color w:val="auto"/>
              </w:rPr>
            </w:pPr>
            <w:r>
              <w:rPr>
                <w:rFonts w:ascii="Arial" w:cs="Arial" w:eastAsia="Arial" w:hAnsi="Arial"/>
                <w:sz w:val="12"/>
                <w:szCs w:val="12"/>
                <w:color w:val="auto"/>
              </w:rPr>
              <w:t>6.2%</w:t>
            </w:r>
          </w:p>
        </w:tc>
        <w:tc>
          <w:tcPr>
            <w:tcW w:w="840" w:type="dxa"/>
            <w:vAlign w:val="bottom"/>
            <w:gridSpan w:val="2"/>
          </w:tcPr>
          <w:p>
            <w:pPr>
              <w:ind w:left="40"/>
              <w:spacing w:after="0"/>
              <w:rPr>
                <w:sz w:val="20"/>
                <w:szCs w:val="20"/>
                <w:color w:val="auto"/>
              </w:rPr>
            </w:pPr>
            <w:r>
              <w:rPr>
                <w:rFonts w:ascii="Arial" w:cs="Arial" w:eastAsia="Arial" w:hAnsi="Arial"/>
                <w:sz w:val="12"/>
                <w:szCs w:val="12"/>
                <w:color w:val="auto"/>
              </w:rPr>
              <w:t>- 29.3%</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93"/>
              </w:rPr>
              <w:t>13.4%</w:t>
            </w:r>
          </w:p>
        </w:tc>
        <w:tc>
          <w:tcPr>
            <w:tcW w:w="0" w:type="dxa"/>
            <w:vAlign w:val="bottom"/>
          </w:tcPr>
          <w:p>
            <w:pPr>
              <w:spacing w:after="0"/>
              <w:rPr>
                <w:sz w:val="1"/>
                <w:szCs w:val="1"/>
                <w:color w:val="auto"/>
              </w:rPr>
            </w:pPr>
          </w:p>
        </w:tc>
      </w:tr>
      <w:tr>
        <w:trPr>
          <w:trHeight w:val="117"/>
        </w:trPr>
        <w:tc>
          <w:tcPr>
            <w:tcW w:w="15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Preferred equity</w:t>
            </w:r>
          </w:p>
        </w:tc>
        <w:tc>
          <w:tcPr>
            <w:tcW w:w="1840" w:type="dxa"/>
            <w:vAlign w:val="bottom"/>
            <w:gridSpan w:val="2"/>
            <w:shd w:val="clear" w:color="auto" w:fill="CCEEFF"/>
          </w:tcPr>
          <w:p>
            <w:pPr>
              <w:jc w:val="center"/>
              <w:ind w:right="140"/>
              <w:spacing w:after="0" w:line="117" w:lineRule="exact"/>
              <w:rPr>
                <w:sz w:val="20"/>
                <w:szCs w:val="20"/>
                <w:color w:val="auto"/>
              </w:rPr>
            </w:pPr>
            <w:r>
              <w:rPr>
                <w:rFonts w:ascii="Arial" w:cs="Arial" w:eastAsia="Arial" w:hAnsi="Arial"/>
                <w:sz w:val="12"/>
                <w:szCs w:val="12"/>
                <w:color w:val="auto"/>
                <w:w w:val="90"/>
              </w:rPr>
              <w:t>Enterprise Value Waterfall</w:t>
            </w:r>
          </w:p>
        </w:tc>
        <w:tc>
          <w:tcPr>
            <w:tcW w:w="11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22,608</w:t>
            </w:r>
          </w:p>
        </w:tc>
        <w:tc>
          <w:tcPr>
            <w:tcW w:w="80" w:type="dxa"/>
            <w:vAlign w:val="bottom"/>
            <w:shd w:val="clear" w:color="auto" w:fill="CCEEFF"/>
          </w:tcPr>
          <w:p>
            <w:pPr>
              <w:spacing w:after="0"/>
              <w:rPr>
                <w:sz w:val="10"/>
                <w:szCs w:val="10"/>
                <w:color w:val="auto"/>
              </w:rPr>
            </w:pPr>
          </w:p>
        </w:tc>
        <w:tc>
          <w:tcPr>
            <w:tcW w:w="27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EBITDA Multiple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6.9x</w:t>
            </w:r>
          </w:p>
        </w:tc>
        <w:tc>
          <w:tcPr>
            <w:tcW w:w="940" w:type="dxa"/>
            <w:vAlign w:val="bottom"/>
            <w:gridSpan w:val="3"/>
            <w:vMerge w:val="restart"/>
            <w:shd w:val="clear" w:color="auto" w:fill="CCEEFF"/>
          </w:tcPr>
          <w:p>
            <w:pPr>
              <w:ind w:left="40"/>
              <w:spacing w:after="0"/>
              <w:rPr>
                <w:sz w:val="20"/>
                <w:szCs w:val="20"/>
                <w:color w:val="auto"/>
              </w:rPr>
            </w:pPr>
            <w:r>
              <w:rPr>
                <w:rFonts w:ascii="Arial" w:cs="Arial" w:eastAsia="Arial" w:hAnsi="Arial"/>
                <w:sz w:val="12"/>
                <w:szCs w:val="12"/>
                <w:color w:val="auto"/>
              </w:rPr>
              <w:t>- 10.8x</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7"/>
              </w:rPr>
              <w:t>8.9x</w:t>
            </w:r>
          </w:p>
        </w:tc>
        <w:tc>
          <w:tcPr>
            <w:tcW w:w="0" w:type="dxa"/>
            <w:vAlign w:val="bottom"/>
          </w:tcPr>
          <w:p>
            <w:pPr>
              <w:spacing w:after="0"/>
              <w:rPr>
                <w:sz w:val="1"/>
                <w:szCs w:val="1"/>
                <w:color w:val="auto"/>
              </w:rPr>
            </w:pPr>
          </w:p>
        </w:tc>
      </w:tr>
      <w:tr>
        <w:trPr>
          <w:trHeight w:val="153"/>
        </w:trPr>
        <w:tc>
          <w:tcPr>
            <w:tcW w:w="1560" w:type="dxa"/>
            <w:vAlign w:val="bottom"/>
            <w:vMerge w:val="continue"/>
            <w:shd w:val="clear" w:color="auto" w:fill="CCEEFF"/>
          </w:tcPr>
          <w:p>
            <w:pPr>
              <w:spacing w:after="0"/>
              <w:rPr>
                <w:sz w:val="13"/>
                <w:szCs w:val="13"/>
                <w:color w:val="auto"/>
              </w:rPr>
            </w:pP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89"/>
              </w:rPr>
              <w:t>Approach</w:t>
            </w:r>
          </w:p>
        </w:tc>
        <w:tc>
          <w:tcPr>
            <w:tcW w:w="116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74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12.7%</w:t>
            </w:r>
          </w:p>
        </w:tc>
        <w:tc>
          <w:tcPr>
            <w:tcW w:w="800" w:type="dxa"/>
            <w:vAlign w:val="bottom"/>
          </w:tcPr>
          <w:p>
            <w:pPr>
              <w:ind w:left="20"/>
              <w:spacing w:after="0"/>
              <w:rPr>
                <w:sz w:val="20"/>
                <w:szCs w:val="20"/>
                <w:color w:val="auto"/>
              </w:rPr>
            </w:pPr>
            <w:r>
              <w:rPr>
                <w:rFonts w:ascii="Arial" w:cs="Arial" w:eastAsia="Arial" w:hAnsi="Arial"/>
                <w:sz w:val="12"/>
                <w:szCs w:val="12"/>
                <w:color w:val="auto"/>
              </w:rPr>
              <w:t>- 22.4%</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93"/>
              </w:rPr>
              <w:t>19.3%</w:t>
            </w:r>
          </w:p>
        </w:tc>
        <w:tc>
          <w:tcPr>
            <w:tcW w:w="0" w:type="dxa"/>
            <w:vAlign w:val="bottom"/>
          </w:tcPr>
          <w:p>
            <w:pPr>
              <w:spacing w:after="0"/>
              <w:rPr>
                <w:sz w:val="1"/>
                <w:szCs w:val="1"/>
                <w:color w:val="auto"/>
              </w:rPr>
            </w:pPr>
          </w:p>
        </w:tc>
      </w:tr>
      <w:tr>
        <w:trPr>
          <w:trHeight w:val="117"/>
        </w:trPr>
        <w:tc>
          <w:tcPr>
            <w:tcW w:w="15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Common equity &amp; warrants</w:t>
            </w:r>
          </w:p>
        </w:tc>
        <w:tc>
          <w:tcPr>
            <w:tcW w:w="1840" w:type="dxa"/>
            <w:vAlign w:val="bottom"/>
            <w:gridSpan w:val="2"/>
            <w:shd w:val="clear" w:color="auto" w:fill="CCEEFF"/>
          </w:tcPr>
          <w:p>
            <w:pPr>
              <w:jc w:val="center"/>
              <w:ind w:right="140"/>
              <w:spacing w:after="0" w:line="117" w:lineRule="exact"/>
              <w:rPr>
                <w:sz w:val="20"/>
                <w:szCs w:val="20"/>
                <w:color w:val="auto"/>
              </w:rPr>
            </w:pPr>
            <w:r>
              <w:rPr>
                <w:rFonts w:ascii="Arial" w:cs="Arial" w:eastAsia="Arial" w:hAnsi="Arial"/>
                <w:sz w:val="12"/>
                <w:szCs w:val="12"/>
                <w:color w:val="auto"/>
                <w:w w:val="90"/>
              </w:rPr>
              <w:t>Enterprise Value Waterfall</w:t>
            </w:r>
          </w:p>
        </w:tc>
        <w:tc>
          <w:tcPr>
            <w:tcW w:w="11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34,013</w:t>
            </w:r>
          </w:p>
        </w:tc>
        <w:tc>
          <w:tcPr>
            <w:tcW w:w="80" w:type="dxa"/>
            <w:vAlign w:val="bottom"/>
            <w:shd w:val="clear" w:color="auto" w:fill="CCEEFF"/>
          </w:tcPr>
          <w:p>
            <w:pPr>
              <w:spacing w:after="0"/>
              <w:rPr>
                <w:sz w:val="10"/>
                <w:szCs w:val="10"/>
                <w:color w:val="auto"/>
              </w:rPr>
            </w:pPr>
          </w:p>
        </w:tc>
        <w:tc>
          <w:tcPr>
            <w:tcW w:w="27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EBITDA Multiple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5.6x</w:t>
            </w:r>
          </w:p>
        </w:tc>
        <w:tc>
          <w:tcPr>
            <w:tcW w:w="940" w:type="dxa"/>
            <w:vAlign w:val="bottom"/>
            <w:gridSpan w:val="3"/>
            <w:vMerge w:val="restart"/>
            <w:shd w:val="clear" w:color="auto" w:fill="CCEEFF"/>
          </w:tcPr>
          <w:p>
            <w:pPr>
              <w:ind w:left="40"/>
              <w:spacing w:after="0"/>
              <w:rPr>
                <w:sz w:val="20"/>
                <w:szCs w:val="20"/>
                <w:color w:val="auto"/>
              </w:rPr>
            </w:pPr>
            <w:r>
              <w:rPr>
                <w:rFonts w:ascii="Arial" w:cs="Arial" w:eastAsia="Arial" w:hAnsi="Arial"/>
                <w:sz w:val="12"/>
                <w:szCs w:val="12"/>
                <w:color w:val="auto"/>
              </w:rPr>
              <w:t>- 11.5x</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7"/>
              </w:rPr>
              <w:t>8.1x</w:t>
            </w:r>
          </w:p>
        </w:tc>
        <w:tc>
          <w:tcPr>
            <w:tcW w:w="0" w:type="dxa"/>
            <w:vAlign w:val="bottom"/>
          </w:tcPr>
          <w:p>
            <w:pPr>
              <w:spacing w:after="0"/>
              <w:rPr>
                <w:sz w:val="1"/>
                <w:szCs w:val="1"/>
                <w:color w:val="auto"/>
              </w:rPr>
            </w:pPr>
          </w:p>
        </w:tc>
      </w:tr>
      <w:tr>
        <w:trPr>
          <w:trHeight w:val="153"/>
        </w:trPr>
        <w:tc>
          <w:tcPr>
            <w:tcW w:w="1560" w:type="dxa"/>
            <w:vAlign w:val="bottom"/>
            <w:vMerge w:val="continue"/>
            <w:shd w:val="clear" w:color="auto" w:fill="CCEEFF"/>
          </w:tcPr>
          <w:p>
            <w:pPr>
              <w:spacing w:after="0"/>
              <w:rPr>
                <w:sz w:val="13"/>
                <w:szCs w:val="13"/>
                <w:color w:val="auto"/>
              </w:rPr>
            </w:pP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89"/>
              </w:rPr>
              <w:t>Approach</w:t>
            </w:r>
          </w:p>
        </w:tc>
        <w:tc>
          <w:tcPr>
            <w:tcW w:w="116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74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12.9%</w:t>
            </w:r>
          </w:p>
        </w:tc>
        <w:tc>
          <w:tcPr>
            <w:tcW w:w="800" w:type="dxa"/>
            <w:vAlign w:val="bottom"/>
          </w:tcPr>
          <w:p>
            <w:pPr>
              <w:ind w:left="20"/>
              <w:spacing w:after="0"/>
              <w:rPr>
                <w:sz w:val="20"/>
                <w:szCs w:val="20"/>
                <w:color w:val="auto"/>
              </w:rPr>
            </w:pPr>
            <w:r>
              <w:rPr>
                <w:rFonts w:ascii="Arial" w:cs="Arial" w:eastAsia="Arial" w:hAnsi="Arial"/>
                <w:sz w:val="12"/>
                <w:szCs w:val="12"/>
                <w:color w:val="auto"/>
              </w:rPr>
              <w:t>- 29.8%</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91"/>
              </w:rPr>
              <w:t>20%</w:t>
            </w: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Market Approach</w:t>
            </w: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2,039</w:t>
            </w:r>
          </w:p>
        </w:tc>
        <w:tc>
          <w:tcPr>
            <w:tcW w:w="80" w:type="dxa"/>
            <w:vAlign w:val="bottom"/>
            <w:shd w:val="clear" w:color="auto" w:fill="CCEEFF"/>
          </w:tcPr>
          <w:p>
            <w:pPr>
              <w:spacing w:after="0"/>
              <w:rPr>
                <w:sz w:val="13"/>
                <w:szCs w:val="13"/>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Cost</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w w:val="93"/>
              </w:rPr>
              <w:t>100.0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100.0</w:t>
            </w:r>
          </w:p>
        </w:tc>
        <w:tc>
          <w:tcPr>
            <w:tcW w:w="0" w:type="dxa"/>
            <w:vAlign w:val="bottom"/>
          </w:tcPr>
          <w:p>
            <w:pPr>
              <w:spacing w:after="0"/>
              <w:rPr>
                <w:sz w:val="1"/>
                <w:szCs w:val="1"/>
                <w:color w:val="auto"/>
              </w:rPr>
            </w:pPr>
          </w:p>
        </w:tc>
      </w:tr>
      <w:tr>
        <w:trPr>
          <w:trHeight w:val="153"/>
        </w:trPr>
        <w:tc>
          <w:tcPr>
            <w:tcW w:w="156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Exit Value</w:t>
            </w:r>
          </w:p>
        </w:tc>
        <w:tc>
          <w:tcPr>
            <w:tcW w:w="1520" w:type="dxa"/>
            <w:vAlign w:val="bottom"/>
            <w:tcBorders>
              <w:bottom w:val="single" w:sz="8" w:color="CCEEFF"/>
            </w:tcBorders>
            <w:gridSpan w:val="3"/>
          </w:tcPr>
          <w:p>
            <w:pPr>
              <w:jc w:val="center"/>
              <w:spacing w:after="0"/>
              <w:rPr>
                <w:sz w:val="20"/>
                <w:szCs w:val="20"/>
                <w:color w:val="auto"/>
              </w:rPr>
            </w:pPr>
            <w:r>
              <w:rPr>
                <w:rFonts w:ascii="Arial" w:cs="Arial" w:eastAsia="Arial" w:hAnsi="Arial"/>
                <w:sz w:val="12"/>
                <w:szCs w:val="12"/>
                <w:color w:val="auto"/>
                <w:w w:val="93"/>
              </w:rPr>
              <w:t>284.4</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284.4</w:t>
            </w:r>
          </w:p>
        </w:tc>
        <w:tc>
          <w:tcPr>
            <w:tcW w:w="0" w:type="dxa"/>
            <w:vAlign w:val="bottom"/>
          </w:tcPr>
          <w:p>
            <w:pPr>
              <w:spacing w:after="0"/>
              <w:rPr>
                <w:sz w:val="1"/>
                <w:szCs w:val="1"/>
                <w:color w:val="auto"/>
              </w:rPr>
            </w:pPr>
          </w:p>
        </w:tc>
      </w:tr>
      <w:tr>
        <w:trPr>
          <w:trHeight w:val="158"/>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Level 3 Investments</w:t>
            </w:r>
          </w:p>
        </w:tc>
        <w:tc>
          <w:tcPr>
            <w:tcW w:w="1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05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631,274</w:t>
            </w:r>
          </w:p>
        </w:tc>
        <w:tc>
          <w:tcPr>
            <w:tcW w:w="8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Fair Value Levels</w:t>
      </w:r>
    </w:p>
    <w:p>
      <w:pPr>
        <w:spacing w:after="0" w:line="10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monitor the availability of observable market data to assess the appropriate classification of financial instruments within the fair value hierarchy. Changes in economic conditions or model based valuation techniques may require the transfer of financial instruments from one fair value level to another. During the three months ended June 30, 2021 and 2020, we had no transfers between levels.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300"/>
          </w:cols>
          <w:pgMar w:left="300" w:top="140" w:right="299" w:bottom="1440" w:gutter="0" w:footer="0" w:header="0"/>
        </w:sectPr>
      </w:pPr>
    </w:p>
    <w:bookmarkStart w:id="45" w:name="page46"/>
    <w:bookmarkEnd w:id="45"/>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tables provide a summary of changes in the fair value of investments measured using Level 3 inputs during the three months ended June 30, 2021 and 2020 (in thousands):</w:t>
      </w:r>
    </w:p>
    <w:p>
      <w:pPr>
        <w:spacing w:after="0" w:line="85" w:lineRule="exact"/>
        <w:rPr>
          <w:sz w:val="20"/>
          <w:szCs w:val="20"/>
          <w:color w:val="auto"/>
        </w:rPr>
      </w:pPr>
    </w:p>
    <w:tbl>
      <w:tblPr>
        <w:tblLayout w:type="fixed"/>
        <w:tblInd w:w="428" w:type="dxa"/>
        <w:tblCellMar>
          <w:top w:w="0" w:type="dxa"/>
          <w:left w:w="0" w:type="dxa"/>
          <w:bottom w:w="0" w:type="dxa"/>
          <w:right w:w="0" w:type="dxa"/>
        </w:tblCellMar>
      </w:tblPr>
      <w:tr>
        <w:trPr>
          <w:trHeight w:val="104"/>
        </w:trPr>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tcPr>
          <w:p>
            <w:pPr>
              <w:spacing w:after="0"/>
              <w:rPr>
                <w:sz w:val="20"/>
                <w:szCs w:val="20"/>
                <w:color w:val="auto"/>
              </w:rPr>
            </w:pPr>
            <w:r>
              <w:rPr>
                <w:rFonts w:ascii="Arial" w:cs="Arial" w:eastAsia="Arial" w:hAnsi="Arial"/>
                <w:sz w:val="8"/>
                <w:szCs w:val="8"/>
                <w:b w:val="1"/>
                <w:bCs w:val="1"/>
                <w:color w:val="auto"/>
              </w:rPr>
              <w:t>Fair Value March 31,</w:t>
            </w:r>
          </w:p>
        </w:tc>
        <w:tc>
          <w:tcPr>
            <w:tcW w:w="1320" w:type="dxa"/>
            <w:vAlign w:val="bottom"/>
            <w:gridSpan w:val="3"/>
          </w:tcPr>
          <w:p>
            <w:pPr>
              <w:ind w:left="460"/>
              <w:spacing w:after="0"/>
              <w:rPr>
                <w:sz w:val="20"/>
                <w:szCs w:val="20"/>
                <w:color w:val="auto"/>
              </w:rPr>
            </w:pPr>
            <w:r>
              <w:rPr>
                <w:rFonts w:ascii="Arial" w:cs="Arial" w:eastAsia="Arial" w:hAnsi="Arial"/>
                <w:sz w:val="8"/>
                <w:szCs w:val="8"/>
                <w:b w:val="1"/>
                <w:bCs w:val="1"/>
                <w:color w:val="auto"/>
              </w:rPr>
              <w:t>Realized &amp; Unrealized</w:t>
            </w:r>
          </w:p>
        </w:tc>
        <w:tc>
          <w:tcPr>
            <w:tcW w:w="580" w:type="dxa"/>
            <w:vAlign w:val="bottom"/>
          </w:tcPr>
          <w:p>
            <w:pPr>
              <w:spacing w:after="0"/>
              <w:rPr>
                <w:sz w:val="9"/>
                <w:szCs w:val="9"/>
                <w:color w:val="auto"/>
              </w:rPr>
            </w:pPr>
          </w:p>
        </w:tc>
        <w:tc>
          <w:tcPr>
            <w:tcW w:w="820" w:type="dxa"/>
            <w:vAlign w:val="bottom"/>
            <w:gridSpan w:val="2"/>
          </w:tcPr>
          <w:p>
            <w:pPr>
              <w:ind w:left="80"/>
              <w:spacing w:after="0"/>
              <w:rPr>
                <w:sz w:val="20"/>
                <w:szCs w:val="20"/>
                <w:color w:val="auto"/>
              </w:rPr>
            </w:pPr>
            <w:r>
              <w:rPr>
                <w:rFonts w:ascii="Arial" w:cs="Arial" w:eastAsia="Arial" w:hAnsi="Arial"/>
                <w:sz w:val="8"/>
                <w:szCs w:val="8"/>
                <w:b w:val="1"/>
                <w:bCs w:val="1"/>
                <w:color w:val="auto"/>
              </w:rPr>
              <w:t>Purchases of</w:t>
            </w: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PIK Interest</w:t>
            </w: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gridSpan w:val="2"/>
          </w:tcPr>
          <w:p>
            <w:pPr>
              <w:ind w:left="40"/>
              <w:spacing w:after="0"/>
              <w:rPr>
                <w:sz w:val="20"/>
                <w:szCs w:val="20"/>
                <w:color w:val="auto"/>
              </w:rPr>
            </w:pPr>
            <w:r>
              <w:rPr>
                <w:rFonts w:ascii="Arial" w:cs="Arial" w:eastAsia="Arial" w:hAnsi="Arial"/>
                <w:sz w:val="8"/>
                <w:szCs w:val="8"/>
                <w:b w:val="1"/>
                <w:bCs w:val="1"/>
                <w:color w:val="auto"/>
              </w:rPr>
              <w:t>Conversion/Reclassification of</w:t>
            </w:r>
          </w:p>
        </w:tc>
        <w:tc>
          <w:tcPr>
            <w:tcW w:w="0" w:type="dxa"/>
            <w:vAlign w:val="bottom"/>
          </w:tcPr>
          <w:p>
            <w:pPr>
              <w:spacing w:after="0"/>
              <w:rPr>
                <w:sz w:val="1"/>
                <w:szCs w:val="1"/>
                <w:color w:val="auto"/>
              </w:rPr>
            </w:pPr>
          </w:p>
        </w:tc>
      </w:tr>
      <w:tr>
        <w:trPr>
          <w:trHeight w:val="122"/>
        </w:trPr>
        <w:tc>
          <w:tcPr>
            <w:tcW w:w="10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49"/>
              <w:spacing w:after="0"/>
              <w:rPr>
                <w:sz w:val="20"/>
                <w:szCs w:val="20"/>
                <w:color w:val="auto"/>
              </w:rPr>
            </w:pPr>
            <w:r>
              <w:rPr>
                <w:rFonts w:ascii="Arial" w:cs="Arial" w:eastAsia="Arial" w:hAnsi="Arial"/>
                <w:sz w:val="8"/>
                <w:szCs w:val="8"/>
                <w:b w:val="1"/>
                <w:bCs w:val="1"/>
                <w:color w:val="auto"/>
              </w:rPr>
              <w:t>2021</w:t>
            </w:r>
          </w:p>
        </w:tc>
        <w:tc>
          <w:tcPr>
            <w:tcW w:w="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8"/>
                <w:szCs w:val="8"/>
                <w:b w:val="1"/>
                <w:bCs w:val="1"/>
                <w:color w:val="auto"/>
                <w:w w:val="90"/>
              </w:rPr>
              <w:t>Gains (Losses)</w:t>
            </w: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gridSpan w:val="2"/>
          </w:tcPr>
          <w:p>
            <w:pPr>
              <w:ind w:left="440"/>
              <w:spacing w:after="0"/>
              <w:rPr>
                <w:sz w:val="20"/>
                <w:szCs w:val="20"/>
                <w:color w:val="auto"/>
              </w:rPr>
            </w:pPr>
            <w:r>
              <w:rPr>
                <w:rFonts w:ascii="Arial" w:cs="Arial" w:eastAsia="Arial" w:hAnsi="Arial"/>
                <w:sz w:val="8"/>
                <w:szCs w:val="8"/>
                <w:b w:val="1"/>
                <w:bCs w:val="1"/>
                <w:color w:val="auto"/>
              </w:rPr>
              <w:t>Investments</w:t>
            </w:r>
            <w:r>
              <w:rPr>
                <w:rFonts w:ascii="Arial" w:cs="Arial" w:eastAsia="Arial" w:hAnsi="Arial"/>
                <w:sz w:val="10"/>
                <w:szCs w:val="10"/>
                <w:b w:val="1"/>
                <w:bCs w:val="1"/>
                <w:color w:val="auto"/>
                <w:vertAlign w:val="superscript"/>
              </w:rPr>
              <w:t>1</w:t>
            </w: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Repayments</w:t>
            </w:r>
          </w:p>
        </w:tc>
        <w:tc>
          <w:tcPr>
            <w:tcW w:w="6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8"/>
                <w:szCs w:val="8"/>
                <w:b w:val="1"/>
                <w:bCs w:val="1"/>
                <w:color w:val="auto"/>
              </w:rPr>
              <w:t>Capitalized</w:t>
            </w: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8"/>
                <w:szCs w:val="8"/>
                <w:b w:val="1"/>
                <w:bCs w:val="1"/>
                <w:color w:val="auto"/>
              </w:rPr>
              <w:t>Divestitures</w:t>
            </w: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709"/>
              <w:spacing w:after="0"/>
              <w:rPr>
                <w:sz w:val="20"/>
                <w:szCs w:val="20"/>
                <w:color w:val="auto"/>
              </w:rPr>
            </w:pPr>
            <w:r>
              <w:rPr>
                <w:rFonts w:ascii="Arial" w:cs="Arial" w:eastAsia="Arial" w:hAnsi="Arial"/>
                <w:sz w:val="8"/>
                <w:szCs w:val="8"/>
                <w:b w:val="1"/>
                <w:bCs w:val="1"/>
                <w:color w:val="auto"/>
              </w:rPr>
              <w:t>Security</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040" w:type="dxa"/>
            <w:vAlign w:val="bottom"/>
            <w:shd w:val="clear" w:color="auto" w:fill="CCEEFF"/>
          </w:tcPr>
          <w:p>
            <w:pPr>
              <w:ind w:left="440"/>
              <w:spacing w:after="0" w:line="92" w:lineRule="exact"/>
              <w:rPr>
                <w:sz w:val="20"/>
                <w:szCs w:val="20"/>
                <w:color w:val="auto"/>
              </w:rPr>
            </w:pPr>
            <w:r>
              <w:rPr>
                <w:rFonts w:ascii="Arial" w:cs="Arial" w:eastAsia="Arial" w:hAnsi="Arial"/>
                <w:sz w:val="10"/>
                <w:szCs w:val="10"/>
                <w:color w:val="auto"/>
              </w:rPr>
              <w:t>First lien</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1"/>
                <w:szCs w:val="11"/>
                <w:color w:val="auto"/>
              </w:rPr>
              <w:t>524,161</w:t>
            </w:r>
          </w:p>
        </w:tc>
        <w:tc>
          <w:tcPr>
            <w:tcW w:w="4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(396)</w:t>
            </w:r>
          </w:p>
        </w:tc>
        <w:tc>
          <w:tcPr>
            <w:tcW w:w="4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85,522</w:t>
            </w:r>
          </w:p>
        </w:tc>
        <w:tc>
          <w:tcPr>
            <w:tcW w:w="6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(4,045)</w:t>
            </w:r>
          </w:p>
        </w:tc>
        <w:tc>
          <w:tcPr>
            <w:tcW w:w="6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917</w:t>
            </w:r>
          </w:p>
        </w:tc>
        <w:tc>
          <w:tcPr>
            <w:tcW w:w="6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loans</w:t>
            </w:r>
          </w:p>
        </w:tc>
        <w:tc>
          <w:tcPr>
            <w:tcW w:w="5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40" w:type="dxa"/>
            <w:vAlign w:val="bottom"/>
          </w:tcPr>
          <w:p>
            <w:pPr>
              <w:ind w:left="440"/>
              <w:spacing w:after="0" w:line="112" w:lineRule="exact"/>
              <w:rPr>
                <w:sz w:val="20"/>
                <w:szCs w:val="20"/>
                <w:color w:val="auto"/>
              </w:rPr>
            </w:pPr>
            <w:r>
              <w:rPr>
                <w:rFonts w:ascii="Arial" w:cs="Arial" w:eastAsia="Arial" w:hAnsi="Arial"/>
                <w:sz w:val="11"/>
                <w:szCs w:val="11"/>
                <w:color w:val="auto"/>
              </w:rPr>
              <w:t>Second lien</w:t>
            </w:r>
          </w:p>
        </w:tc>
        <w:tc>
          <w:tcPr>
            <w:tcW w:w="500" w:type="dxa"/>
            <w:vAlign w:val="bottom"/>
          </w:tcPr>
          <w:p>
            <w:pPr>
              <w:spacing w:after="0"/>
              <w:rPr>
                <w:sz w:val="9"/>
                <w:szCs w:val="9"/>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1"/>
                <w:szCs w:val="11"/>
                <w:color w:val="auto"/>
              </w:rPr>
              <w:t>36,919</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vMerge w:val="restart"/>
          </w:tcPr>
          <w:p>
            <w:pPr>
              <w:jc w:val="right"/>
              <w:ind w:right="6"/>
              <w:spacing w:after="0"/>
              <w:rPr>
                <w:sz w:val="20"/>
                <w:szCs w:val="20"/>
                <w:color w:val="auto"/>
              </w:rPr>
            </w:pPr>
            <w:r>
              <w:rPr>
                <w:rFonts w:ascii="Arial" w:cs="Arial" w:eastAsia="Arial" w:hAnsi="Arial"/>
                <w:sz w:val="11"/>
                <w:szCs w:val="11"/>
                <w:color w:val="auto"/>
              </w:rPr>
              <w:t>291</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15,482</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(63)</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433</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(53)</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040" w:type="dxa"/>
            <w:vAlign w:val="bottom"/>
          </w:tcPr>
          <w:p>
            <w:pPr>
              <w:ind w:left="20"/>
              <w:spacing w:after="0"/>
              <w:rPr>
                <w:sz w:val="20"/>
                <w:szCs w:val="20"/>
                <w:color w:val="auto"/>
              </w:rPr>
            </w:pPr>
            <w:r>
              <w:rPr>
                <w:rFonts w:ascii="Arial" w:cs="Arial" w:eastAsia="Arial" w:hAnsi="Arial"/>
                <w:sz w:val="11"/>
                <w:szCs w:val="11"/>
                <w:color w:val="auto"/>
              </w:rPr>
              <w:t>loans</w:t>
            </w:r>
          </w:p>
        </w:tc>
        <w:tc>
          <w:tcPr>
            <w:tcW w:w="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040" w:type="dxa"/>
            <w:vAlign w:val="bottom"/>
            <w:shd w:val="clear" w:color="auto" w:fill="CCEEFF"/>
          </w:tcPr>
          <w:p>
            <w:pPr>
              <w:ind w:left="440"/>
              <w:spacing w:after="0" w:line="114" w:lineRule="exact"/>
              <w:rPr>
                <w:sz w:val="20"/>
                <w:szCs w:val="20"/>
                <w:color w:val="auto"/>
              </w:rPr>
            </w:pPr>
            <w:r>
              <w:rPr>
                <w:rFonts w:ascii="Arial" w:cs="Arial" w:eastAsia="Arial" w:hAnsi="Arial"/>
                <w:sz w:val="11"/>
                <w:szCs w:val="11"/>
                <w:color w:val="auto"/>
                <w:w w:val="88"/>
              </w:rPr>
              <w:t>Subordinated</w:t>
            </w:r>
          </w:p>
        </w:tc>
        <w:tc>
          <w:tcPr>
            <w:tcW w:w="5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1"/>
                <w:szCs w:val="11"/>
                <w:color w:val="auto"/>
              </w:rPr>
              <w:t>11,534</w:t>
            </w: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136</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411</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1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debt</w:t>
            </w:r>
          </w:p>
        </w:tc>
        <w:tc>
          <w:tcPr>
            <w:tcW w:w="50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40" w:type="dxa"/>
            <w:vAlign w:val="bottom"/>
          </w:tcPr>
          <w:p>
            <w:pPr>
              <w:ind w:left="440"/>
              <w:spacing w:after="0" w:line="112" w:lineRule="exact"/>
              <w:rPr>
                <w:sz w:val="20"/>
                <w:szCs w:val="20"/>
                <w:color w:val="auto"/>
              </w:rPr>
            </w:pPr>
            <w:r>
              <w:rPr>
                <w:rFonts w:ascii="Arial" w:cs="Arial" w:eastAsia="Arial" w:hAnsi="Arial"/>
                <w:sz w:val="11"/>
                <w:szCs w:val="11"/>
                <w:color w:val="auto"/>
              </w:rPr>
              <w:t>Preferred</w:t>
            </w:r>
          </w:p>
        </w:tc>
        <w:tc>
          <w:tcPr>
            <w:tcW w:w="500" w:type="dxa"/>
            <w:vAlign w:val="bottom"/>
          </w:tcPr>
          <w:p>
            <w:pPr>
              <w:spacing w:after="0"/>
              <w:rPr>
                <w:sz w:val="9"/>
                <w:szCs w:val="9"/>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1"/>
                <w:szCs w:val="11"/>
                <w:color w:val="auto"/>
              </w:rPr>
              <w:t>22,608</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vMerge w:val="restart"/>
          </w:tcPr>
          <w:p>
            <w:pPr>
              <w:jc w:val="right"/>
              <w:ind w:right="6"/>
              <w:spacing w:after="0"/>
              <w:rPr>
                <w:sz w:val="20"/>
                <w:szCs w:val="20"/>
                <w:color w:val="auto"/>
              </w:rPr>
            </w:pPr>
            <w:r>
              <w:rPr>
                <w:rFonts w:ascii="Arial" w:cs="Arial" w:eastAsia="Arial" w:hAnsi="Arial"/>
                <w:sz w:val="11"/>
                <w:szCs w:val="11"/>
                <w:color w:val="auto"/>
              </w:rPr>
              <w:t>1,680</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2,979</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76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040" w:type="dxa"/>
            <w:vAlign w:val="bottom"/>
          </w:tcPr>
          <w:p>
            <w:pPr>
              <w:ind w:left="20"/>
              <w:spacing w:after="0"/>
              <w:rPr>
                <w:sz w:val="20"/>
                <w:szCs w:val="20"/>
                <w:color w:val="auto"/>
              </w:rPr>
            </w:pPr>
            <w:r>
              <w:rPr>
                <w:rFonts w:ascii="Arial" w:cs="Arial" w:eastAsia="Arial" w:hAnsi="Arial"/>
                <w:sz w:val="11"/>
                <w:szCs w:val="11"/>
                <w:color w:val="auto"/>
              </w:rPr>
              <w:t>equity</w:t>
            </w:r>
          </w:p>
        </w:tc>
        <w:tc>
          <w:tcPr>
            <w:tcW w:w="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040" w:type="dxa"/>
            <w:vAlign w:val="bottom"/>
            <w:shd w:val="clear" w:color="auto" w:fill="CCEEFF"/>
          </w:tcPr>
          <w:p>
            <w:pPr>
              <w:ind w:left="440"/>
              <w:spacing w:after="0" w:line="114" w:lineRule="exact"/>
              <w:rPr>
                <w:sz w:val="20"/>
                <w:szCs w:val="20"/>
                <w:color w:val="auto"/>
              </w:rPr>
            </w:pPr>
            <w:r>
              <w:rPr>
                <w:rFonts w:ascii="Arial" w:cs="Arial" w:eastAsia="Arial" w:hAnsi="Arial"/>
                <w:sz w:val="11"/>
                <w:szCs w:val="11"/>
                <w:color w:val="auto"/>
              </w:rPr>
              <w:t>Common</w:t>
            </w:r>
          </w:p>
        </w:tc>
        <w:tc>
          <w:tcPr>
            <w:tcW w:w="5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1"/>
                <w:szCs w:val="11"/>
                <w:color w:val="auto"/>
              </w:rPr>
              <w:t>36,052</w:t>
            </w: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3,649</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782</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(1,632)</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&amp; warrants</w:t>
            </w:r>
          </w:p>
        </w:tc>
        <w:tc>
          <w:tcPr>
            <w:tcW w:w="5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040" w:type="dxa"/>
            <w:vAlign w:val="bottom"/>
          </w:tcPr>
          <w:p>
            <w:pPr>
              <w:ind w:left="440"/>
              <w:spacing w:after="0" w:line="92" w:lineRule="exact"/>
              <w:rPr>
                <w:sz w:val="20"/>
                <w:szCs w:val="20"/>
                <w:color w:val="auto"/>
              </w:rPr>
            </w:pPr>
            <w:r>
              <w:rPr>
                <w:rFonts w:ascii="Arial" w:cs="Arial" w:eastAsia="Arial" w:hAnsi="Arial"/>
                <w:sz w:val="10"/>
                <w:szCs w:val="10"/>
                <w:color w:val="auto"/>
              </w:rPr>
              <w:t>Total</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1"/>
                <w:szCs w:val="11"/>
                <w:color w:val="auto"/>
              </w:rPr>
              <w:t>631,274</w:t>
            </w:r>
          </w:p>
        </w:tc>
        <w:tc>
          <w:tcPr>
            <w:tcW w:w="40" w:type="dxa"/>
            <w:vAlign w:val="bottom"/>
          </w:tcPr>
          <w:p>
            <w:pPr>
              <w:spacing w:after="0"/>
              <w:rPr>
                <w:sz w:val="7"/>
                <w:szCs w:val="7"/>
                <w:color w:val="auto"/>
              </w:rPr>
            </w:pPr>
          </w:p>
        </w:tc>
        <w:tc>
          <w:tcPr>
            <w:tcW w:w="920" w:type="dxa"/>
            <w:vAlign w:val="bottom"/>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vMerge w:val="restart"/>
          </w:tcPr>
          <w:p>
            <w:pPr>
              <w:jc w:val="right"/>
              <w:ind w:right="6"/>
              <w:spacing w:after="0"/>
              <w:rPr>
                <w:sz w:val="20"/>
                <w:szCs w:val="20"/>
                <w:color w:val="auto"/>
              </w:rPr>
            </w:pPr>
            <w:r>
              <w:rPr>
                <w:rFonts w:ascii="Arial" w:cs="Arial" w:eastAsia="Arial" w:hAnsi="Arial"/>
                <w:sz w:val="11"/>
                <w:szCs w:val="11"/>
                <w:color w:val="auto"/>
              </w:rPr>
              <w:t>5,360</w:t>
            </w:r>
          </w:p>
        </w:tc>
        <w:tc>
          <w:tcPr>
            <w:tcW w:w="40" w:type="dxa"/>
            <w:vAlign w:val="bottom"/>
          </w:tcPr>
          <w:p>
            <w:pPr>
              <w:spacing w:after="0"/>
              <w:rPr>
                <w:sz w:val="7"/>
                <w:szCs w:val="7"/>
                <w:color w:val="auto"/>
              </w:rPr>
            </w:pPr>
          </w:p>
        </w:tc>
        <w:tc>
          <w:tcPr>
            <w:tcW w:w="580" w:type="dxa"/>
            <w:vAlign w:val="bottom"/>
            <w:vMerge w:val="restart"/>
          </w:tcPr>
          <w:p>
            <w:pPr>
              <w:ind w:left="46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104,773</w:t>
            </w:r>
          </w:p>
        </w:tc>
        <w:tc>
          <w:tcPr>
            <w:tcW w:w="60" w:type="dxa"/>
            <w:vAlign w:val="bottom"/>
          </w:tcPr>
          <w:p>
            <w:pPr>
              <w:spacing w:after="0"/>
              <w:rPr>
                <w:sz w:val="7"/>
                <w:szCs w:val="7"/>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(4,108)</w:t>
            </w: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1,761</w:t>
            </w:r>
          </w:p>
        </w:tc>
        <w:tc>
          <w:tcPr>
            <w:tcW w:w="60" w:type="dxa"/>
            <w:vAlign w:val="bottom"/>
          </w:tcPr>
          <w:p>
            <w:pPr>
              <w:spacing w:after="0"/>
              <w:rPr>
                <w:sz w:val="7"/>
                <w:szCs w:val="7"/>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(1,685)</w:t>
            </w: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040" w:type="dxa"/>
            <w:vAlign w:val="bottom"/>
          </w:tcPr>
          <w:p>
            <w:pPr>
              <w:ind w:left="20"/>
              <w:spacing w:after="0" w:line="122" w:lineRule="exact"/>
              <w:rPr>
                <w:sz w:val="20"/>
                <w:szCs w:val="20"/>
                <w:color w:val="auto"/>
              </w:rPr>
            </w:pPr>
            <w:r>
              <w:rPr>
                <w:rFonts w:ascii="Arial" w:cs="Arial" w:eastAsia="Arial" w:hAnsi="Arial"/>
                <w:sz w:val="11"/>
                <w:szCs w:val="11"/>
                <w:color w:val="auto"/>
              </w:rPr>
              <w:t>Investments</w:t>
            </w:r>
          </w:p>
        </w:tc>
        <w:tc>
          <w:tcPr>
            <w:tcW w:w="50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8"/>
                <w:szCs w:val="8"/>
                <w:b w:val="1"/>
                <w:bCs w:val="1"/>
                <w:color w:val="auto"/>
              </w:rPr>
              <w:t>Fair Value March 31,</w:t>
            </w:r>
          </w:p>
        </w:tc>
        <w:tc>
          <w:tcPr>
            <w:tcW w:w="1320" w:type="dxa"/>
            <w:vAlign w:val="bottom"/>
            <w:gridSpan w:val="3"/>
          </w:tcPr>
          <w:p>
            <w:pPr>
              <w:ind w:left="460"/>
              <w:spacing w:after="0"/>
              <w:rPr>
                <w:sz w:val="20"/>
                <w:szCs w:val="20"/>
                <w:color w:val="auto"/>
              </w:rPr>
            </w:pPr>
            <w:r>
              <w:rPr>
                <w:rFonts w:ascii="Arial" w:cs="Arial" w:eastAsia="Arial" w:hAnsi="Arial"/>
                <w:sz w:val="8"/>
                <w:szCs w:val="8"/>
                <w:b w:val="1"/>
                <w:bCs w:val="1"/>
                <w:color w:val="auto"/>
              </w:rPr>
              <w:t>Realized &amp; Unrealized</w:t>
            </w:r>
          </w:p>
        </w:tc>
        <w:tc>
          <w:tcPr>
            <w:tcW w:w="580" w:type="dxa"/>
            <w:vAlign w:val="bottom"/>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8"/>
                <w:szCs w:val="8"/>
                <w:b w:val="1"/>
                <w:bCs w:val="1"/>
                <w:color w:val="auto"/>
              </w:rPr>
              <w:t>Purchases of</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PIK Interest</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8"/>
                <w:szCs w:val="8"/>
                <w:b w:val="1"/>
                <w:bCs w:val="1"/>
                <w:color w:val="auto"/>
              </w:rPr>
              <w:t>Conversion/Reclassification of</w:t>
            </w:r>
          </w:p>
        </w:tc>
        <w:tc>
          <w:tcPr>
            <w:tcW w:w="0" w:type="dxa"/>
            <w:vAlign w:val="bottom"/>
          </w:tcPr>
          <w:p>
            <w:pPr>
              <w:spacing w:after="0"/>
              <w:rPr>
                <w:sz w:val="1"/>
                <w:szCs w:val="1"/>
                <w:color w:val="auto"/>
              </w:rPr>
            </w:pPr>
          </w:p>
        </w:tc>
      </w:tr>
      <w:tr>
        <w:trPr>
          <w:trHeight w:val="122"/>
        </w:trPr>
        <w:tc>
          <w:tcPr>
            <w:tcW w:w="10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49"/>
              <w:spacing w:after="0"/>
              <w:rPr>
                <w:sz w:val="20"/>
                <w:szCs w:val="20"/>
                <w:color w:val="auto"/>
              </w:rPr>
            </w:pPr>
            <w:r>
              <w:rPr>
                <w:rFonts w:ascii="Arial" w:cs="Arial" w:eastAsia="Arial" w:hAnsi="Arial"/>
                <w:sz w:val="8"/>
                <w:szCs w:val="8"/>
                <w:b w:val="1"/>
                <w:bCs w:val="1"/>
                <w:color w:val="auto"/>
              </w:rPr>
              <w:t>2020</w:t>
            </w:r>
          </w:p>
        </w:tc>
        <w:tc>
          <w:tcPr>
            <w:tcW w:w="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8"/>
                <w:szCs w:val="8"/>
                <w:b w:val="1"/>
                <w:bCs w:val="1"/>
                <w:color w:val="auto"/>
                <w:w w:val="90"/>
              </w:rPr>
              <w:t>Gains (Losses)</w:t>
            </w: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gridSpan w:val="2"/>
          </w:tcPr>
          <w:p>
            <w:pPr>
              <w:ind w:left="440"/>
              <w:spacing w:after="0"/>
              <w:rPr>
                <w:sz w:val="20"/>
                <w:szCs w:val="20"/>
                <w:color w:val="auto"/>
              </w:rPr>
            </w:pPr>
            <w:r>
              <w:rPr>
                <w:rFonts w:ascii="Arial" w:cs="Arial" w:eastAsia="Arial" w:hAnsi="Arial"/>
                <w:sz w:val="8"/>
                <w:szCs w:val="8"/>
                <w:b w:val="1"/>
                <w:bCs w:val="1"/>
                <w:color w:val="auto"/>
              </w:rPr>
              <w:t>Investments</w:t>
            </w:r>
            <w:r>
              <w:rPr>
                <w:rFonts w:ascii="Arial" w:cs="Arial" w:eastAsia="Arial" w:hAnsi="Arial"/>
                <w:sz w:val="10"/>
                <w:szCs w:val="10"/>
                <w:b w:val="1"/>
                <w:bCs w:val="1"/>
                <w:color w:val="auto"/>
                <w:vertAlign w:val="superscript"/>
              </w:rPr>
              <w:t>1</w:t>
            </w: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Repayments</w:t>
            </w:r>
          </w:p>
        </w:tc>
        <w:tc>
          <w:tcPr>
            <w:tcW w:w="6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8"/>
                <w:szCs w:val="8"/>
                <w:b w:val="1"/>
                <w:bCs w:val="1"/>
                <w:color w:val="auto"/>
              </w:rPr>
              <w:t>Capitalized</w:t>
            </w: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8"/>
                <w:szCs w:val="8"/>
                <w:b w:val="1"/>
                <w:bCs w:val="1"/>
                <w:color w:val="auto"/>
              </w:rPr>
              <w:t>Divestitures</w:t>
            </w: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709"/>
              <w:spacing w:after="0"/>
              <w:rPr>
                <w:sz w:val="20"/>
                <w:szCs w:val="20"/>
                <w:color w:val="auto"/>
              </w:rPr>
            </w:pPr>
            <w:r>
              <w:rPr>
                <w:rFonts w:ascii="Arial" w:cs="Arial" w:eastAsia="Arial" w:hAnsi="Arial"/>
                <w:sz w:val="8"/>
                <w:szCs w:val="8"/>
                <w:b w:val="1"/>
                <w:bCs w:val="1"/>
                <w:color w:val="auto"/>
              </w:rPr>
              <w:t>Security</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040" w:type="dxa"/>
            <w:vAlign w:val="bottom"/>
            <w:shd w:val="clear" w:color="auto" w:fill="CCEEFF"/>
          </w:tcPr>
          <w:p>
            <w:pPr>
              <w:ind w:left="440"/>
              <w:spacing w:after="0" w:line="92" w:lineRule="exact"/>
              <w:rPr>
                <w:sz w:val="20"/>
                <w:szCs w:val="20"/>
                <w:color w:val="auto"/>
              </w:rPr>
            </w:pPr>
            <w:r>
              <w:rPr>
                <w:rFonts w:ascii="Arial" w:cs="Arial" w:eastAsia="Arial" w:hAnsi="Arial"/>
                <w:sz w:val="10"/>
                <w:szCs w:val="10"/>
                <w:color w:val="auto"/>
              </w:rPr>
              <w:t>First lien</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1"/>
                <w:szCs w:val="11"/>
                <w:color w:val="auto"/>
              </w:rPr>
              <w:t>427,447</w:t>
            </w:r>
          </w:p>
        </w:tc>
        <w:tc>
          <w:tcPr>
            <w:tcW w:w="4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1"/>
              </w:rPr>
              <w:t>(1,158)</w:t>
            </w:r>
          </w:p>
        </w:tc>
        <w:tc>
          <w:tcPr>
            <w:tcW w:w="4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24,150</w:t>
            </w:r>
          </w:p>
        </w:tc>
        <w:tc>
          <w:tcPr>
            <w:tcW w:w="6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(7,576)</w:t>
            </w:r>
          </w:p>
        </w:tc>
        <w:tc>
          <w:tcPr>
            <w:tcW w:w="6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696</w:t>
            </w:r>
          </w:p>
        </w:tc>
        <w:tc>
          <w:tcPr>
            <w:tcW w:w="6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(3,615)</w:t>
            </w: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loans</w:t>
            </w:r>
          </w:p>
        </w:tc>
        <w:tc>
          <w:tcPr>
            <w:tcW w:w="5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40" w:type="dxa"/>
            <w:vAlign w:val="bottom"/>
          </w:tcPr>
          <w:p>
            <w:pPr>
              <w:ind w:left="440"/>
              <w:spacing w:after="0" w:line="112" w:lineRule="exact"/>
              <w:rPr>
                <w:sz w:val="20"/>
                <w:szCs w:val="20"/>
                <w:color w:val="auto"/>
              </w:rPr>
            </w:pPr>
            <w:r>
              <w:rPr>
                <w:rFonts w:ascii="Arial" w:cs="Arial" w:eastAsia="Arial" w:hAnsi="Arial"/>
                <w:sz w:val="11"/>
                <w:szCs w:val="11"/>
                <w:color w:val="auto"/>
              </w:rPr>
              <w:t>Second lien</w:t>
            </w:r>
          </w:p>
        </w:tc>
        <w:tc>
          <w:tcPr>
            <w:tcW w:w="500" w:type="dxa"/>
            <w:vAlign w:val="bottom"/>
          </w:tcPr>
          <w:p>
            <w:pPr>
              <w:spacing w:after="0"/>
              <w:rPr>
                <w:sz w:val="9"/>
                <w:szCs w:val="9"/>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1"/>
                <w:szCs w:val="11"/>
                <w:color w:val="auto"/>
              </w:rPr>
              <w:t>37,139</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vMerge w:val="restart"/>
          </w:tcPr>
          <w:p>
            <w:pPr>
              <w:jc w:val="right"/>
              <w:ind w:right="6"/>
              <w:spacing w:after="0"/>
              <w:rPr>
                <w:sz w:val="20"/>
                <w:szCs w:val="20"/>
                <w:color w:val="auto"/>
              </w:rPr>
            </w:pPr>
            <w:r>
              <w:rPr>
                <w:rFonts w:ascii="Arial" w:cs="Arial" w:eastAsia="Arial" w:hAnsi="Arial"/>
                <w:sz w:val="11"/>
                <w:szCs w:val="11"/>
                <w:color w:val="auto"/>
              </w:rPr>
              <w:t>179</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45</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(62)</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203</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040" w:type="dxa"/>
            <w:vAlign w:val="bottom"/>
          </w:tcPr>
          <w:p>
            <w:pPr>
              <w:ind w:left="20"/>
              <w:spacing w:after="0"/>
              <w:rPr>
                <w:sz w:val="20"/>
                <w:szCs w:val="20"/>
                <w:color w:val="auto"/>
              </w:rPr>
            </w:pPr>
            <w:r>
              <w:rPr>
                <w:rFonts w:ascii="Arial" w:cs="Arial" w:eastAsia="Arial" w:hAnsi="Arial"/>
                <w:sz w:val="11"/>
                <w:szCs w:val="11"/>
                <w:color w:val="auto"/>
              </w:rPr>
              <w:t>loans</w:t>
            </w:r>
          </w:p>
        </w:tc>
        <w:tc>
          <w:tcPr>
            <w:tcW w:w="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040" w:type="dxa"/>
            <w:vAlign w:val="bottom"/>
            <w:shd w:val="clear" w:color="auto" w:fill="CCEEFF"/>
          </w:tcPr>
          <w:p>
            <w:pPr>
              <w:ind w:left="440"/>
              <w:spacing w:after="0" w:line="114" w:lineRule="exact"/>
              <w:rPr>
                <w:sz w:val="20"/>
                <w:szCs w:val="20"/>
                <w:color w:val="auto"/>
              </w:rPr>
            </w:pPr>
            <w:r>
              <w:rPr>
                <w:rFonts w:ascii="Arial" w:cs="Arial" w:eastAsia="Arial" w:hAnsi="Arial"/>
                <w:sz w:val="11"/>
                <w:szCs w:val="11"/>
                <w:color w:val="auto"/>
                <w:w w:val="88"/>
              </w:rPr>
              <w:t>Subordinated</w:t>
            </w:r>
          </w:p>
        </w:tc>
        <w:tc>
          <w:tcPr>
            <w:tcW w:w="5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1"/>
                <w:szCs w:val="11"/>
                <w:color w:val="auto"/>
              </w:rPr>
              <w:t>9,747</w:t>
            </w: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1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debt</w:t>
            </w:r>
          </w:p>
        </w:tc>
        <w:tc>
          <w:tcPr>
            <w:tcW w:w="50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40" w:type="dxa"/>
            <w:vAlign w:val="bottom"/>
          </w:tcPr>
          <w:p>
            <w:pPr>
              <w:ind w:left="440"/>
              <w:spacing w:after="0" w:line="112" w:lineRule="exact"/>
              <w:rPr>
                <w:sz w:val="20"/>
                <w:szCs w:val="20"/>
                <w:color w:val="auto"/>
              </w:rPr>
            </w:pPr>
            <w:r>
              <w:rPr>
                <w:rFonts w:ascii="Arial" w:cs="Arial" w:eastAsia="Arial" w:hAnsi="Arial"/>
                <w:sz w:val="11"/>
                <w:szCs w:val="11"/>
                <w:color w:val="auto"/>
              </w:rPr>
              <w:t>Preferred</w:t>
            </w:r>
          </w:p>
        </w:tc>
        <w:tc>
          <w:tcPr>
            <w:tcW w:w="500" w:type="dxa"/>
            <w:vAlign w:val="bottom"/>
          </w:tcPr>
          <w:p>
            <w:pPr>
              <w:spacing w:after="0"/>
              <w:rPr>
                <w:sz w:val="9"/>
                <w:szCs w:val="9"/>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1"/>
                <w:szCs w:val="11"/>
                <w:color w:val="auto"/>
              </w:rPr>
              <w:t>16,624</w:t>
            </w: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(326)</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1,272</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76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040" w:type="dxa"/>
            <w:vAlign w:val="bottom"/>
          </w:tcPr>
          <w:p>
            <w:pPr>
              <w:ind w:left="20"/>
              <w:spacing w:after="0"/>
              <w:rPr>
                <w:sz w:val="20"/>
                <w:szCs w:val="20"/>
                <w:color w:val="auto"/>
              </w:rPr>
            </w:pPr>
            <w:r>
              <w:rPr>
                <w:rFonts w:ascii="Arial" w:cs="Arial" w:eastAsia="Arial" w:hAnsi="Arial"/>
                <w:sz w:val="11"/>
                <w:szCs w:val="11"/>
                <w:color w:val="auto"/>
              </w:rPr>
              <w:t>equity</w:t>
            </w:r>
          </w:p>
        </w:tc>
        <w:tc>
          <w:tcPr>
            <w:tcW w:w="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040" w:type="dxa"/>
            <w:vAlign w:val="bottom"/>
            <w:shd w:val="clear" w:color="auto" w:fill="CCEEFF"/>
          </w:tcPr>
          <w:p>
            <w:pPr>
              <w:ind w:left="440"/>
              <w:spacing w:after="0" w:line="114" w:lineRule="exact"/>
              <w:rPr>
                <w:sz w:val="20"/>
                <w:szCs w:val="20"/>
                <w:color w:val="auto"/>
              </w:rPr>
            </w:pPr>
            <w:r>
              <w:rPr>
                <w:rFonts w:ascii="Arial" w:cs="Arial" w:eastAsia="Arial" w:hAnsi="Arial"/>
                <w:sz w:val="11"/>
                <w:szCs w:val="11"/>
                <w:color w:val="auto"/>
              </w:rPr>
              <w:t>Common</w:t>
            </w:r>
          </w:p>
        </w:tc>
        <w:tc>
          <w:tcPr>
            <w:tcW w:w="5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1"/>
                <w:szCs w:val="11"/>
                <w:color w:val="auto"/>
              </w:rPr>
              <w:t>22,355</w:t>
            </w: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(308)</w:t>
            </w: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3,615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&amp; warrants</w:t>
            </w:r>
          </w:p>
        </w:tc>
        <w:tc>
          <w:tcPr>
            <w:tcW w:w="5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040" w:type="dxa"/>
            <w:vAlign w:val="bottom"/>
          </w:tcPr>
          <w:p>
            <w:pPr>
              <w:ind w:left="440"/>
              <w:spacing w:after="0" w:line="92" w:lineRule="exact"/>
              <w:rPr>
                <w:sz w:val="20"/>
                <w:szCs w:val="20"/>
                <w:color w:val="auto"/>
              </w:rPr>
            </w:pPr>
            <w:r>
              <w:rPr>
                <w:rFonts w:ascii="Arial" w:cs="Arial" w:eastAsia="Arial" w:hAnsi="Arial"/>
                <w:sz w:val="10"/>
                <w:szCs w:val="10"/>
                <w:color w:val="auto"/>
              </w:rPr>
              <w:t>Total</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1"/>
                <w:szCs w:val="11"/>
                <w:color w:val="auto"/>
              </w:rPr>
              <w:t>513,312</w:t>
            </w:r>
          </w:p>
        </w:tc>
        <w:tc>
          <w:tcPr>
            <w:tcW w:w="40" w:type="dxa"/>
            <w:vAlign w:val="bottom"/>
          </w:tcPr>
          <w:p>
            <w:pPr>
              <w:spacing w:after="0"/>
              <w:rPr>
                <w:sz w:val="7"/>
                <w:szCs w:val="7"/>
                <w:color w:val="auto"/>
              </w:rPr>
            </w:pPr>
          </w:p>
        </w:tc>
        <w:tc>
          <w:tcPr>
            <w:tcW w:w="920" w:type="dxa"/>
            <w:vAlign w:val="bottom"/>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w w:val="91"/>
              </w:rPr>
              <w:t>(1,622)</w:t>
            </w:r>
          </w:p>
        </w:tc>
        <w:tc>
          <w:tcPr>
            <w:tcW w:w="40" w:type="dxa"/>
            <w:vAlign w:val="bottom"/>
          </w:tcPr>
          <w:p>
            <w:pPr>
              <w:spacing w:after="0"/>
              <w:rPr>
                <w:sz w:val="7"/>
                <w:szCs w:val="7"/>
                <w:color w:val="auto"/>
              </w:rPr>
            </w:pPr>
          </w:p>
        </w:tc>
        <w:tc>
          <w:tcPr>
            <w:tcW w:w="580" w:type="dxa"/>
            <w:vAlign w:val="bottom"/>
            <w:vMerge w:val="restart"/>
          </w:tcPr>
          <w:p>
            <w:pPr>
              <w:ind w:left="46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25,476</w:t>
            </w:r>
          </w:p>
        </w:tc>
        <w:tc>
          <w:tcPr>
            <w:tcW w:w="60" w:type="dxa"/>
            <w:vAlign w:val="bottom"/>
          </w:tcPr>
          <w:p>
            <w:pPr>
              <w:spacing w:after="0"/>
              <w:rPr>
                <w:sz w:val="7"/>
                <w:szCs w:val="7"/>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(7,638)</w:t>
            </w: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899</w:t>
            </w:r>
          </w:p>
        </w:tc>
        <w:tc>
          <w:tcPr>
            <w:tcW w:w="60" w:type="dxa"/>
            <w:vAlign w:val="bottom"/>
          </w:tcPr>
          <w:p>
            <w:pPr>
              <w:spacing w:after="0"/>
              <w:rPr>
                <w:sz w:val="7"/>
                <w:szCs w:val="7"/>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tcPr>
          <w:p>
            <w:pPr>
              <w:ind w:left="20"/>
              <w:spacing w:after="0" w:line="122" w:lineRule="exact"/>
              <w:rPr>
                <w:sz w:val="20"/>
                <w:szCs w:val="20"/>
                <w:color w:val="auto"/>
              </w:rPr>
            </w:pPr>
            <w:r>
              <w:rPr>
                <w:rFonts w:ascii="Arial" w:cs="Arial" w:eastAsia="Arial" w:hAnsi="Arial"/>
                <w:sz w:val="11"/>
                <w:szCs w:val="11"/>
                <w:color w:val="auto"/>
              </w:rPr>
              <w:t>Investments</w:t>
            </w:r>
          </w:p>
        </w:tc>
        <w:tc>
          <w:tcPr>
            <w:tcW w:w="5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175" w:lineRule="exact"/>
        <w:rPr>
          <w:sz w:val="20"/>
          <w:szCs w:val="20"/>
          <w:color w:val="auto"/>
        </w:rPr>
      </w:pPr>
    </w:p>
    <w:p>
      <w:pPr>
        <w:ind w:left="208" w:hanging="208"/>
        <w:spacing w:after="0"/>
        <w:tabs>
          <w:tab w:leader="none" w:pos="208" w:val="left"/>
        </w:tabs>
        <w:numPr>
          <w:ilvl w:val="0"/>
          <w:numId w:val="40"/>
        </w:numPr>
        <w:rPr>
          <w:rFonts w:ascii="Arial" w:cs="Arial" w:eastAsia="Arial" w:hAnsi="Arial"/>
          <w:sz w:val="14"/>
          <w:szCs w:val="14"/>
          <w:color w:val="auto"/>
          <w:vertAlign w:val="superscript"/>
        </w:rPr>
      </w:pPr>
      <w:r>
        <w:rPr>
          <w:rFonts w:ascii="Arial" w:cs="Arial" w:eastAsia="Arial" w:hAnsi="Arial"/>
          <w:sz w:val="11"/>
          <w:szCs w:val="11"/>
          <w:color w:val="auto"/>
        </w:rPr>
        <w:t>Includes purchases of new investments, as well as discount accretion on existing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368"/>
          </w:cols>
          <w:pgMar w:left="292" w:top="140" w:right="239" w:bottom="1440" w:gutter="0" w:footer="0" w:header="0"/>
        </w:sectPr>
      </w:pPr>
    </w:p>
    <w:bookmarkStart w:id="46" w:name="page47"/>
    <w:bookmarkEnd w:id="46"/>
    <w:p>
      <w:pPr>
        <w:ind w:left="80"/>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280" w:hanging="208"/>
        <w:spacing w:after="0"/>
        <w:tabs>
          <w:tab w:leader="none" w:pos="2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BORROWINGS</w:t>
      </w:r>
    </w:p>
    <w:p>
      <w:pPr>
        <w:spacing w:after="0" w:line="168" w:lineRule="exact"/>
        <w:rPr>
          <w:sz w:val="20"/>
          <w:szCs w:val="20"/>
          <w:color w:val="auto"/>
        </w:rPr>
      </w:pPr>
    </w:p>
    <w:p>
      <w:pPr>
        <w:jc w:val="both"/>
        <w:ind w:left="80" w:firstLine="432"/>
        <w:spacing w:after="0" w:line="298" w:lineRule="auto"/>
        <w:rPr>
          <w:sz w:val="20"/>
          <w:szCs w:val="20"/>
          <w:color w:val="auto"/>
        </w:rPr>
      </w:pPr>
      <w:r>
        <w:rPr>
          <w:rFonts w:ascii="Arial" w:cs="Arial" w:eastAsia="Arial" w:hAnsi="Arial"/>
          <w:sz w:val="11"/>
          <w:szCs w:val="11"/>
          <w:color w:val="auto"/>
        </w:rPr>
        <w:t>In accordance with the 1940 Act, with certain limitations, effective April 25, 2019, the Company is only allowed to borrow amounts such that its asset coverage (i.e., the ratio of assets less liabilities not represented by senior securities to senior securities such as borrowings), calculated pursuant to the 1940 Act, is at least 150% after such borrowing. The Board of Directors also approved a resolution which limits the Company’s issuance of senior securities such that the asset coverage ratio, taking into account any such issuance, would not be less than 166%, which became effective April 25, 2019. As of June 30, 2021, the Company’s asset coverage was 181%.</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Company had the following borrowings outstanding as of June 30, 2021 and March 31, 2021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4640" w:type="dxa"/>
            <w:vAlign w:val="bottom"/>
            <w:tcBorders>
              <w:bottom w:val="single" w:sz="8" w:color="CCEEFF"/>
            </w:tcBorders>
          </w:tcPr>
          <w:p>
            <w:pPr>
              <w:spacing w:after="0"/>
              <w:rPr>
                <w:sz w:val="11"/>
                <w:szCs w:val="11"/>
                <w:color w:val="auto"/>
              </w:rPr>
            </w:pPr>
          </w:p>
        </w:tc>
        <w:tc>
          <w:tcPr>
            <w:tcW w:w="276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June 30, 2021</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right"/>
              <w:ind w:right="681"/>
              <w:spacing w:after="0"/>
              <w:rPr>
                <w:sz w:val="20"/>
                <w:szCs w:val="20"/>
                <w:color w:val="auto"/>
              </w:rPr>
            </w:pPr>
            <w:r>
              <w:rPr>
                <w:rFonts w:ascii="Arial" w:cs="Arial" w:eastAsia="Arial" w:hAnsi="Arial"/>
                <w:sz w:val="10"/>
                <w:szCs w:val="10"/>
                <w:b w:val="1"/>
                <w:bCs w:val="1"/>
                <w:color w:val="auto"/>
              </w:rPr>
              <w:t>March 31, 2021</w:t>
            </w:r>
          </w:p>
        </w:tc>
      </w:tr>
      <w:tr>
        <w:trPr>
          <w:trHeight w:val="146"/>
        </w:trPr>
        <w:tc>
          <w:tcPr>
            <w:tcW w:w="80" w:type="dxa"/>
            <w:vAlign w:val="bottom"/>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Facility</w:t>
            </w:r>
          </w:p>
        </w:tc>
        <w:tc>
          <w:tcPr>
            <w:tcW w:w="27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190,000$</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120,000</w:t>
            </w:r>
          </w:p>
        </w:tc>
      </w:tr>
      <w:tr>
        <w:trPr>
          <w:trHeight w:val="72"/>
        </w:trPr>
        <w:tc>
          <w:tcPr>
            <w:tcW w:w="4720" w:type="dxa"/>
            <w:vAlign w:val="bottom"/>
            <w:gridSpan w:val="2"/>
          </w:tcPr>
          <w:p>
            <w:pPr>
              <w:spacing w:after="0"/>
              <w:rPr>
                <w:sz w:val="6"/>
                <w:szCs w:val="6"/>
                <w:color w:val="auto"/>
              </w:rPr>
            </w:pPr>
          </w:p>
        </w:tc>
        <w:tc>
          <w:tcPr>
            <w:tcW w:w="2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153"/>
        </w:trPr>
        <w:tc>
          <w:tcPr>
            <w:tcW w:w="80" w:type="dxa"/>
            <w:vAlign w:val="bottom"/>
          </w:tcPr>
          <w:p>
            <w:pPr>
              <w:spacing w:after="0"/>
              <w:rPr>
                <w:sz w:val="20"/>
                <w:szCs w:val="20"/>
                <w:color w:val="auto"/>
              </w:rPr>
            </w:pPr>
            <w:r>
              <w:rPr>
                <w:rFonts w:ascii="Arial" w:cs="Arial" w:eastAsia="Arial" w:hAnsi="Arial"/>
                <w:sz w:val="12"/>
                <w:szCs w:val="12"/>
                <w:color w:val="auto"/>
              </w:rPr>
              <w:t>r</w:t>
            </w:r>
          </w:p>
        </w:tc>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2024 Notes</w:t>
            </w:r>
          </w:p>
        </w:tc>
        <w:tc>
          <w:tcPr>
            <w:tcW w:w="27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125,000</w:t>
            </w: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125,000</w:t>
            </w:r>
          </w:p>
        </w:tc>
      </w:tr>
      <w:tr>
        <w:trPr>
          <w:trHeight w:val="153"/>
        </w:trPr>
        <w:tc>
          <w:tcPr>
            <w:tcW w:w="4720" w:type="dxa"/>
            <w:vAlign w:val="bottom"/>
            <w:gridSpan w:val="2"/>
          </w:tcPr>
          <w:p>
            <w:pPr>
              <w:ind w:left="20"/>
              <w:spacing w:after="0"/>
              <w:rPr>
                <w:sz w:val="20"/>
                <w:szCs w:val="20"/>
                <w:color w:val="auto"/>
              </w:rPr>
            </w:pPr>
            <w:r>
              <w:rPr>
                <w:rFonts w:ascii="Arial" w:cs="Arial" w:eastAsia="Arial" w:hAnsi="Arial"/>
                <w:sz w:val="12"/>
                <w:szCs w:val="12"/>
                <w:color w:val="auto"/>
              </w:rPr>
              <w:t>namortized debt issuance costs and debt discount</w:t>
            </w:r>
          </w:p>
        </w:tc>
        <w:tc>
          <w:tcPr>
            <w:tcW w:w="2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(1,959)</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(2,121)</w:t>
            </w:r>
          </w:p>
        </w:tc>
      </w:tr>
      <w:tr>
        <w:trPr>
          <w:trHeight w:val="142"/>
        </w:trPr>
        <w:tc>
          <w:tcPr>
            <w:tcW w:w="80" w:type="dxa"/>
            <w:vAlign w:val="bottom"/>
          </w:tcPr>
          <w:p>
            <w:pPr>
              <w:spacing w:after="0"/>
              <w:rPr>
                <w:sz w:val="12"/>
                <w:szCs w:val="12"/>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ctober 2024 Notes</w:t>
            </w:r>
          </w:p>
        </w:tc>
        <w:tc>
          <w:tcPr>
            <w:tcW w:w="27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123,041</w:t>
            </w:r>
          </w:p>
        </w:tc>
        <w:tc>
          <w:tcPr>
            <w:tcW w:w="8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122,879</w:t>
            </w:r>
          </w:p>
        </w:tc>
      </w:tr>
      <w:tr>
        <w:trPr>
          <w:trHeight w:val="72"/>
        </w:trPr>
        <w:tc>
          <w:tcPr>
            <w:tcW w:w="4720" w:type="dxa"/>
            <w:vAlign w:val="bottom"/>
            <w:gridSpan w:val="2"/>
          </w:tcPr>
          <w:p>
            <w:pPr>
              <w:spacing w:after="0"/>
              <w:rPr>
                <w:sz w:val="6"/>
                <w:szCs w:val="6"/>
                <w:color w:val="auto"/>
              </w:rPr>
            </w:pPr>
          </w:p>
        </w:tc>
        <w:tc>
          <w:tcPr>
            <w:tcW w:w="2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153"/>
        </w:trPr>
        <w:tc>
          <w:tcPr>
            <w:tcW w:w="80" w:type="dxa"/>
            <w:vAlign w:val="bottom"/>
          </w:tcPr>
          <w:p>
            <w:pPr>
              <w:spacing w:after="0"/>
              <w:rPr>
                <w:sz w:val="13"/>
                <w:szCs w:val="13"/>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2026 Notes</w:t>
            </w:r>
          </w:p>
        </w:tc>
        <w:tc>
          <w:tcPr>
            <w:tcW w:w="27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140,000</w:t>
            </w: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140,000</w:t>
            </w:r>
          </w:p>
        </w:tc>
      </w:tr>
      <w:tr>
        <w:trPr>
          <w:trHeight w:val="153"/>
        </w:trPr>
        <w:tc>
          <w:tcPr>
            <w:tcW w:w="4720" w:type="dxa"/>
            <w:vAlign w:val="bottom"/>
            <w:gridSpan w:val="2"/>
          </w:tcPr>
          <w:p>
            <w:pPr>
              <w:ind w:left="20"/>
              <w:spacing w:after="0"/>
              <w:rPr>
                <w:sz w:val="20"/>
                <w:szCs w:val="20"/>
                <w:color w:val="auto"/>
              </w:rPr>
            </w:pPr>
            <w:r>
              <w:rPr>
                <w:rFonts w:ascii="Arial" w:cs="Arial" w:eastAsia="Arial" w:hAnsi="Arial"/>
                <w:sz w:val="12"/>
                <w:szCs w:val="12"/>
                <w:color w:val="auto"/>
              </w:rPr>
              <w:t>namortized debt issuance costs and debt discount</w:t>
            </w:r>
          </w:p>
        </w:tc>
        <w:tc>
          <w:tcPr>
            <w:tcW w:w="2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(1,496)</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(1,575)</w:t>
            </w:r>
          </w:p>
        </w:tc>
      </w:tr>
      <w:tr>
        <w:trPr>
          <w:trHeight w:val="142"/>
        </w:trPr>
        <w:tc>
          <w:tcPr>
            <w:tcW w:w="80" w:type="dxa"/>
            <w:vAlign w:val="bottom"/>
          </w:tcPr>
          <w:p>
            <w:pPr>
              <w:spacing w:after="0"/>
              <w:rPr>
                <w:sz w:val="12"/>
                <w:szCs w:val="12"/>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anuary 2026 Notes</w:t>
            </w:r>
          </w:p>
        </w:tc>
        <w:tc>
          <w:tcPr>
            <w:tcW w:w="27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138,504</w:t>
            </w:r>
          </w:p>
        </w:tc>
        <w:tc>
          <w:tcPr>
            <w:tcW w:w="8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138,425</w:t>
            </w:r>
          </w:p>
        </w:tc>
      </w:tr>
      <w:tr>
        <w:trPr>
          <w:trHeight w:val="72"/>
        </w:trPr>
        <w:tc>
          <w:tcPr>
            <w:tcW w:w="4720" w:type="dxa"/>
            <w:vAlign w:val="bottom"/>
            <w:gridSpan w:val="2"/>
          </w:tcPr>
          <w:p>
            <w:pPr>
              <w:spacing w:after="0"/>
              <w:rPr>
                <w:sz w:val="6"/>
                <w:szCs w:val="6"/>
                <w:color w:val="auto"/>
              </w:rPr>
            </w:pPr>
          </w:p>
        </w:tc>
        <w:tc>
          <w:tcPr>
            <w:tcW w:w="2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158"/>
        </w:trPr>
        <w:tc>
          <w:tcPr>
            <w:tcW w:w="80" w:type="dxa"/>
            <w:vAlign w:val="bottom"/>
          </w:tcPr>
          <w:p>
            <w:pPr>
              <w:spacing w:after="0"/>
              <w:rPr>
                <w:sz w:val="13"/>
                <w:szCs w:val="13"/>
                <w:color w:val="auto"/>
              </w:rPr>
            </w:pPr>
          </w:p>
        </w:tc>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orrowings</w:t>
            </w:r>
          </w:p>
        </w:tc>
        <w:tc>
          <w:tcPr>
            <w:tcW w:w="2760" w:type="dxa"/>
            <w:vAlign w:val="bottom"/>
            <w:tcBorders>
              <w:top w:val="single" w:sz="8" w:color="CCEEFF"/>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451,545$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381,304</w:t>
            </w:r>
          </w:p>
        </w:tc>
      </w:tr>
    </w:tbl>
    <w:p>
      <w:pPr>
        <w:spacing w:after="0" w:line="216" w:lineRule="exact"/>
        <w:rPr>
          <w:sz w:val="20"/>
          <w:szCs w:val="20"/>
          <w:color w:val="auto"/>
        </w:rPr>
      </w:pPr>
    </w:p>
    <w:p>
      <w:pPr>
        <w:ind w:left="80"/>
        <w:spacing w:after="0"/>
        <w:rPr>
          <w:sz w:val="20"/>
          <w:szCs w:val="20"/>
          <w:color w:val="auto"/>
        </w:rPr>
      </w:pPr>
      <w:r>
        <w:rPr>
          <w:rFonts w:ascii="Arial" w:cs="Arial" w:eastAsia="Arial" w:hAnsi="Arial"/>
          <w:sz w:val="12"/>
          <w:szCs w:val="12"/>
          <w:i w:val="1"/>
          <w:iCs w:val="1"/>
          <w:color w:val="auto"/>
        </w:rPr>
        <w:t>Credit Facility</w:t>
      </w:r>
    </w:p>
    <w:p>
      <w:pPr>
        <w:spacing w:after="0" w:line="168" w:lineRule="exact"/>
        <w:rPr>
          <w:sz w:val="20"/>
          <w:szCs w:val="20"/>
          <w:color w:val="auto"/>
        </w:rPr>
      </w:pPr>
    </w:p>
    <w:p>
      <w:pPr>
        <w:jc w:val="both"/>
        <w:ind w:left="80" w:firstLine="432"/>
        <w:spacing w:after="0" w:line="256" w:lineRule="auto"/>
        <w:rPr>
          <w:sz w:val="20"/>
          <w:szCs w:val="20"/>
          <w:color w:val="auto"/>
        </w:rPr>
      </w:pPr>
      <w:r>
        <w:rPr>
          <w:rFonts w:ascii="Arial" w:cs="Arial" w:eastAsia="Arial" w:hAnsi="Arial"/>
          <w:sz w:val="12"/>
          <w:szCs w:val="12"/>
          <w:color w:val="auto"/>
        </w:rPr>
        <w:t>In August 2016, CSWC entered into a senior secured credit facility (as amended, restated, supplemented or otherwise modified from time to time, the “Credit Facility”) to provide additional liquidity to support its investment and operational activities. The Credit Facility contains an accordion feature that allows CSWC to increase the total commitments under the Credit Facility up to $400 million from new and existing lenders on the same terms and conditions as the existing commitments. Borrowings under the Credit Facility accrue interest on a per annum basis at a rate equal to the applicable LIBOR rate plus 2.50% with no LIBOR floor. CSWC pays unused commitment fees of 0.50% to 1.00% per annum, based on utilization, on the unused lender commitments under the Credit Facility. The total borrowing capacity under the Credit Facility is $340 million, with commitments from a diversified group of nine lenders.</w:t>
      </w:r>
    </w:p>
    <w:p>
      <w:pPr>
        <w:spacing w:after="0" w:line="146" w:lineRule="exact"/>
        <w:rPr>
          <w:sz w:val="20"/>
          <w:szCs w:val="20"/>
          <w:color w:val="auto"/>
        </w:rPr>
      </w:pPr>
    </w:p>
    <w:p>
      <w:pPr>
        <w:jc w:val="both"/>
        <w:ind w:left="80" w:firstLine="432"/>
        <w:spacing w:after="0" w:line="263" w:lineRule="auto"/>
        <w:rPr>
          <w:sz w:val="20"/>
          <w:szCs w:val="20"/>
          <w:color w:val="auto"/>
        </w:rPr>
      </w:pPr>
      <w:r>
        <w:rPr>
          <w:rFonts w:ascii="Arial" w:cs="Arial" w:eastAsia="Arial" w:hAnsi="Arial"/>
          <w:sz w:val="12"/>
          <w:szCs w:val="12"/>
          <w:color w:val="auto"/>
        </w:rPr>
        <w:t>The Credit Facility contains certain affirmative and negative covenants, including but not limited to: (1) certain reporting requirements, (2) maintaining RIC and BDC status, (3) maintaining a minimum senior coverage ratio of 2 to 1, (4) maintaining a minimum shareholders’ equity, (5) maintaining a minimum consolidated net worth, (6) maintaining a regulatory asset coverage of not less than 150%, (7) maintaining an interest coverage ratio of at least 2.25 to 1.0, and (8) at any time the outstanding advances exceed 90% of the borrowing base, maintaining a minimum liquidity of not less than 10% of the covered debt amount.</w:t>
      </w:r>
    </w:p>
    <w:p>
      <w:pPr>
        <w:spacing w:after="0" w:line="140" w:lineRule="exact"/>
        <w:rPr>
          <w:sz w:val="20"/>
          <w:szCs w:val="20"/>
          <w:color w:val="auto"/>
        </w:rPr>
      </w:pPr>
    </w:p>
    <w:p>
      <w:pPr>
        <w:jc w:val="both"/>
        <w:ind w:left="80" w:firstLine="432"/>
        <w:spacing w:after="0" w:line="263" w:lineRule="auto"/>
        <w:rPr>
          <w:sz w:val="20"/>
          <w:szCs w:val="20"/>
          <w:color w:val="auto"/>
        </w:rPr>
      </w:pPr>
      <w:r>
        <w:rPr>
          <w:rFonts w:ascii="Arial" w:cs="Arial" w:eastAsia="Arial" w:hAnsi="Arial"/>
          <w:sz w:val="12"/>
          <w:szCs w:val="12"/>
          <w:color w:val="auto"/>
        </w:rPr>
        <w:t>The Credit Facility also contains customary events of default, including, without limitation, nonpayment, misrepresentation of representations and warranties in a material respect, breach of covenant, bankruptcy, and change of control, with customary cure and notice provisions. If the Company defaults on its obligations under the Credit Facility, the lenders may have the right to foreclose upon and sell, or otherwise transfer, the collateral subject to their security interests.</w:t>
      </w:r>
    </w:p>
    <w:p>
      <w:pPr>
        <w:spacing w:after="0" w:line="140" w:lineRule="exact"/>
        <w:rPr>
          <w:sz w:val="20"/>
          <w:szCs w:val="20"/>
          <w:color w:val="auto"/>
        </w:rPr>
      </w:pPr>
    </w:p>
    <w:p>
      <w:pPr>
        <w:jc w:val="both"/>
        <w:ind w:left="80" w:firstLine="432"/>
        <w:spacing w:after="0" w:line="276" w:lineRule="auto"/>
        <w:rPr>
          <w:sz w:val="20"/>
          <w:szCs w:val="20"/>
          <w:color w:val="auto"/>
        </w:rPr>
      </w:pPr>
      <w:r>
        <w:rPr>
          <w:rFonts w:ascii="Arial" w:cs="Arial" w:eastAsia="Arial" w:hAnsi="Arial"/>
          <w:sz w:val="12"/>
          <w:szCs w:val="12"/>
          <w:color w:val="auto"/>
        </w:rPr>
        <w:t>The Credit Facility is secured by (1) substantially all of the present and future property and assets of the Company and the guarantors and (2) 100% of the equity interests in the Company’s wholly-owned subsidiary. As of June 30, 2021, substantially all of the Company’s assets were pledged as collateral for the Credit Facility, except for assets held in SBIC I.</w:t>
      </w:r>
    </w:p>
    <w:p>
      <w:pPr>
        <w:spacing w:after="0" w:line="133" w:lineRule="exact"/>
        <w:rPr>
          <w:sz w:val="20"/>
          <w:szCs w:val="20"/>
          <w:color w:val="auto"/>
        </w:rPr>
      </w:pPr>
    </w:p>
    <w:p>
      <w:pPr>
        <w:jc w:val="both"/>
        <w:ind w:left="80" w:firstLine="432"/>
        <w:spacing w:after="0" w:line="276" w:lineRule="auto"/>
        <w:rPr>
          <w:sz w:val="20"/>
          <w:szCs w:val="20"/>
          <w:color w:val="auto"/>
        </w:rPr>
      </w:pPr>
      <w:r>
        <w:rPr>
          <w:rFonts w:ascii="Arial" w:cs="Arial" w:eastAsia="Arial" w:hAnsi="Arial"/>
          <w:sz w:val="12"/>
          <w:szCs w:val="12"/>
          <w:color w:val="auto"/>
        </w:rPr>
        <w:t>At June 30, 2021, CSWC had $190.0 million in borrowings outstanding under the Credit Facility. CSWC recognized interest expense related to the Credit Facility, including unused commitment fees and amortization of deferred loan costs, of $1.4 million for the three months ended June 30, 2021. For the three months ended June 30, 2020,</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380"/>
          </w:cols>
          <w:pgMar w:left="220" w:top="140" w:right="299" w:bottom="1440" w:gutter="0" w:footer="0" w:header="0"/>
        </w:sectPr>
      </w:pPr>
    </w:p>
    <w:bookmarkStart w:id="47" w:name="page48"/>
    <w:bookmarkEnd w:id="47"/>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CSWC recognized interest expense of $1.9 million. The weighted average interest rate on the Credit Facility was 2.71% for the three months ended June 30, 2021. For the three months ended June 30, 2020, the weighted average interest rate on the Credit Facility was 3.68%. Average borrowings for the three months ended June 30, 2021 were $137.3 million. For the three months ended June 30, 2020, average borrowings were $162.9 million. As of June 30, 2021, CSWC was in compliance with all financial covenants under the Credit Facility.</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December 2022 Notes</w:t>
      </w:r>
    </w:p>
    <w:p>
      <w:pPr>
        <w:spacing w:after="0" w:line="16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In December 2017, the Company issued $57.5 million in aggregate principal amount, including the underwriters’ full exercise of their option to purchase additional principal amounts to cover over-allotments, of 5.95% Notes due 2022 (the “December 2022 Notes”). The December 2022 Notes bore interest at a rate of 5.95% per year, payable quarterly on March 15, June 15, September 15 and December 15 of each year, beginning on March 15, 2018.</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June 11, 2018, the Company entered into an ATM debt distribution agreement, pursuant to which it may offer for sale, from time to time, up to $50 million in aggregate principal amount of December 2022 Notes through B. Riley FBR, Inc., acting as its sales agent. The Company issued an additional $19.6 million in aggregate principal amount of the December 2022 Notes under this agreement. All issuances of December 2022 Notes ranked equally in right of payment and form a single series of notes.</w:t>
      </w:r>
    </w:p>
    <w:p>
      <w:pPr>
        <w:spacing w:after="0" w:line="140"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On September 29, 2020, the Company redeemed $20,000,000 in aggregate principal of the $77,136,175 in aggregate principal amount of issued and outstanding December 2022 Notes. On December 10, 2020, the Company redeemed $20,000,000 in aggregate principal of the $57,136,175 in aggregate principal amount of issued and outstanding December 2022 Notes. On January 21, 2021, the Company redeemed the remaining $37,136,175 in aggregate principal amount of issued and outstanding December 2022 Notes. The December 2022 Notes were redeemed at 100% of their principal amount, plus the accrued and unpaid interest thereon, through, but excluding each of the redemption dates. Accordingly, the Company recognized realized losses on extinguishment of debt, equal to the write-off of the related unamortized debt issuance costs, of $1.0 million during the year ended March 31, 2021.</w:t>
      </w:r>
    </w:p>
    <w:p>
      <w:pPr>
        <w:spacing w:after="0" w:line="11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Company recognized interest expense related to the December 2022 Notes, including amortization of deferred issuance costs of $1.3 million for the three months ended June 30, 2020. Average borrowings for the three months ended June 30, 2020 were $77.1 million. The December 2022 Notes had a weighted average effective yield of 5.93%.</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October 2024 Notes</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September 2019, the Company issued $65.0 million in aggregate principal amount of 5.375% Notes due 2024 (the “Existing October 2024 Notes”). In October 2019, the Company issued an additional $10.0 million in aggregate principal amount of the October 2024 Notes (the "Additional October 2024 Notes"). In August 2020, the Company issued an additional $50.0 million in aggregate principal amount of the October 2024 Notes (the "New Notes" together with the Existing October 2024 Notes and the Additional October 2024 Notes, the "October 2024 Notes"). The Additional October 2024 Notes and the New Notes are being treated as a single series with the Existing October 2024 Notes under the indenture and have the same terms as the Existing October 2024 Notes. The October 2024 Notes mature on October 1, 2024 and may be redeemed in whole or in part at any time prior to July 1, 2024, at par plus a “make-whole” premium, and thereafter at par. The October 2024 Notes bear interest at a rate of 5.375% per year, payable semi-annually on April 1 and October 1 of each year, beginning on April 1, 2020. The October 2024 Notes are the direct unsecured obligations of the Company and rank pari passu with our other outstanding and future unsecured unsubordinated indebtedness and are effectively subordinated to all of our existing and future secured indebtedness, including borrowings under our Credit Facility.</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of June 30, 2021, the carrying amount of the October 2024 Notes was $123.0 million on an aggregate principal amount of $125.0 million at a weighted average effective yield of 5.375%. As of June 30, 2021, the fair value of the October 2024 Notes was $123.7 million. This is a Level 3 fair value measurement under ASC 820 based on a valuation model using a discounted cash flow analysis. The Company recognized interest expense related to the October 2024 Notes, including amortization of deferred issuance costs, of $1.8 million for the three months ended June 30, 2021. For the three months ended June 30, 2020, the Company recognized interest expense of $1.1 million. For the three months ended June 30, 2021 and 2020, average borrowings were $125.0 million and $75.0 million, respectively.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00"/>
          </w:cols>
          <w:pgMar w:left="300" w:top="140" w:right="299" w:bottom="1440" w:gutter="0" w:footer="0" w:header="0"/>
        </w:sectPr>
      </w:pPr>
    </w:p>
    <w:bookmarkStart w:id="48" w:name="page49"/>
    <w:bookmarkEnd w:id="48"/>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ind w:left="8" w:firstLine="432"/>
        <w:spacing w:after="0" w:line="309" w:lineRule="auto"/>
        <w:rPr>
          <w:sz w:val="20"/>
          <w:szCs w:val="20"/>
          <w:color w:val="auto"/>
        </w:rPr>
      </w:pPr>
      <w:r>
        <w:rPr>
          <w:rFonts w:ascii="Arial" w:cs="Arial" w:eastAsia="Arial" w:hAnsi="Arial"/>
          <w:sz w:val="10"/>
          <w:szCs w:val="10"/>
          <w:color w:val="auto"/>
        </w:rPr>
        <w:t>The indenture governing the October 2024 Notes contains certain covenants, including certain covenants requiring the Company to comply with Section 18(a)(1)(A) as modified by Section 61(a)(2) of the 1940 Act, or any successor provisions, whether or not the Company continues to be subject to such provisions of the 1940 Act, but giving effect, in either case, to any exemptive relief granted to the Company by the SEC, to comply with Section 18(a)(1)</w:t>
      </w:r>
    </w:p>
    <w:p>
      <w:pPr>
        <w:spacing w:after="0" w:line="1" w:lineRule="exact"/>
        <w:rPr>
          <w:sz w:val="20"/>
          <w:szCs w:val="20"/>
          <w:color w:val="auto"/>
        </w:rPr>
      </w:pPr>
    </w:p>
    <w:p>
      <w:pPr>
        <w:jc w:val="both"/>
        <w:ind w:left="8" w:hanging="8"/>
        <w:spacing w:after="0" w:line="255" w:lineRule="auto"/>
        <w:tabs>
          <w:tab w:leader="none" w:pos="212" w:val="left"/>
        </w:tabs>
        <w:numPr>
          <w:ilvl w:val="0"/>
          <w:numId w:val="42"/>
        </w:numPr>
        <w:rPr>
          <w:rFonts w:ascii="Arial" w:cs="Arial" w:eastAsia="Arial" w:hAnsi="Arial"/>
          <w:sz w:val="12"/>
          <w:szCs w:val="12"/>
          <w:color w:val="auto"/>
        </w:rPr>
      </w:pPr>
      <w:r>
        <w:rPr>
          <w:rFonts w:ascii="Arial" w:cs="Arial" w:eastAsia="Arial" w:hAnsi="Arial"/>
          <w:sz w:val="12"/>
          <w:szCs w:val="12"/>
          <w:color w:val="auto"/>
        </w:rPr>
        <w:t>as modified by Section 61(a)(2) of the 1940 Act, or any successor provisions, after giving effect to any exemptive relief granted to the Company by the SEC and subject to certain other exceptions, and to provide financial information to the holders of the October 2024 Notes and the trustee under the indenture if the Company is no longer subject to the reporting requirements under the Exchange Act. These covenants are subject to important limitations and exceptions that are described in the indenture and the second supplemental indenture relating to the October 2024 Notes.</w:t>
      </w:r>
    </w:p>
    <w:p>
      <w:pPr>
        <w:spacing w:after="0" w:line="14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In addition, holders of the Notes can require the Company to repurchase some or all of the October 2024 Notes at a purchase price equal to 100% of their principal amount, plus accrued and unpaid interest to, but not including, the repurchase date upon the occurrence of a “Change of Control Repurchase Event,” as defined in the second supplemental indenture relating to the October 2024 Notes.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January 2026 Notes</w:t>
      </w:r>
    </w:p>
    <w:p>
      <w:pPr>
        <w:spacing w:after="0" w:line="168"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In December 2020, the Company issued $75.0 million in aggregate principal amount of 4.50% Notes due 2026 (the "Existing January 2026 Notes"). In February 2021, the Company issued an additional $65.0 million in aggregate principal amount of the January 2026 Notes (the "Additional January 2026 Notes" together with the Existing January 2026 Notes, the "January 2026 Notes"). The Additional January 2026 Notes were issued at a price of 102.11% of the aggregate principal amount of the Additional January 2026 Notes, resulting in a yield-to-maturity of approximately 4.0% at issuance. The January 2026 Notes mature on January 31, 2026 and may be redeemed in whole or in part at any time prior to October 31, 2025, at par plus a "make-whole" premium, and thereafter at par. The January 2026 Notes bear interest at a rate of 4.50% per year, payable semi-annually on January 31 and July 31 of each year, beginning on July 31, 2021. The January 2026 Notes are the direct unsecured obligations of the Company and rank pari passu with our other outstanding and future unsecured unsubordinated indebtedness and are effectively subordinated to all of our existing and future secured indebtedness, including borrowings under our Credit Facility.</w:t>
      </w:r>
    </w:p>
    <w:p>
      <w:pPr>
        <w:spacing w:after="0" w:line="146" w:lineRule="exact"/>
        <w:rPr>
          <w:sz w:val="20"/>
          <w:szCs w:val="20"/>
          <w:color w:val="auto"/>
        </w:rPr>
      </w:pPr>
    </w:p>
    <w:p>
      <w:pPr>
        <w:jc w:val="both"/>
        <w:ind w:left="8" w:right="20" w:firstLine="432"/>
        <w:spacing w:after="0" w:line="298" w:lineRule="auto"/>
        <w:rPr>
          <w:sz w:val="20"/>
          <w:szCs w:val="20"/>
          <w:color w:val="auto"/>
        </w:rPr>
      </w:pPr>
      <w:r>
        <w:rPr>
          <w:rFonts w:ascii="Arial" w:cs="Arial" w:eastAsia="Arial" w:hAnsi="Arial"/>
          <w:sz w:val="11"/>
          <w:szCs w:val="11"/>
          <w:color w:val="auto"/>
        </w:rPr>
        <w:t>As of June 30, 2021, the carrying amount of the January 2026 Notes was $138.5 million on an aggregate principal amount of $140.0 million at a weighted average effective yield of 4.46%. As of June 30, 2021, the fair value of the January 2026 Notes was $138.9 million. This is a Level 3 fair value measurement under ASC 820 based on a valuation model using a discounted cash flow analysis. The Company recognized interest expense related to the January 2026 Notes, including amortization of deferred issuance costs, of $1.7 million for the three months ended June 30, 2021. For the three months ended June 30, 2021, average borrowings were $140.0 million.</w:t>
      </w:r>
    </w:p>
    <w:p>
      <w:pPr>
        <w:spacing w:after="0" w:line="123" w:lineRule="exact"/>
        <w:rPr>
          <w:sz w:val="20"/>
          <w:szCs w:val="20"/>
          <w:color w:val="auto"/>
        </w:rPr>
      </w:pPr>
    </w:p>
    <w:p>
      <w:pPr>
        <w:jc w:val="both"/>
        <w:ind w:left="8" w:firstLine="432"/>
        <w:spacing w:after="0" w:line="309" w:lineRule="auto"/>
        <w:rPr>
          <w:sz w:val="20"/>
          <w:szCs w:val="20"/>
          <w:color w:val="auto"/>
        </w:rPr>
      </w:pPr>
      <w:r>
        <w:rPr>
          <w:rFonts w:ascii="Arial" w:cs="Arial" w:eastAsia="Arial" w:hAnsi="Arial"/>
          <w:sz w:val="10"/>
          <w:szCs w:val="10"/>
          <w:color w:val="auto"/>
        </w:rPr>
        <w:t>The indenture governing the January 2026 Notes contains certain covenants, including certain covenants requiring the Company to comply with Section 18(a)(1)(A) as modified by Section 61(a)(2) of the 1940 Act, or any successor provisions, whether or not the Company continues to be subject to such provisions of the 1940 Act, but giving effect, in either case, to any exemptive relief granted to the Company by the SEC, to comply with Section 18(a)(1)</w:t>
      </w:r>
    </w:p>
    <w:p>
      <w:pPr>
        <w:spacing w:after="0" w:line="1" w:lineRule="exact"/>
        <w:rPr>
          <w:sz w:val="20"/>
          <w:szCs w:val="20"/>
          <w:color w:val="auto"/>
        </w:rPr>
      </w:pPr>
    </w:p>
    <w:p>
      <w:pPr>
        <w:jc w:val="both"/>
        <w:ind w:left="8" w:hanging="8"/>
        <w:spacing w:after="0" w:line="255" w:lineRule="auto"/>
        <w:tabs>
          <w:tab w:leader="none" w:pos="212" w:val="left"/>
        </w:tabs>
        <w:numPr>
          <w:ilvl w:val="0"/>
          <w:numId w:val="43"/>
        </w:numPr>
        <w:rPr>
          <w:rFonts w:ascii="Arial" w:cs="Arial" w:eastAsia="Arial" w:hAnsi="Arial"/>
          <w:sz w:val="12"/>
          <w:szCs w:val="12"/>
          <w:color w:val="auto"/>
        </w:rPr>
      </w:pPr>
      <w:r>
        <w:rPr>
          <w:rFonts w:ascii="Arial" w:cs="Arial" w:eastAsia="Arial" w:hAnsi="Arial"/>
          <w:sz w:val="12"/>
          <w:szCs w:val="12"/>
          <w:color w:val="auto"/>
        </w:rPr>
        <w:t>as modified by Section 61(a)(2) of the 1940 Act, or any successor provisions, after giving effect to any exemptive relief granted to the Company by the SEC and subject to certain other exceptions, and to provide financial information to the holders of the January 2026 Notes and the trustee under the indenture if the Company is no longer subject to the reporting requirements under the Exchange Act. These covenants are subject to important limitations and exceptions that are described in the indenture and the third supplemental indenture relating to the January 2026 Notes.</w:t>
      </w:r>
    </w:p>
    <w:p>
      <w:pPr>
        <w:spacing w:after="0" w:line="145"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In addition, holders of the Notes can require the Company to repurchase some or all of the January 2026 Notes at a purchase price equal to 100% of their principal amount, plus accrued and unpaid interest to, but not including, the repurchase date upon the occurrence of a “Change of Control Repurchase Event,” as defined in the third supplemental indenture relating to the January 2026 Notes.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SBA Debentures</w:t>
      </w:r>
    </w:p>
    <w:p>
      <w:pPr>
        <w:spacing w:after="0" w:line="16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On April 20, 2021, SBIC I received a license from the SBA to operate as an SBIC under Section 301(c) of the Small Business Investment Act of 1958, as amended. The license will allow SBIC I to obtain leverage by issuing SBA-guaranteed debentures, subject to the issuance of a leverage commitment by the SBA. SBA debentures are loans issued to an SBIC which have interest payable semi-annually and a ten-year maturity. The interest rate is fixed shortly after</w:t>
      </w: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8"/>
          </w:cols>
          <w:pgMar w:left="292" w:top="140" w:right="299" w:bottom="1440" w:gutter="0" w:footer="0" w:header="0"/>
        </w:sectPr>
      </w:pPr>
    </w:p>
    <w:bookmarkStart w:id="49" w:name="page50"/>
    <w:bookmarkEnd w:id="49"/>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issuance at a market-driven spread over U.S. Treasury Notes with ten-year maturities. Current statutes and regulations permit SBIC I to borrow up to $175 million in SBA debentures.</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On May 25, 2021, SBIC I received a leverage commitment from the SBA in the amount of $40.0 million to be issued on or prior to September 30, 2025.</w:t>
      </w:r>
    </w:p>
    <w:p>
      <w:pPr>
        <w:spacing w:after="0" w:line="168" w:lineRule="exact"/>
        <w:rPr>
          <w:sz w:val="20"/>
          <w:szCs w:val="20"/>
          <w:color w:val="auto"/>
        </w:rPr>
      </w:pPr>
    </w:p>
    <w:p>
      <w:pPr>
        <w:ind w:left="208" w:hanging="208"/>
        <w:spacing w:after="0"/>
        <w:tabs>
          <w:tab w:leader="none" w:pos="208"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INCOME TAXES</w:t>
      </w:r>
    </w:p>
    <w:p>
      <w:pPr>
        <w:spacing w:after="0" w:line="168"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We have elected, and intend to qualify annually, to be treated as a RIC under Subchapter M of the Code and have a tax year end of December 31. In order to qualify as a RIC, we must annually distribute at least 90% of our investment company taxable income, as defined by the Code, to our shareholders in a timely manner. Investment company income generally includes net short-term capital gains but excludes net long-term capital gains. A RIC is not subject to federal income tax on the portion of its ordinary income and capital gains that is distributed to its shareholders, including “deemed distributions” as discussed below. As part of maintaining RIC tax treatment, undistributed taxable income and capital gain, which is subject to a 4% non-deductible U.S. federal excise tax, pertaining to a given fiscal year may be distributed up to 12 months subsequent to the end of that fiscal year, provided such dividends are declared on or prior to the later of (1) the filing of the U.S. federal income tax return for the applicable fiscal year and (2) the fifteenth day of the ninth month following the close of the year in which such taxable income was generated. We intend to distribute to our stockholders, after consideration and application of our ability under the Code to carry forward certain excess undistributed taxable income from one tax year into the next tax year, substantially all of our taxable income.</w:t>
      </w:r>
    </w:p>
    <w:p>
      <w:pPr>
        <w:spacing w:after="0" w:line="14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As of June 30, 2021, CSWC qualified for RIC tax treatment. We intend to meet the applicable qualifications to be taxed as a RIC in future periods. However, the Company’s ability to meet certain portfolio diversification requirements of RICs in future years may not be controllable by the Company.</w:t>
      </w:r>
    </w:p>
    <w:p>
      <w:pPr>
        <w:spacing w:after="0" w:line="133"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The determination of the tax attributes for CSWC’s distributions is made annually, based upon its taxable income for the full year and distributions paid for the full year. Therefore, any determination made on an interim basis is forward-looking based on currently available facts, rules and assumptions and may not be representative of the actual tax attributes of distributions for a full year.</w:t>
      </w:r>
    </w:p>
    <w:p>
      <w:pPr>
        <w:spacing w:after="0" w:line="133"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During the quarter ended March 31, 2021, CSWC declared total dividends of $10.9 million, or $0.52 per share ($0.42 per share in regular dividends and $0.10 in supplemental dividends). During the quarter ended June 30, 2021, CSWC declared total dividends of $11.5 million, or $0.53 per share ($0.43 per share in regular dividends and $0.10 in supplemental dividends).</w:t>
      </w:r>
    </w:p>
    <w:p>
      <w:pPr>
        <w:spacing w:after="0" w:line="13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Ordinary dividend distributions from a RIC do not qualify for the 20% maximum tax rate on dividend income from domestic corporations and qualified foreign corporations, except to the extent that the RIC received the income in the form of qualifying dividends from domestic corporations and qualified foreign corporations. The tax attributes for distributions will generally include both ordinary income and capital gains, but may also include qualified dividends or return of capital.</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reconciles net increase in net assets resulting from operations to estimated RIC taxable income for the three months ended June 30, 2021 and 2020:</w:t>
      </w:r>
    </w:p>
    <w:p>
      <w:pPr>
        <w:spacing w:after="0" w:line="200" w:lineRule="exact"/>
        <w:rPr>
          <w:sz w:val="20"/>
          <w:szCs w:val="20"/>
          <w:color w:val="auto"/>
        </w:rPr>
      </w:pPr>
    </w:p>
    <w:p>
      <w:pPr>
        <w:spacing w:after="0" w:line="3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308"/>
          </w:cols>
          <w:pgMar w:left="292" w:top="140" w:right="299" w:bottom="1440" w:gutter="0" w:footer="0" w:header="0"/>
        </w:sectPr>
      </w:pPr>
    </w:p>
    <w:bookmarkStart w:id="50" w:name="page51"/>
    <w:bookmarkEnd w:id="50"/>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Three Months Ended June 30,</w:t>
            </w:r>
          </w:p>
        </w:tc>
        <w:tc>
          <w:tcPr>
            <w:tcW w:w="980" w:type="dxa"/>
            <w:vAlign w:val="bottom"/>
          </w:tcPr>
          <w:p>
            <w:pPr>
              <w:spacing w:after="0"/>
              <w:rPr>
                <w:sz w:val="10"/>
                <w:szCs w:val="10"/>
                <w:color w:val="auto"/>
              </w:rPr>
            </w:pPr>
          </w:p>
        </w:tc>
      </w:tr>
      <w:tr>
        <w:trPr>
          <w:trHeight w:val="188"/>
        </w:trPr>
        <w:tc>
          <w:tcPr>
            <w:tcW w:w="79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Reconciliation of RIC Distributable Income</w:t>
            </w:r>
            <w:r>
              <w:rPr>
                <w:rFonts w:ascii="Arial" w:cs="Arial" w:eastAsia="Arial" w:hAnsi="Arial"/>
                <w:sz w:val="15"/>
                <w:szCs w:val="15"/>
                <w:b w:val="1"/>
                <w:bCs w:val="1"/>
                <w:color w:val="auto"/>
                <w:vertAlign w:val="superscript"/>
              </w:rPr>
              <w:t>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61"/>
              <w:spacing w:after="0"/>
              <w:rPr>
                <w:sz w:val="20"/>
                <w:szCs w:val="20"/>
                <w:color w:val="auto"/>
              </w:rPr>
            </w:pPr>
            <w:r>
              <w:rPr>
                <w:rFonts w:ascii="Arial" w:cs="Arial" w:eastAsia="Arial" w:hAnsi="Arial"/>
                <w:sz w:val="10"/>
                <w:szCs w:val="10"/>
                <w:b w:val="1"/>
                <w:bCs w:val="1"/>
                <w:color w:val="auto"/>
              </w:rPr>
              <w:t>2020</w:t>
            </w:r>
          </w:p>
        </w:tc>
      </w:tr>
      <w:tr>
        <w:trPr>
          <w:trHeight w:val="142"/>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net assets from operations</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15,142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8,877</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Net unrealized appreciation on investments</w:t>
            </w: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(7,051)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(7,605)</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Income/gain (expense/loss) recognized for tax on pass-through entities</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Loss recognized on dispositions</w:t>
            </w: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152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192</w:t>
            </w:r>
          </w:p>
        </w:tc>
      </w:tr>
      <w:tr>
        <w:trPr>
          <w:trHeight w:val="153"/>
        </w:trPr>
        <w:tc>
          <w:tcPr>
            <w:tcW w:w="79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Capital loss carryover</w:t>
            </w:r>
            <w:r>
              <w:rPr>
                <w:rFonts w:ascii="Arial" w:cs="Arial" w:eastAsia="Arial" w:hAnsi="Arial"/>
                <w:sz w:val="15"/>
                <w:szCs w:val="15"/>
                <w:color w:val="auto"/>
                <w:vertAlign w:val="superscript"/>
              </w:rPr>
              <w:t>2</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5,590</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Net operating income - management company and taxable subsidiary</w:t>
            </w: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(1,826)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Non-deductible tax expense</w:t>
            </w: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Non-deductible compensation</w:t>
            </w: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884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Other book/tax differences</w:t>
            </w:r>
          </w:p>
        </w:tc>
        <w:tc>
          <w:tcPr>
            <w:tcW w:w="4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1,254</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w:t>
            </w:r>
          </w:p>
        </w:tc>
      </w:tr>
      <w:tr>
        <w:trPr>
          <w:trHeight w:val="142"/>
        </w:trPr>
        <w:tc>
          <w:tcPr>
            <w:tcW w:w="7920" w:type="dxa"/>
            <w:vAlign w:val="bottom"/>
          </w:tcPr>
          <w:p>
            <w:pPr>
              <w:spacing w:after="0"/>
              <w:rPr>
                <w:sz w:val="20"/>
                <w:szCs w:val="20"/>
                <w:color w:val="auto"/>
              </w:rPr>
            </w:pPr>
            <w:r>
              <w:rPr>
                <w:rFonts w:ascii="Arial" w:cs="Arial" w:eastAsia="Arial" w:hAnsi="Arial"/>
                <w:sz w:val="12"/>
                <w:szCs w:val="12"/>
                <w:color w:val="auto"/>
              </w:rPr>
              <w:t>Estimated distributable income before deductions for distributions</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10,437</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6,961</w:t>
            </w:r>
          </w:p>
        </w:tc>
      </w:tr>
      <w:tr>
        <w:trPr>
          <w:trHeight w:val="20"/>
        </w:trPr>
        <w:tc>
          <w:tcPr>
            <w:tcW w:w="7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20" w:hanging="212"/>
        <w:spacing w:after="0"/>
        <w:tabs>
          <w:tab w:leader="none" w:pos="420" w:val="left"/>
        </w:tabs>
        <w:numPr>
          <w:ilvl w:val="0"/>
          <w:numId w:val="45"/>
        </w:numPr>
        <w:rPr>
          <w:rFonts w:ascii="Arial" w:cs="Arial" w:eastAsia="Arial" w:hAnsi="Arial"/>
          <w:sz w:val="14"/>
          <w:szCs w:val="14"/>
          <w:color w:val="auto"/>
          <w:vertAlign w:val="superscript"/>
        </w:rPr>
      </w:pPr>
      <w:r>
        <w:rPr>
          <w:rFonts w:ascii="Arial" w:cs="Arial" w:eastAsia="Arial" w:hAnsi="Arial"/>
          <w:sz w:val="11"/>
          <w:szCs w:val="11"/>
          <w:color w:val="auto"/>
        </w:rPr>
        <w:t>The calculation of taxable income for each period is an estimate and will not be finally determined until the Company files its tax return each year. Final taxable income may be different than this estimate.</w:t>
      </w:r>
    </w:p>
    <w:p>
      <w:pPr>
        <w:ind w:left="420" w:hanging="212"/>
        <w:spacing w:after="0" w:line="224" w:lineRule="auto"/>
        <w:tabs>
          <w:tab w:leader="none" w:pos="420" w:val="left"/>
        </w:tabs>
        <w:numPr>
          <w:ilvl w:val="0"/>
          <w:numId w:val="46"/>
        </w:numPr>
        <w:rPr>
          <w:rFonts w:ascii="Arial" w:cs="Arial" w:eastAsia="Arial" w:hAnsi="Arial"/>
          <w:sz w:val="13"/>
          <w:szCs w:val="13"/>
          <w:color w:val="auto"/>
          <w:vertAlign w:val="superscript"/>
        </w:rPr>
      </w:pPr>
      <w:r>
        <w:rPr>
          <w:rFonts w:ascii="Arial" w:cs="Arial" w:eastAsia="Arial" w:hAnsi="Arial"/>
          <w:sz w:val="10"/>
          <w:szCs w:val="10"/>
          <w:color w:val="auto"/>
        </w:rPr>
        <w:t>At June 30, 2021, the Company had short-term capital loss carryforwards of $0.7 million and long-term capital loss carryforwards of $18.2 million to offset future capital gains. These capital loss carryforwards are not subject to expiration.</w:t>
      </w:r>
    </w:p>
    <w:p>
      <w:pPr>
        <w:spacing w:after="0" w:line="7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RIC may elect to retain all or a portion of its net capital gains by designating them as a “deemed distribution” to its shareholders and paying a federal tax on the net capital gains for the benefit of its shareholders. Shareholders then report their share of the retained capital gains on their income tax returns as if it had been received and report a tax credit for tax paid on their behalf by the RIC. Shareholders then add the amount of the “deemed distribution” net of such tax to the basis of their shares.</w:t>
      </w:r>
    </w:p>
    <w:p>
      <w:pPr>
        <w:spacing w:after="0" w:line="14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the tax year ended December 31, 2020, we distributed all long-term capital gains and therefore had no deemed distributions to our shareholders or federal taxes incurred related to such items. For the tax year ended December 31, 2019, we had net long-term capital gains of $42.2 million, of which $25.7 million was distributed to shareholders as capital gains dividends. We elected to retain net long-term capital gains of $16.5 million and designate the retained amount as a "deemed distribution" to our shareholders. As a result, we incurred federal taxes on the retained amount on behalf of our shareholders in the amount of $3.5 million for the tax year ended December 31, 2019. "Deemed distributions" are generally reclassified from accumulated net realized gains into additional capital after our tax year ends each December 31.</w:t>
      </w:r>
    </w:p>
    <w:p>
      <w:pPr>
        <w:spacing w:after="0" w:line="14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In addition, the Taxable Subsidiary holds a portion of one or more of our portfolio investments that are listed on the Consolidated Schedule of Investments. The Taxable Subsidiary is consolidated for financial reporting purposes in accordance with U.S. GAAP, so that our consolidated financial statements reflect our investments in the portfolio companies owned by the Taxable Subsidiary. The purpose of the Taxable Subsidiary is to permit us to hold certain interests in portfolio companies that are organized as limited liability companies, or LLCs (or other forms of pass-through entities) and still satisfy the RIC tax requirement that at least 90% of our gross income for U.S. federal income tax purposes must consist of qualifying investment income. Absent the Taxable Subsidiary, a proportionate amount of any gross income of a partnership or LLC (or other pass-through entity) portfolio investment would flow through directly to us. To the extent that our income did not consist of investment income, it could jeopardize our ability to qualify as a RIC and therefore cause us to incur significant amounts of corporate-level U.S. federal income taxes. Where interests in LLCs (or other pass-through entities) are owned by the Taxable Subsidiary, however, the income from those interests is taxed to the Taxable Subsidiary and does not flow through to us, thereby helping us preserve our RIC tax treatment and resultant tax advantages. The Taxable Subsidiary is not consolidated for U.S. federal income tax purposes and may generate income tax expense as a result of their ownership of the portfolio companies. The income tax expense, or benefit, and the related tax assets and liabilities, if any, are reflected in our Statement of Operations.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300"/>
          </w:cols>
          <w:pgMar w:left="300" w:top="140" w:right="299" w:bottom="1440" w:gutter="0" w:footer="0" w:header="0"/>
        </w:sectPr>
      </w:pPr>
    </w:p>
    <w:bookmarkStart w:id="51" w:name="page52"/>
    <w:bookmarkEnd w:id="51"/>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of June 30, 2021, the cost of investments held at the RIC for U.S. federal income tax purposes was $776.9 million, with such investments having gross unrealized appreciation of $26.6 million and gross unrealized depreciation of $47.7 million, resulting in net unrealized depreciation of $21.1 million. As of June 30, 2021, the cost of investments held at the Taxable Subsidiary for U.S. federal income tax purposes was $20.6 million, with such investments having gross unrealized appreciation of $19.7 million and gross unrealized depreciation of $2.1 million, resulting in net unrealized appreciation of $17.6 million. On a consolidated basis, the total investment portfolio has net unrealized depreciation of $3.5 million for U.S. federal income tax purposes.</w:t>
      </w:r>
    </w:p>
    <w:p>
      <w:pPr>
        <w:spacing w:after="0" w:line="14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CSMC, a former wholly-owned subsidiary of CSWC, was not a RIC, and was required to pay taxes at the current corporate rate. Effective December 31, 2020, CSMC merged with and into CSWC, which is not subject to corporate federal income taxes. For tax purposes, CSMC had elected to be treated as a taxable entity, and therefore was not consolidated for tax purposes and was taxed at normal corporate tax rates based on its taxable income and, as a result of its activities, may generate income tax expense or benefit. The Taxable Subsidiary is not a RIC and is required to pay taxes at the current corporate rate. For tax purposes, the Taxable Subsidiary has elected to be treated as a taxable entity, and therefore is not consolidated for tax purposes and is taxed at normal corporate tax rates based on its taxable income and, as a result of its activities, may generate income tax expense or benefit.</w:t>
      </w:r>
    </w:p>
    <w:p>
      <w:pPr>
        <w:spacing w:after="0" w:line="129"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The taxable income, or loss, of CSMC and the Taxable Subsidiary may differ from book income, or loss, due to temporary book and tax timing differences and permanent differences. This income tax expense, or benefit, if any, and the related tax assets and liabilities, are reflected in our consolidated financial statements. CSMC recorded bonus accruals on a quarterly basis. Deferred taxes related to the changes in the restoration plan and bonus accruals are also recorded on a quarterly basis. The Taxable Subsidiary records valuation adjustments related to its investments on a quarterly basis. Deferred taxes related to the unrealized gain/loss on investments are also recorded on a quarterly basis. A valuation allowance is provided against deferred tax assets when it is more likely than not that some portion or all of the deferred tax asset will not be realized. Establishing a valuation allowance of a deferred tax asset requires management to make estimates related to expectations of future taxable income. As of June 30, 2021 and March 31, 2021, the Taxable Subsidiary had a deferred tax liability of $4.0 million and $3.3 million, respectively.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Based on our assessment of our unrecognized tax benefits, management believes that all benefits will be realized and they do not contain any uncertain tax positions.</w:t>
      </w:r>
    </w:p>
    <w:p>
      <w:pPr>
        <w:spacing w:after="0" w:line="16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income tax expense, or benefit, and the related tax assets and liabilities, generated by CSWC, CSMC and the Taxable Subsidiary, if any, are reflected in CSWC’s consolidated financial statements. For the three months ended June 30, 2021, we recognized net income tax expense of $0.4 million, principally consisting of a $0.1 million accrual for U.S. federal excise tax on our estimated undistributed taxable income and $0.3 million of tax benefit (of which $0.1 million is current and $0.2 million is deferred) relating to the Taxable Subsidiary. For the three months ended June 30, 2020, we recognized net income tax expense of $0.4 million, principally consisting of a $0.2 million accrual for U.S. federal excise tax on our estimated undistributed taxable income, a provision for U.S. federal income taxes relating to CSMC of $0.1 million (all of which is deferred expense) and $0.1 million of deferred tax expense relating to our Taxable Subsidiary.</w:t>
      </w:r>
    </w:p>
    <w:p>
      <w:pPr>
        <w:spacing w:after="0" w:line="146"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Although we believe our tax returns are correct, the final determination of tax examinations could be different from what was reported on the returns. In our opinion, we have made adequate tax provisions for years subject to examination. Generally, we are currently open to audit under the statute of limitations by the Internal Revenue Service as well as state taxing authorities for the years ended December 31, 2016 through December 31,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0"/>
          </w:cols>
          <w:pgMar w:left="300" w:top="140" w:right="299" w:bottom="1440" w:gutter="0" w:footer="0" w:header="0"/>
        </w:sectPr>
      </w:pPr>
    </w:p>
    <w:bookmarkStart w:id="52" w:name="page53"/>
    <w:bookmarkEnd w:id="52"/>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208" w:hanging="208"/>
        <w:spacing w:after="0"/>
        <w:tabs>
          <w:tab w:leader="none" w:pos="208" w:val="left"/>
        </w:tabs>
        <w:numPr>
          <w:ilvl w:val="0"/>
          <w:numId w:val="47"/>
        </w:numPr>
        <w:rPr>
          <w:rFonts w:ascii="Arial" w:cs="Arial" w:eastAsia="Arial" w:hAnsi="Arial"/>
          <w:sz w:val="12"/>
          <w:szCs w:val="12"/>
          <w:color w:val="auto"/>
        </w:rPr>
      </w:pPr>
      <w:r>
        <w:rPr>
          <w:rFonts w:ascii="Arial" w:cs="Arial" w:eastAsia="Arial" w:hAnsi="Arial"/>
          <w:sz w:val="12"/>
          <w:szCs w:val="12"/>
          <w:color w:val="auto"/>
        </w:rPr>
        <w:t>SHAREHOLDERS' EQUITY</w:t>
      </w:r>
    </w:p>
    <w:p>
      <w:pPr>
        <w:spacing w:after="0" w:line="168" w:lineRule="exact"/>
        <w:rPr>
          <w:sz w:val="20"/>
          <w:szCs w:val="20"/>
          <w:color w:val="auto"/>
        </w:rPr>
      </w:pPr>
    </w:p>
    <w:p>
      <w:pPr>
        <w:jc w:val="both"/>
        <w:ind w:left="8" w:firstLine="432"/>
        <w:spacing w:after="0" w:line="277" w:lineRule="auto"/>
        <w:rPr>
          <w:sz w:val="20"/>
          <w:szCs w:val="20"/>
          <w:color w:val="auto"/>
        </w:rPr>
      </w:pPr>
      <w:r>
        <w:rPr>
          <w:rFonts w:ascii="Arial" w:cs="Arial" w:eastAsia="Arial" w:hAnsi="Arial"/>
          <w:sz w:val="11"/>
          <w:szCs w:val="11"/>
          <w:color w:val="auto"/>
        </w:rPr>
        <w:t>On October 26, 2010, we received an exemptive order from the SEC permitting us to issue restricted stock to our executive officers and certain of our employees (the “Original Order”) pursuant to the Capital Southwest Corporation 2010 Restricted Stock Award Plan (the “2010 Plan”). On August 22, 2017, we received the exemptive order that supersedes the Original Order (the “Order”) and in addition to the relief granted under the Original Order, allows us to withhold shares to satisfy tax withholding obligations related to the vesting of restricted stock granted pursuant to the 2010 Plan, and to pay the exercise price of options to purchase shares of our common stock granted pursuant to the 2009 Stock Incentive Plan (the “2009 Plan”). The right to grant restricted stock awards under the 2010 Plan terminated on July 18, 2021, ten years after the date that the 2010 Plan was approved by the Company’s shareholders pursuant to its terms. In connection with the termination of the 2010 Plan, the Company’s Board of Directors and stockholders approved the Capital Southwest Corporation 2021 Employee Restricted Stock Award Plan (the "2021 Employee Plan") as part of the compensation packages for its employees, the terms of which are, in all material respects, identical to the 2010 Plan. In connection therewith, on July 19, 2021, we received an exemptive order that supersedes the Order (the “Superseding Order”) to permit the Company to (i) issue restricted stock as part of the compensation package for its employees in the 2021 Employee Plan, and (ii) withhold shares of the Company’s common stock or purchase shares of the Company’s common stock from the participants to satisfy tax withholding obligations relating to the vesting of restricted stock pursuant to the 2021 Employee Plan. In addition, on March 29, 2021, we filed an exemptive application with the SEC to permit the Company to (i) issue restricted stock as part of the compensation package for non-employee directors of the Board of Directors (the “Non-Employee Directors”) under the Capital Southwest Corporation 2021 Non-Employee Director Restricted Stock Award Plan (the “Non-Employee Director Plan”), and (ii) withhold shares of the Company’s common stock or purchase shares of the Company’s common stock from the Non-Employee Directors to satisfy tax withholding obligations relating to the vesting of restricted stock pursuant to the Non-Employee Director Plan. There can be no assurance if and when the Company will receive the exemptive order relating to the Non-Employee Director Plan. The terms of the exemptive order, if received, is expected to be substantially similar to the Superseding Order. The Non-Employee Director Plan will also be subject to shareholder approval upon receipt of the exemptive order.</w:t>
      </w:r>
    </w:p>
    <w:p>
      <w:pPr>
        <w:spacing w:after="0" w:line="136"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During the three months ended June 30, 2021, the Company repurchased 20,450 shares at an aggregate cost of $0.5 million and a weighted average price per share of $26.43 in connection with the vesting of restricted stock awards. During the three months ended June 30, 2020, the Company repurchased 204 shares at an aggregate cost of $3.0 thousand and a weighted average price per share of $14.72 in connection with the vesting of restricted stock awards.</w:t>
      </w:r>
    </w:p>
    <w:p>
      <w:pPr>
        <w:spacing w:after="0" w:line="140"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On March 4, 2019, the Company established an "at-the-market" offering (the "Equity ATM Program") which the Company may offer and sell, from time to time through sales agents, shares of its common stock having an aggregate offering price of up to $50,000,000. On February 4, 2020, the Company (i) increased the maximum amount of shares of its common stock to be sold through the Equity ATM Program to $100,000,000 from $50,000,000 and</w:t>
      </w:r>
    </w:p>
    <w:p>
      <w:pPr>
        <w:spacing w:after="0" w:line="1" w:lineRule="exact"/>
        <w:rPr>
          <w:sz w:val="20"/>
          <w:szCs w:val="20"/>
          <w:color w:val="auto"/>
        </w:rPr>
      </w:pPr>
    </w:p>
    <w:p>
      <w:pPr>
        <w:jc w:val="both"/>
        <w:ind w:left="8" w:hanging="8"/>
        <w:spacing w:after="0" w:line="255" w:lineRule="auto"/>
        <w:tabs>
          <w:tab w:leader="none" w:pos="188" w:val="left"/>
        </w:tabs>
        <w:numPr>
          <w:ilvl w:val="0"/>
          <w:numId w:val="48"/>
        </w:numPr>
        <w:rPr>
          <w:rFonts w:ascii="Arial" w:cs="Arial" w:eastAsia="Arial" w:hAnsi="Arial"/>
          <w:sz w:val="12"/>
          <w:szCs w:val="12"/>
          <w:color w:val="auto"/>
        </w:rPr>
      </w:pPr>
      <w:r>
        <w:rPr>
          <w:rFonts w:ascii="Arial" w:cs="Arial" w:eastAsia="Arial" w:hAnsi="Arial"/>
          <w:sz w:val="12"/>
          <w:szCs w:val="12"/>
          <w:color w:val="auto"/>
        </w:rPr>
        <w:t>added two additional sales agents to the Equity ATM Program. On May 26, 2021, the Company (i) increased the maximum amount of shares of its common stock to be sold through the Equity ATM Program to $250,000,000 from $100,000,000 and (ii) reduced the commission paid to the sales agents for the Equity ATM Program to 1.5% from 2.0% of the gross sales price of shares of the Company's common stock sold through the sales agents pursuant to the Equity ATM Program on and after May 26, 2021.</w:t>
      </w:r>
    </w:p>
    <w:p>
      <w:pPr>
        <w:spacing w:after="0" w:line="145"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During the three months ended June 30, 2021, the Company sold 1,077,309 shares of its common stock under the Equity ATM Program at a weighted-average price of $26.10 per share, raising $28.1 million of gross proceeds. Net proceeds were $27.7 million after commissions to the sales agents on shares sold. Of these proceeds, $4.9 million remained receivable and is included in Other Receivables in the Consolidated Statement of Assets and Liabilities as of June 30, 2021. The cash proceeds were received subsequent to quarter end on July 1 and July 2, 2021. During the three months ended June 30, 2020, the Company sold 373,177 shares of its common stock under the Equity ATM Program at a weighted-average price of $15.38 per share, raising $5.7 million of gross proceeds. Net proceeds were $5.6 million after commissions to the sales agents on shares sold.</w:t>
      </w:r>
    </w:p>
    <w:p>
      <w:pPr>
        <w:spacing w:after="0" w:line="12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Cumulative to date, the Company has sold 5,382,938 shares of its common stock under the Equity ATM Program at a weighted-average price of $20.80, raising $111.9 million of gross proceeds. Net proceeds were $109.9 million after commissions to the sales agents on shares sold. As of June 30, 2021, the Company has $138.1 million available under the Equity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08"/>
          </w:cols>
          <w:pgMar w:left="292" w:top="140" w:right="299" w:bottom="1440" w:gutter="0" w:footer="0" w:header="0"/>
        </w:sectPr>
      </w:pPr>
    </w:p>
    <w:bookmarkStart w:id="53" w:name="page54"/>
    <w:bookmarkEnd w:id="53"/>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Share Repurchase Program</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In January 2016, the Company’s Board of Directors approved a share repurchase program authorizing the Company to repurchase up to $10 million of its outstanding shares of common stock in the open market at certain thresholds below its NAV per share, in accordance with guidelines specified in Rules 10b5-1(c)(1)(i)(B) and 10b-18 under the Exchange Act. On March 1, 2016, the Company entered into a share repurchase agreement, which became effective immediately and terminated on March 26, 2020 upon the Company's purchase of the aggregate gross dollar amount (inclusive of commission fees) of its common stock under the share repurchase program meeting the threshold set forth in the share repurchase agreement.</w:t>
      </w:r>
    </w:p>
    <w:p>
      <w:pPr>
        <w:spacing w:after="0" w:line="142"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On July 28, 2021, the Company's Board of Directors approved a share repurchase program authorizing the Company to repurchase up to $20 million of its outstanding shares of common stock in the open market at certain thresholds below its NAV per share, in accordance with guidelines specified in Rules 10b5-1(c)(1)(i)(B) and 10b-18 under the Exchange Act.</w:t>
      </w:r>
    </w:p>
    <w:p>
      <w:pPr>
        <w:spacing w:after="0" w:line="133" w:lineRule="exact"/>
        <w:rPr>
          <w:sz w:val="20"/>
          <w:szCs w:val="20"/>
          <w:color w:val="auto"/>
        </w:rPr>
      </w:pPr>
    </w:p>
    <w:p>
      <w:pPr>
        <w:ind w:left="208" w:hanging="208"/>
        <w:spacing w:after="0"/>
        <w:tabs>
          <w:tab w:leader="none" w:pos="2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EMPLOYEE STOCK BASED COMPENSATION PLANS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Awards</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Under the 2010 Plan and the 2021 Employee Plan, a restricted stock award is an award of shares of our common stock, which have full voting and dividend rights but are restricted with regard to sale or transfer. Restricted stock awards are independent of stock grants and are generally subject to forfeiture if employment terminates prior to these restrictions lapsing. Unless otherwise specified in the award agreement, these shares vest in equal annual installments over a four-year period from the grant date and are expensed over the vesting period starting on the grant date.</w:t>
      </w:r>
    </w:p>
    <w:p>
      <w:pPr>
        <w:spacing w:after="0" w:line="14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On August 2, 2018, the Fourth Amendment to the 2010 Plan increased the number of shares of Company common stock available for issuance by 850,000 shares. The Fourth Amendment also includes revisions regarding change in control provisions, minimum vesting periods, incorporation of a clawback policy and other technical revisions.</w:t>
      </w:r>
    </w:p>
    <w:p>
      <w:pPr>
        <w:spacing w:after="0" w:line="133"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On August 22, 2017, we received an exemptive order from the SEC that supersedes the Original Order and, in addition to the relief granted under the Original Order, allows the Company to withhold shares to satisfy tax withholding obligations related to the vesting of restricted stock granted pursuant to the 2010 Plan (the "Order"). The right to grant restricted stock awards under the 2010 Plan terminated on July 18, 2021, ten years after the date that the 2010 Plan was approved by the Company’s shareholders pursuant to its terms. In connection with the termination of the 2010 Plan, the Company’s Board of Directors and stockholders approved the 2021 Employee Plan as part of the compensation packages for its employees, the terms of which are, in all material respects, identical to the 2010 Plan. The 2021 Employee Plan makes available for issuance 1,200,000 shares of common stock.</w:t>
      </w:r>
    </w:p>
    <w:p>
      <w:pPr>
        <w:spacing w:after="0" w:line="129" w:lineRule="exact"/>
        <w:rPr>
          <w:sz w:val="20"/>
          <w:szCs w:val="20"/>
          <w:color w:val="auto"/>
        </w:rPr>
      </w:pPr>
    </w:p>
    <w:tbl>
      <w:tblPr>
        <w:tblLayout w:type="fixed"/>
        <w:tblInd w:w="428" w:type="dxa"/>
        <w:tblCellMar>
          <w:top w:w="0" w:type="dxa"/>
          <w:left w:w="0" w:type="dxa"/>
          <w:bottom w:w="0" w:type="dxa"/>
          <w:right w:w="0" w:type="dxa"/>
        </w:tblCellMar>
      </w:tblPr>
      <w:tr>
        <w:trPr>
          <w:trHeight w:val="153"/>
        </w:trPr>
        <w:tc>
          <w:tcPr>
            <w:tcW w:w="8080" w:type="dxa"/>
            <w:vAlign w:val="bottom"/>
            <w:gridSpan w:val="2"/>
          </w:tcPr>
          <w:p>
            <w:pPr>
              <w:spacing w:after="0"/>
              <w:rPr>
                <w:sz w:val="20"/>
                <w:szCs w:val="20"/>
                <w:color w:val="auto"/>
              </w:rPr>
            </w:pPr>
            <w:r>
              <w:rPr>
                <w:rFonts w:ascii="Arial" w:cs="Arial" w:eastAsia="Arial" w:hAnsi="Arial"/>
                <w:sz w:val="12"/>
                <w:szCs w:val="12"/>
                <w:color w:val="auto"/>
              </w:rPr>
              <w:t>The following table summarizes the restricted stock available under the 2010 Plan for issuance for the three months ended June 30, 2021:</w:t>
            </w:r>
          </w:p>
        </w:tc>
        <w:tc>
          <w:tcPr>
            <w:tcW w:w="1620" w:type="dxa"/>
            <w:vAlign w:val="bottom"/>
          </w:tcPr>
          <w:p>
            <w:pPr>
              <w:spacing w:after="0"/>
              <w:rPr>
                <w:sz w:val="13"/>
                <w:szCs w:val="13"/>
                <w:color w:val="auto"/>
              </w:rPr>
            </w:pPr>
          </w:p>
        </w:tc>
      </w:tr>
      <w:tr>
        <w:trPr>
          <w:trHeight w:val="180"/>
        </w:trPr>
        <w:tc>
          <w:tcPr>
            <w:tcW w:w="74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53"/>
        </w:trPr>
        <w:tc>
          <w:tcPr>
            <w:tcW w:w="740" w:type="dxa"/>
            <w:vAlign w:val="bottom"/>
          </w:tcPr>
          <w:p>
            <w:pPr>
              <w:spacing w:after="0"/>
              <w:rPr>
                <w:sz w:val="13"/>
                <w:szCs w:val="13"/>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Restricted stock available for issuance as of March 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367,938</w:t>
            </w:r>
          </w:p>
        </w:tc>
      </w:tr>
      <w:tr>
        <w:trPr>
          <w:trHeight w:val="153"/>
        </w:trPr>
        <w:tc>
          <w:tcPr>
            <w:tcW w:w="740" w:type="dxa"/>
            <w:vAlign w:val="bottom"/>
          </w:tcPr>
          <w:p>
            <w:pPr>
              <w:spacing w:after="0"/>
              <w:rPr>
                <w:sz w:val="13"/>
                <w:szCs w:val="13"/>
                <w:color w:val="auto"/>
              </w:rPr>
            </w:pPr>
          </w:p>
        </w:tc>
        <w:tc>
          <w:tcPr>
            <w:tcW w:w="7340" w:type="dxa"/>
            <w:vAlign w:val="bottom"/>
          </w:tcPr>
          <w:p>
            <w:pPr>
              <w:ind w:left="20"/>
              <w:spacing w:after="0"/>
              <w:rPr>
                <w:sz w:val="20"/>
                <w:szCs w:val="20"/>
                <w:color w:val="auto"/>
              </w:rPr>
            </w:pPr>
            <w:r>
              <w:rPr>
                <w:rFonts w:ascii="Arial" w:cs="Arial" w:eastAsia="Arial" w:hAnsi="Arial"/>
                <w:sz w:val="12"/>
                <w:szCs w:val="12"/>
                <w:color w:val="auto"/>
              </w:rPr>
              <w:t>Additional restricted stock approved under the plan</w:t>
            </w: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40" w:type="dxa"/>
            <w:vAlign w:val="bottom"/>
          </w:tcPr>
          <w:p>
            <w:pPr>
              <w:spacing w:after="0"/>
              <w:rPr>
                <w:sz w:val="13"/>
                <w:szCs w:val="13"/>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Restricted stock granted during the three months ended June 30, 2021</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(172,945)</w:t>
            </w:r>
          </w:p>
        </w:tc>
      </w:tr>
      <w:tr>
        <w:trPr>
          <w:trHeight w:val="153"/>
        </w:trPr>
        <w:tc>
          <w:tcPr>
            <w:tcW w:w="740" w:type="dxa"/>
            <w:vAlign w:val="bottom"/>
          </w:tcPr>
          <w:p>
            <w:pPr>
              <w:spacing w:after="0"/>
              <w:rPr>
                <w:sz w:val="13"/>
                <w:szCs w:val="13"/>
                <w:color w:val="auto"/>
              </w:rPr>
            </w:pPr>
          </w:p>
        </w:tc>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Restricted stock forfeited during the three months ended June 30,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35,176</w:t>
            </w:r>
          </w:p>
        </w:tc>
      </w:tr>
      <w:tr>
        <w:trPr>
          <w:trHeight w:val="142"/>
        </w:trPr>
        <w:tc>
          <w:tcPr>
            <w:tcW w:w="740" w:type="dxa"/>
            <w:vAlign w:val="bottom"/>
          </w:tcPr>
          <w:p>
            <w:pPr>
              <w:spacing w:after="0"/>
              <w:rPr>
                <w:sz w:val="12"/>
                <w:szCs w:val="12"/>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Restricted stock available for issuance as of June 30, 2021</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230,169</w:t>
            </w:r>
          </w:p>
        </w:tc>
      </w:tr>
    </w:tbl>
    <w:p>
      <w:pPr>
        <w:spacing w:after="0" w:line="216"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We expense the cost of the restricted stock awards, which is determined to equal the fair value of the restricted stock award at the date of grant on a straight-line basis over the requisite service period. For these purposes, the fair value of the restricted stock award is determined based upon the closing price of our common stock on the date of the grant.</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For the three months ended June 30, 2021 and 2020, we recognized total share based compensation expense of $1.1 million and $0.6 million, respectively, related to the restricted stock issued to our employees and officers.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308"/>
          </w:cols>
          <w:pgMar w:left="292" w:top="140" w:right="299" w:bottom="1440" w:gutter="0" w:footer="0" w:header="0"/>
        </w:sectPr>
      </w:pPr>
    </w:p>
    <w:bookmarkStart w:id="54" w:name="page55"/>
    <w:bookmarkEnd w:id="54"/>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During the three months ended June 30, 2021, the Company modified restricted stock awards to accelerate vesting of the unvested awards as of the separation date for one employee. The Company accounted for this as a modification of awards and recognized incremental compensation cost of $0.6 million. The incremental compensation cost is measured as the excess of the fair value of the modified award over the fair value of the original award immediately before its terms were modified and recognized as compensation cost on the date of modification for vested awards.</w:t>
      </w:r>
    </w:p>
    <w:p>
      <w:pPr>
        <w:spacing w:after="0" w:line="14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As of June 30, 2021, the total remaining unrecognized compensation expense related to non-vested restricted stock awards was $9.1 million, which will be amortized over the weighted-average vesting period of approximately 2.8 years.</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restricted stock outstanding under the 2010 Plan as of June 30, 2021:</w:t>
      </w:r>
    </w:p>
    <w:p>
      <w:pPr>
        <w:spacing w:after="0" w:line="27" w:lineRule="exact"/>
        <w:rPr>
          <w:sz w:val="20"/>
          <w:szCs w:val="20"/>
          <w:color w:val="auto"/>
        </w:rPr>
      </w:pPr>
    </w:p>
    <w:tbl>
      <w:tblPr>
        <w:tblLayout w:type="fixed"/>
        <w:tblInd w:w="868" w:type="dxa"/>
        <w:tblCellMar>
          <w:top w:w="0" w:type="dxa"/>
          <w:left w:w="0" w:type="dxa"/>
          <w:bottom w:w="0" w:type="dxa"/>
          <w:right w:w="0" w:type="dxa"/>
        </w:tblCellMar>
      </w:tblPr>
      <w:tr>
        <w:trPr>
          <w:trHeight w:val="123"/>
        </w:trPr>
        <w:tc>
          <w:tcPr>
            <w:tcW w:w="44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4"/>
              </w:rPr>
              <w:t>Weighted Average</w:t>
            </w:r>
          </w:p>
        </w:tc>
        <w:tc>
          <w:tcPr>
            <w:tcW w:w="1700" w:type="dxa"/>
            <w:vAlign w:val="bottom"/>
          </w:tcPr>
          <w:p>
            <w:pPr>
              <w:jc w:val="center"/>
              <w:ind w:left="385"/>
              <w:spacing w:after="0"/>
              <w:rPr>
                <w:sz w:val="20"/>
                <w:szCs w:val="20"/>
                <w:color w:val="auto"/>
              </w:rPr>
            </w:pPr>
            <w:r>
              <w:rPr>
                <w:rFonts w:ascii="Arial" w:cs="Arial" w:eastAsia="Arial" w:hAnsi="Arial"/>
                <w:sz w:val="10"/>
                <w:szCs w:val="10"/>
                <w:b w:val="1"/>
                <w:bCs w:val="1"/>
                <w:color w:val="auto"/>
                <w:w w:val="84"/>
              </w:rPr>
              <w:t>Weighted Average</w:t>
            </w:r>
          </w:p>
        </w:tc>
      </w:tr>
      <w:tr>
        <w:trPr>
          <w:trHeight w:val="126"/>
        </w:trPr>
        <w:tc>
          <w:tcPr>
            <w:tcW w:w="44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6"/>
              </w:rPr>
              <w:t>Fair Value Per</w:t>
            </w:r>
          </w:p>
        </w:tc>
        <w:tc>
          <w:tcPr>
            <w:tcW w:w="1700" w:type="dxa"/>
            <w:vAlign w:val="bottom"/>
          </w:tcPr>
          <w:p>
            <w:pPr>
              <w:jc w:val="center"/>
              <w:ind w:left="385"/>
              <w:spacing w:after="0"/>
              <w:rPr>
                <w:sz w:val="20"/>
                <w:szCs w:val="20"/>
                <w:color w:val="auto"/>
              </w:rPr>
            </w:pPr>
            <w:r>
              <w:rPr>
                <w:rFonts w:ascii="Arial" w:cs="Arial" w:eastAsia="Arial" w:hAnsi="Arial"/>
                <w:sz w:val="10"/>
                <w:szCs w:val="10"/>
                <w:b w:val="1"/>
                <w:bCs w:val="1"/>
                <w:color w:val="auto"/>
                <w:w w:val="86"/>
              </w:rPr>
              <w:t>Remaining Vesting</w:t>
            </w:r>
          </w:p>
        </w:tc>
      </w:tr>
      <w:tr>
        <w:trPr>
          <w:trHeight w:val="130"/>
        </w:trPr>
        <w:tc>
          <w:tcPr>
            <w:tcW w:w="4420" w:type="dxa"/>
            <w:vAlign w:val="bottom"/>
          </w:tcPr>
          <w:p>
            <w:pPr>
              <w:ind w:left="440"/>
              <w:spacing w:after="0"/>
              <w:rPr>
                <w:sz w:val="20"/>
                <w:szCs w:val="20"/>
                <w:color w:val="auto"/>
              </w:rPr>
            </w:pPr>
            <w:r>
              <w:rPr>
                <w:rFonts w:ascii="Arial" w:cs="Arial" w:eastAsia="Arial" w:hAnsi="Arial"/>
                <w:sz w:val="10"/>
                <w:szCs w:val="10"/>
                <w:b w:val="1"/>
                <w:bCs w:val="1"/>
                <w:color w:val="auto"/>
              </w:rPr>
              <w:t>Restricted Stock Awards</w:t>
            </w:r>
          </w:p>
        </w:tc>
        <w:tc>
          <w:tcPr>
            <w:tcW w:w="1700" w:type="dxa"/>
            <w:vAlign w:val="bottom"/>
            <w:gridSpan w:val="2"/>
          </w:tcPr>
          <w:p>
            <w:pPr>
              <w:ind w:left="640"/>
              <w:spacing w:after="0"/>
              <w:rPr>
                <w:sz w:val="20"/>
                <w:szCs w:val="20"/>
                <w:color w:val="auto"/>
              </w:rPr>
            </w:pPr>
            <w:r>
              <w:rPr>
                <w:rFonts w:ascii="Arial" w:cs="Arial" w:eastAsia="Arial" w:hAnsi="Arial"/>
                <w:sz w:val="10"/>
                <w:szCs w:val="10"/>
                <w:b w:val="1"/>
                <w:bCs w:val="1"/>
                <w:color w:val="auto"/>
              </w:rPr>
              <w:t>Number of Shares</w:t>
            </w:r>
          </w:p>
        </w:tc>
        <w:tc>
          <w:tcPr>
            <w:tcW w:w="680" w:type="dxa"/>
            <w:vAlign w:val="bottom"/>
          </w:tcPr>
          <w:p>
            <w:pPr>
              <w:spacing w:after="0"/>
              <w:rPr>
                <w:sz w:val="11"/>
                <w:szCs w:val="11"/>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6"/>
              </w:rPr>
              <w:t>Share at grant date</w:t>
            </w:r>
          </w:p>
        </w:tc>
        <w:tc>
          <w:tcPr>
            <w:tcW w:w="1700" w:type="dxa"/>
            <w:vAlign w:val="bottom"/>
          </w:tcPr>
          <w:p>
            <w:pPr>
              <w:jc w:val="center"/>
              <w:ind w:left="365"/>
              <w:spacing w:after="0"/>
              <w:rPr>
                <w:sz w:val="20"/>
                <w:szCs w:val="20"/>
                <w:color w:val="auto"/>
              </w:rPr>
            </w:pPr>
            <w:r>
              <w:rPr>
                <w:rFonts w:ascii="Arial" w:cs="Arial" w:eastAsia="Arial" w:hAnsi="Arial"/>
                <w:sz w:val="10"/>
                <w:szCs w:val="10"/>
                <w:b w:val="1"/>
                <w:bCs w:val="1"/>
                <w:color w:val="auto"/>
                <w:w w:val="87"/>
              </w:rPr>
              <w:t>Term (in Years)</w:t>
            </w:r>
          </w:p>
        </w:tc>
      </w:tr>
      <w:tr>
        <w:trPr>
          <w:trHeight w:val="146"/>
        </w:trPr>
        <w:tc>
          <w:tcPr>
            <w:tcW w:w="44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Unvested at March 31, 2021</w:t>
            </w:r>
          </w:p>
        </w:tc>
        <w:tc>
          <w:tcPr>
            <w:tcW w:w="160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2"/>
                <w:szCs w:val="12"/>
                <w:color w:val="auto"/>
                <w:w w:val="96"/>
              </w:rPr>
              <w:t>429,776</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17.05</w:t>
            </w:r>
          </w:p>
        </w:tc>
        <w:tc>
          <w:tcPr>
            <w:tcW w:w="1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r>
      <w:tr>
        <w:trPr>
          <w:trHeight w:val="153"/>
        </w:trPr>
        <w:tc>
          <w:tcPr>
            <w:tcW w:w="4420" w:type="dxa"/>
            <w:vAlign w:val="bottom"/>
          </w:tcPr>
          <w:p>
            <w:pPr>
              <w:ind w:left="440"/>
              <w:spacing w:after="0"/>
              <w:rPr>
                <w:sz w:val="20"/>
                <w:szCs w:val="20"/>
                <w:color w:val="auto"/>
              </w:rPr>
            </w:pPr>
            <w:r>
              <w:rPr>
                <w:rFonts w:ascii="Arial" w:cs="Arial" w:eastAsia="Arial" w:hAnsi="Arial"/>
                <w:sz w:val="12"/>
                <w:szCs w:val="12"/>
                <w:color w:val="auto"/>
              </w:rPr>
              <w:t>Granted</w:t>
            </w:r>
          </w:p>
        </w:tc>
        <w:tc>
          <w:tcPr>
            <w:tcW w:w="1600" w:type="dxa"/>
            <w:vAlign w:val="bottom"/>
          </w:tcPr>
          <w:p>
            <w:pPr>
              <w:ind w:left="1160"/>
              <w:spacing w:after="0"/>
              <w:rPr>
                <w:sz w:val="20"/>
                <w:szCs w:val="20"/>
                <w:color w:val="auto"/>
              </w:rPr>
            </w:pPr>
            <w:r>
              <w:rPr>
                <w:rFonts w:ascii="Arial" w:cs="Arial" w:eastAsia="Arial" w:hAnsi="Arial"/>
                <w:sz w:val="12"/>
                <w:szCs w:val="12"/>
                <w:color w:val="auto"/>
                <w:w w:val="96"/>
              </w:rPr>
              <w:t>172,945</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0" w:type="dxa"/>
            <w:vAlign w:val="bottom"/>
          </w:tcPr>
          <w:p>
            <w:pPr>
              <w:jc w:val="right"/>
              <w:ind w:right="5"/>
              <w:spacing w:after="0"/>
              <w:rPr>
                <w:sz w:val="20"/>
                <w:szCs w:val="20"/>
                <w:color w:val="auto"/>
              </w:rPr>
            </w:pPr>
            <w:r>
              <w:rPr>
                <w:rFonts w:ascii="Arial" w:cs="Arial" w:eastAsia="Arial" w:hAnsi="Arial"/>
                <w:sz w:val="12"/>
                <w:szCs w:val="12"/>
                <w:color w:val="auto"/>
              </w:rPr>
              <w:t>27.60</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53"/>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Vested</w:t>
            </w:r>
          </w:p>
        </w:tc>
        <w:tc>
          <w:tcPr>
            <w:tcW w:w="1600" w:type="dxa"/>
            <w:vAlign w:val="bottom"/>
            <w:shd w:val="clear" w:color="auto" w:fill="CCEEFF"/>
          </w:tcPr>
          <w:p>
            <w:pPr>
              <w:ind w:left="1180"/>
              <w:spacing w:after="0"/>
              <w:rPr>
                <w:sz w:val="20"/>
                <w:szCs w:val="20"/>
                <w:color w:val="auto"/>
              </w:rPr>
            </w:pPr>
            <w:r>
              <w:rPr>
                <w:rFonts w:ascii="Arial" w:cs="Arial" w:eastAsia="Arial" w:hAnsi="Arial"/>
                <w:sz w:val="12"/>
                <w:szCs w:val="12"/>
                <w:color w:val="auto"/>
                <w:w w:val="89"/>
              </w:rPr>
              <w:t>(76,411)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16.59</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r>
      <w:tr>
        <w:trPr>
          <w:trHeight w:val="153"/>
        </w:trPr>
        <w:tc>
          <w:tcPr>
            <w:tcW w:w="44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Forfeited</w:t>
            </w:r>
          </w:p>
        </w:tc>
        <w:tc>
          <w:tcPr>
            <w:tcW w:w="1600" w:type="dxa"/>
            <w:vAlign w:val="bottom"/>
            <w:tcBorders>
              <w:bottom w:val="single" w:sz="8" w:color="auto"/>
            </w:tcBorders>
          </w:tcPr>
          <w:p>
            <w:pPr>
              <w:ind w:left="1160"/>
              <w:spacing w:after="0"/>
              <w:rPr>
                <w:sz w:val="20"/>
                <w:szCs w:val="20"/>
                <w:color w:val="auto"/>
              </w:rPr>
            </w:pPr>
            <w:r>
              <w:rPr>
                <w:rFonts w:ascii="Arial" w:cs="Arial" w:eastAsia="Arial" w:hAnsi="Arial"/>
                <w:sz w:val="12"/>
                <w:szCs w:val="12"/>
                <w:color w:val="auto"/>
                <w:w w:val="93"/>
              </w:rPr>
              <w:t>(35,176)</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15.42</w:t>
            </w:r>
          </w:p>
        </w:tc>
        <w:tc>
          <w:tcPr>
            <w:tcW w:w="10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4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Unvested at June 30, 2021</w:t>
            </w:r>
          </w:p>
        </w:tc>
        <w:tc>
          <w:tcPr>
            <w:tcW w:w="16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2"/>
                <w:szCs w:val="12"/>
                <w:color w:val="auto"/>
                <w:w w:val="96"/>
              </w:rPr>
              <w:t>491,134</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20.95</w:t>
            </w:r>
          </w:p>
        </w:tc>
        <w:tc>
          <w:tcPr>
            <w:tcW w:w="10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r>
    </w:tbl>
    <w:p>
      <w:pPr>
        <w:spacing w:after="0" w:line="216" w:lineRule="exact"/>
        <w:rPr>
          <w:sz w:val="20"/>
          <w:szCs w:val="20"/>
          <w:color w:val="auto"/>
        </w:rPr>
      </w:pPr>
    </w:p>
    <w:p>
      <w:pPr>
        <w:ind w:left="208" w:hanging="208"/>
        <w:spacing w:after="0"/>
        <w:tabs>
          <w:tab w:leader="none" w:pos="2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OTHER EMPLOYEE COMPENSATION</w:t>
      </w:r>
    </w:p>
    <w:p>
      <w:pPr>
        <w:spacing w:after="0" w:line="16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established a 401(k) plan (“401K Plan”) effective October 1, 2015. All full-time employees are eligible to participate in the 401K Plan. The 401K Plan permits employees to defer a portion of their total annual compensation up to the Internal Revenue Service annual maximum based on age and eligibility. We made contributions to the 401K Plan of up to 4.5% of the Internal Revenue Service’s annual maximum eligible compensation, all of which is fully vested immediately. During both the three months ended June 30, 2021 and 2020, we made matching contributions of approximately $0.1 million.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308"/>
          </w:cols>
          <w:pgMar w:left="292" w:top="140" w:right="299" w:bottom="1440" w:gutter="0" w:footer="0" w:header="0"/>
        </w:sectPr>
      </w:pPr>
    </w:p>
    <w:bookmarkStart w:id="55" w:name="page56"/>
    <w:bookmarkEnd w:id="55"/>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10.</w:t>
      </w:r>
      <w:r>
        <w:rPr>
          <w:sz w:val="20"/>
          <w:szCs w:val="20"/>
          <w:color w:val="auto"/>
        </w:rPr>
        <w:tab/>
      </w:r>
      <w:r>
        <w:rPr>
          <w:rFonts w:ascii="Arial" w:cs="Arial" w:eastAsia="Arial" w:hAnsi="Arial"/>
          <w:sz w:val="11"/>
          <w:szCs w:val="11"/>
          <w:color w:val="auto"/>
        </w:rPr>
        <w:t>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Commitments</w:t>
      </w:r>
    </w:p>
    <w:p>
      <w:pPr>
        <w:spacing w:after="0" w:line="16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 the normal course of business, the Company is a party to financial instruments with off-balance sheet risk, consisting primarily of unused commitments to extend financing to the Company’s portfolio companies. Since commitments may expire without being drawn upon, the total commitment amount does not necessarily represent future cash requirements.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balances of unused commitments to extend financing as of June 30, 2021 and March 31, 2021 were as follows (amounts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14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left="432"/>
              <w:spacing w:after="0"/>
              <w:rPr>
                <w:sz w:val="20"/>
                <w:szCs w:val="20"/>
                <w:color w:val="auto"/>
              </w:rPr>
            </w:pPr>
            <w:r>
              <w:rPr>
                <w:rFonts w:ascii="Arial" w:cs="Arial" w:eastAsia="Arial" w:hAnsi="Arial"/>
                <w:sz w:val="10"/>
                <w:szCs w:val="10"/>
                <w:b w:val="1"/>
                <w:bCs w:val="1"/>
                <w:color w:val="auto"/>
                <w:w w:val="84"/>
              </w:rPr>
              <w:t>June 30,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jc w:val="right"/>
              <w:ind w:right="501"/>
              <w:spacing w:after="0"/>
              <w:rPr>
                <w:sz w:val="20"/>
                <w:szCs w:val="20"/>
                <w:color w:val="auto"/>
              </w:rPr>
            </w:pPr>
            <w:r>
              <w:rPr>
                <w:rFonts w:ascii="Arial" w:cs="Arial" w:eastAsia="Arial" w:hAnsi="Arial"/>
                <w:sz w:val="10"/>
                <w:szCs w:val="10"/>
                <w:b w:val="1"/>
                <w:bCs w:val="1"/>
                <w:color w:val="auto"/>
              </w:rPr>
              <w:t>March 31,</w:t>
            </w:r>
          </w:p>
        </w:tc>
      </w:tr>
      <w:tr>
        <w:trPr>
          <w:trHeight w:val="130"/>
        </w:trPr>
        <w:tc>
          <w:tcPr>
            <w:tcW w:w="4140" w:type="dxa"/>
            <w:vAlign w:val="bottom"/>
          </w:tcPr>
          <w:p>
            <w:pPr>
              <w:spacing w:after="0"/>
              <w:rPr>
                <w:sz w:val="20"/>
                <w:szCs w:val="20"/>
                <w:color w:val="auto"/>
              </w:rPr>
            </w:pPr>
            <w:r>
              <w:rPr>
                <w:rFonts w:ascii="Arial" w:cs="Arial" w:eastAsia="Arial" w:hAnsi="Arial"/>
                <w:sz w:val="10"/>
                <w:szCs w:val="10"/>
                <w:b w:val="1"/>
                <w:bCs w:val="1"/>
                <w:color w:val="auto"/>
              </w:rPr>
              <w:t>Portfolio Company</w:t>
            </w:r>
          </w:p>
        </w:tc>
        <w:tc>
          <w:tcPr>
            <w:tcW w:w="5060" w:type="dxa"/>
            <w:vAlign w:val="bottom"/>
            <w:gridSpan w:val="3"/>
          </w:tcPr>
          <w:p>
            <w:pPr>
              <w:jc w:val="right"/>
              <w:ind w:right="132"/>
              <w:spacing w:after="0"/>
              <w:rPr>
                <w:sz w:val="20"/>
                <w:szCs w:val="20"/>
                <w:color w:val="auto"/>
              </w:rPr>
            </w:pPr>
            <w:r>
              <w:rPr>
                <w:rFonts w:ascii="Arial" w:cs="Arial" w:eastAsia="Arial" w:hAnsi="Arial"/>
                <w:sz w:val="10"/>
                <w:szCs w:val="10"/>
                <w:b w:val="1"/>
                <w:bCs w:val="1"/>
                <w:color w:val="auto"/>
              </w:rPr>
              <w:t>2021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jc w:val="right"/>
              <w:ind w:right="601"/>
              <w:spacing w:after="0"/>
              <w:rPr>
                <w:sz w:val="20"/>
                <w:szCs w:val="20"/>
                <w:color w:val="auto"/>
              </w:rPr>
            </w:pPr>
            <w:r>
              <w:rPr>
                <w:rFonts w:ascii="Arial" w:cs="Arial" w:eastAsia="Arial" w:hAnsi="Arial"/>
                <w:sz w:val="10"/>
                <w:szCs w:val="10"/>
                <w:b w:val="1"/>
                <w:bCs w:val="1"/>
                <w:color w:val="auto"/>
              </w:rPr>
              <w:t>2021</w:t>
            </w:r>
          </w:p>
        </w:tc>
      </w:tr>
      <w:tr>
        <w:trPr>
          <w:trHeight w:val="146"/>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Revolving Loans</w:t>
            </w:r>
          </w:p>
        </w:tc>
        <w:tc>
          <w:tcPr>
            <w:tcW w:w="3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AllOver Media, LLC</w:t>
            </w:r>
          </w:p>
        </w:tc>
        <w:tc>
          <w:tcPr>
            <w:tcW w:w="5060" w:type="dxa"/>
            <w:vAlign w:val="bottom"/>
            <w:gridSpan w:val="3"/>
          </w:tcPr>
          <w:p>
            <w:pPr>
              <w:jc w:val="right"/>
              <w:ind w:right="912"/>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2,000</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Broad Sky Networks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2,000</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Central Medical Supply LLC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1,200</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Clickbooth.com,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1,086</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Dynamic Communities, LLC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500</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Electronic Transaction Consultants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3,704</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Fast Sandwich, LLC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3,100</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FoodPharma Subsidiary Holdings,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GrammaTech, Inc.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2,500</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Ian, Evan, &amp; Alexander Corporation (DBA EverWatch)</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2,000</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ITA Holdings Group, LLC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2,000</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Klein Hersh,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938</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Mako Steel LP</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1,226</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NeuroPsychiatric Hospitals,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NinjaTrader, Inc.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1,500</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NWN Parent Holdings,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Roseland Management, LLC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1,500</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RTIC Subsidiary Holdings,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767</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Shearwater Research, Inc.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2,446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Student Resource Center,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1,333</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4140" w:type="dxa"/>
            <w:vAlign w:val="bottom"/>
          </w:tcPr>
          <w:p>
            <w:pPr>
              <w:ind w:left="80"/>
              <w:spacing w:after="0"/>
              <w:rPr>
                <w:sz w:val="20"/>
                <w:szCs w:val="20"/>
                <w:color w:val="auto"/>
              </w:rPr>
            </w:pPr>
            <w:r>
              <w:rPr>
                <w:rFonts w:ascii="Arial" w:cs="Arial" w:eastAsia="Arial" w:hAnsi="Arial"/>
                <w:sz w:val="12"/>
                <w:szCs w:val="12"/>
                <w:color w:val="auto"/>
              </w:rPr>
              <w:t>Total Revolving Loans</w:t>
            </w: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39,628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26,021</w:t>
            </w:r>
          </w:p>
        </w:tc>
      </w:tr>
      <w:tr>
        <w:trPr>
          <w:trHeight w:val="36"/>
        </w:trPr>
        <w:tc>
          <w:tcPr>
            <w:tcW w:w="41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Delayed Draw Term Loans</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Acceleration Partners, LLC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216</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Central Medical Supply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1,400</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CityVet Inc.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3,500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6,750</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Crafty Apes,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FoodPharma Subsidiary Holdings, LLC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7,500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NeuroPsychiatric Hospitals, LLC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NinjaTrader, Inc.</w:t>
            </w: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2,655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2,655</w:t>
            </w: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Shearwater Research, Inc.</w:t>
            </w:r>
          </w:p>
        </w:tc>
        <w:tc>
          <w:tcPr>
            <w:tcW w:w="3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3,262</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4140" w:type="dxa"/>
            <w:vAlign w:val="bottom"/>
          </w:tcPr>
          <w:p>
            <w:pPr>
              <w:ind w:left="80"/>
              <w:spacing w:after="0"/>
              <w:rPr>
                <w:sz w:val="20"/>
                <w:szCs w:val="20"/>
                <w:color w:val="auto"/>
              </w:rPr>
            </w:pPr>
            <w:r>
              <w:rPr>
                <w:rFonts w:ascii="Arial" w:cs="Arial" w:eastAsia="Arial" w:hAnsi="Arial"/>
                <w:sz w:val="12"/>
                <w:szCs w:val="12"/>
                <w:color w:val="auto"/>
              </w:rPr>
              <w:t>Total Delayed Draw Term Loans</w:t>
            </w: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30,374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11,021</w:t>
            </w:r>
          </w:p>
        </w:tc>
      </w:tr>
      <w:tr>
        <w:trPr>
          <w:trHeight w:val="756"/>
        </w:trPr>
        <w:tc>
          <w:tcPr>
            <w:tcW w:w="4140" w:type="dxa"/>
            <w:vAlign w:val="bottom"/>
          </w:tcPr>
          <w:p>
            <w:pPr>
              <w:spacing w:after="0"/>
              <w:rPr>
                <w:sz w:val="24"/>
                <w:szCs w:val="24"/>
                <w:color w:val="auto"/>
              </w:rPr>
            </w:pPr>
          </w:p>
        </w:tc>
        <w:tc>
          <w:tcPr>
            <w:tcW w:w="3940" w:type="dxa"/>
            <w:vAlign w:val="bottom"/>
          </w:tcPr>
          <w:p>
            <w:pPr>
              <w:jc w:val="right"/>
              <w:ind w:right="2324"/>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00"/>
          </w:cols>
          <w:pgMar w:left="300" w:top="140" w:right="299" w:bottom="1440" w:gutter="0" w:footer="0" w:header="0"/>
        </w:sectPr>
      </w:pPr>
    </w:p>
    <w:bookmarkStart w:id="56" w:name="page57"/>
    <w:bookmarkEnd w:id="56"/>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8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left="432"/>
              <w:spacing w:after="0"/>
              <w:rPr>
                <w:sz w:val="20"/>
                <w:szCs w:val="20"/>
                <w:color w:val="auto"/>
              </w:rPr>
            </w:pPr>
            <w:r>
              <w:rPr>
                <w:rFonts w:ascii="Arial" w:cs="Arial" w:eastAsia="Arial" w:hAnsi="Arial"/>
                <w:sz w:val="10"/>
                <w:szCs w:val="10"/>
                <w:b w:val="1"/>
                <w:bCs w:val="1"/>
                <w:color w:val="auto"/>
                <w:w w:val="84"/>
              </w:rPr>
              <w:t>June 30,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jc w:val="right"/>
              <w:ind w:right="504"/>
              <w:spacing w:after="0"/>
              <w:rPr>
                <w:sz w:val="20"/>
                <w:szCs w:val="20"/>
                <w:color w:val="auto"/>
              </w:rPr>
            </w:pPr>
            <w:r>
              <w:rPr>
                <w:rFonts w:ascii="Arial" w:cs="Arial" w:eastAsia="Arial" w:hAnsi="Arial"/>
                <w:sz w:val="10"/>
                <w:szCs w:val="10"/>
                <w:b w:val="1"/>
                <w:bCs w:val="1"/>
                <w:color w:val="auto"/>
              </w:rPr>
              <w:t>March 31,</w:t>
            </w:r>
          </w:p>
        </w:tc>
      </w:tr>
      <w:tr>
        <w:trPr>
          <w:trHeight w:val="130"/>
        </w:trPr>
        <w:tc>
          <w:tcPr>
            <w:tcW w:w="8180" w:type="dxa"/>
            <w:vAlign w:val="bottom"/>
            <w:gridSpan w:val="2"/>
          </w:tcPr>
          <w:p>
            <w:pPr>
              <w:spacing w:after="0"/>
              <w:rPr>
                <w:sz w:val="20"/>
                <w:szCs w:val="20"/>
                <w:color w:val="auto"/>
              </w:rPr>
            </w:pPr>
            <w:r>
              <w:rPr>
                <w:rFonts w:ascii="Arial" w:cs="Arial" w:eastAsia="Arial" w:hAnsi="Arial"/>
                <w:sz w:val="10"/>
                <w:szCs w:val="10"/>
                <w:b w:val="1"/>
                <w:bCs w:val="1"/>
                <w:color w:val="auto"/>
              </w:rPr>
              <w:t>Portfolio Company</w:t>
            </w:r>
          </w:p>
        </w:tc>
        <w:tc>
          <w:tcPr>
            <w:tcW w:w="1020" w:type="dxa"/>
            <w:vAlign w:val="bottom"/>
          </w:tcPr>
          <w:p>
            <w:pPr>
              <w:jc w:val="right"/>
              <w:ind w:right="132"/>
              <w:spacing w:after="0"/>
              <w:rPr>
                <w:sz w:val="20"/>
                <w:szCs w:val="20"/>
                <w:color w:val="auto"/>
              </w:rPr>
            </w:pPr>
            <w:r>
              <w:rPr>
                <w:rFonts w:ascii="Arial" w:cs="Arial" w:eastAsia="Arial" w:hAnsi="Arial"/>
                <w:sz w:val="10"/>
                <w:szCs w:val="10"/>
                <w:b w:val="1"/>
                <w:bCs w:val="1"/>
                <w:color w:val="auto"/>
              </w:rPr>
              <w:t>2021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jc w:val="right"/>
              <w:ind w:right="604"/>
              <w:spacing w:after="0"/>
              <w:rPr>
                <w:sz w:val="20"/>
                <w:szCs w:val="20"/>
                <w:color w:val="auto"/>
              </w:rPr>
            </w:pPr>
            <w:r>
              <w:rPr>
                <w:rFonts w:ascii="Arial" w:cs="Arial" w:eastAsia="Arial" w:hAnsi="Arial"/>
                <w:sz w:val="10"/>
                <w:szCs w:val="10"/>
                <w:b w:val="1"/>
                <w:bCs w:val="1"/>
                <w:color w:val="auto"/>
              </w:rPr>
              <w:t>2021</w:t>
            </w:r>
          </w:p>
        </w:tc>
      </w:tr>
      <w:tr>
        <w:trPr>
          <w:trHeight w:val="146"/>
        </w:trPr>
        <w:tc>
          <w:tcPr>
            <w:tcW w:w="8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Other</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r>
      <w:tr>
        <w:trPr>
          <w:trHeight w:val="153"/>
        </w:trPr>
        <w:tc>
          <w:tcPr>
            <w:tcW w:w="8180" w:type="dxa"/>
            <w:vAlign w:val="bottom"/>
            <w:gridSpan w:val="2"/>
          </w:tcPr>
          <w:p>
            <w:pPr>
              <w:spacing w:after="0"/>
              <w:rPr>
                <w:sz w:val="20"/>
                <w:szCs w:val="20"/>
                <w:color w:val="auto"/>
              </w:rPr>
            </w:pPr>
            <w:r>
              <w:rPr>
                <w:rFonts w:ascii="Arial" w:cs="Arial" w:eastAsia="Arial" w:hAnsi="Arial"/>
                <w:sz w:val="12"/>
                <w:szCs w:val="12"/>
                <w:color w:val="auto"/>
              </w:rPr>
              <w:t>American Nuts Operations LLC</w:t>
            </w: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384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2"/>
                <w:szCs w:val="12"/>
                <w:color w:val="auto"/>
              </w:rPr>
              <w:t>384</w:t>
            </w:r>
          </w:p>
        </w:tc>
      </w:tr>
      <w:tr>
        <w:trPr>
          <w:trHeight w:val="153"/>
        </w:trPr>
        <w:tc>
          <w:tcPr>
            <w:tcW w:w="8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I-45 SLF LLC</w:t>
            </w:r>
          </w:p>
        </w:tc>
        <w:tc>
          <w:tcPr>
            <w:tcW w:w="10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4,800</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8,000</w:t>
            </w:r>
          </w:p>
        </w:tc>
      </w:tr>
      <w:tr>
        <w:trPr>
          <w:trHeight w:val="142"/>
        </w:trPr>
        <w:tc>
          <w:tcPr>
            <w:tcW w:w="8180" w:type="dxa"/>
            <w:vAlign w:val="bottom"/>
            <w:gridSpan w:val="2"/>
          </w:tcPr>
          <w:p>
            <w:pPr>
              <w:ind w:left="80"/>
              <w:spacing w:after="0"/>
              <w:rPr>
                <w:sz w:val="20"/>
                <w:szCs w:val="20"/>
                <w:color w:val="auto"/>
              </w:rPr>
            </w:pPr>
            <w:r>
              <w:rPr>
                <w:rFonts w:ascii="Arial" w:cs="Arial" w:eastAsia="Arial" w:hAnsi="Arial"/>
                <w:sz w:val="12"/>
                <w:szCs w:val="12"/>
                <w:color w:val="auto"/>
              </w:rPr>
              <w:t>Total Other</w:t>
            </w: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5,184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4"/>
              <w:spacing w:after="0"/>
              <w:rPr>
                <w:sz w:val="20"/>
                <w:szCs w:val="20"/>
                <w:color w:val="auto"/>
              </w:rPr>
            </w:pPr>
            <w:r>
              <w:rPr>
                <w:rFonts w:ascii="Arial" w:cs="Arial" w:eastAsia="Arial" w:hAnsi="Arial"/>
                <w:sz w:val="12"/>
                <w:szCs w:val="12"/>
                <w:color w:val="auto"/>
              </w:rPr>
              <w:t>8,384</w:t>
            </w:r>
          </w:p>
        </w:tc>
      </w:tr>
      <w:tr>
        <w:trPr>
          <w:trHeight w:val="36"/>
        </w:trPr>
        <w:tc>
          <w:tcPr>
            <w:tcW w:w="8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58"/>
        </w:trPr>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unused commitments to extend financing</w:t>
            </w:r>
          </w:p>
        </w:tc>
        <w:tc>
          <w:tcPr>
            <w:tcW w:w="102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75,186</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45,426</w:t>
            </w:r>
          </w:p>
        </w:tc>
      </w:tr>
    </w:tbl>
    <w:p>
      <w:pPr>
        <w:spacing w:after="0" w:line="216"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As of June 30, 2021, total revolving and delayed draw loan commitments included commitments to issue letters of credit through a financial intermediary on behalf of certain portfolio companies. As of June 30, 2021, the Company had $3.7 million in letters of credit issued and outstanding under these commitments on behalf of portfolio companies. For all of these letters of credit issued and outstanding, the Company would be required to make payments to third parties if the portfolio companies were to default on their related payment obligations. Of these letters of credit, $3.1 million expire in May 2022, $0.4 million expire in August 2021 and $0.2 million expire in April 2022. As of June 30, 2021, none of the letters of credit issued and outstanding were recorded as a liability on the Company's balance sheet as such letters of credit are considered in the valuation of the investments in the portfolio company.</w:t>
      </w:r>
    </w:p>
    <w:p>
      <w:pPr>
        <w:spacing w:after="0" w:line="146"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Effective April 1, 2019, ASC 842 required that a lessee to evaluate its leases to determine whether they should be classified as operating or financing leases. The Company identified one operating lease for its office space. The lease commenced on October 1, 2014 and expires February 28, 2022.</w:t>
      </w:r>
    </w:p>
    <w:p>
      <w:pPr>
        <w:spacing w:after="0" w:line="13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As CSWC classified this lease as an operating lease prior to implementation, ASC 842 indicates that a right-of-use asset and lease liability should be recorded based on the effective date. CSWC adopted ASC 842 effective April 1, 2019 and recorded a right-of-use asset and a lease liability as of that date. After this date, the Company has recorded lease expense on a straight-line basis, consistent with the accounting treatment for lease expense prior to the adoption of ASC 842.</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Total lease expense incurred for each of the three months ended June 30, 2021 and 2020 was $58.1 thousand. As of June 30, 2021, the asset related to the operating lease was $0.1 million and the lease liability was $0.2 million.</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June 30, 2021, the remaining lease term was 0.6 years and the discount rate was 2.65%.</w:t>
      </w:r>
    </w:p>
    <w:p>
      <w:pPr>
        <w:spacing w:after="0" w:line="15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shows future minimum payments under the Company's operating lease as of June 30, 2021 (in thousands):</w:t>
      </w:r>
    </w:p>
    <w:p>
      <w:pPr>
        <w:spacing w:after="0" w:line="189" w:lineRule="exact"/>
        <w:rPr>
          <w:sz w:val="20"/>
          <w:szCs w:val="20"/>
          <w:color w:val="auto"/>
        </w:rPr>
      </w:pPr>
    </w:p>
    <w:tbl>
      <w:tblPr>
        <w:tblLayout w:type="fixed"/>
        <w:tblInd w:w="208" w:type="dxa"/>
        <w:tblCellMar>
          <w:top w:w="0" w:type="dxa"/>
          <w:left w:w="0" w:type="dxa"/>
          <w:bottom w:w="0" w:type="dxa"/>
          <w:right w:w="0" w:type="dxa"/>
        </w:tblCellMar>
      </w:tblPr>
      <w:tr>
        <w:trPr>
          <w:trHeight w:val="127"/>
        </w:trPr>
        <w:tc>
          <w:tcPr>
            <w:tcW w:w="9160" w:type="dxa"/>
            <w:vAlign w:val="bottom"/>
          </w:tcPr>
          <w:p>
            <w:pPr>
              <w:ind w:left="20"/>
              <w:spacing w:after="0"/>
              <w:rPr>
                <w:sz w:val="20"/>
                <w:szCs w:val="20"/>
                <w:color w:val="auto"/>
              </w:rPr>
            </w:pPr>
            <w:r>
              <w:rPr>
                <w:rFonts w:ascii="Arial" w:cs="Arial" w:eastAsia="Arial" w:hAnsi="Arial"/>
                <w:sz w:val="10"/>
                <w:szCs w:val="10"/>
                <w:b w:val="1"/>
                <w:bCs w:val="1"/>
                <w:color w:val="auto"/>
              </w:rPr>
              <w:t>Year ending March 31,</w:t>
            </w:r>
          </w:p>
        </w:tc>
        <w:tc>
          <w:tcPr>
            <w:tcW w:w="280" w:type="dxa"/>
            <w:vAlign w:val="bottom"/>
          </w:tcPr>
          <w:p>
            <w:pPr>
              <w:spacing w:after="0"/>
              <w:rPr>
                <w:sz w:val="11"/>
                <w:szCs w:val="11"/>
                <w:color w:val="auto"/>
              </w:rPr>
            </w:pPr>
          </w:p>
        </w:tc>
        <w:tc>
          <w:tcPr>
            <w:tcW w:w="1440" w:type="dxa"/>
            <w:vAlign w:val="bottom"/>
          </w:tcPr>
          <w:p>
            <w:pPr>
              <w:jc w:val="right"/>
              <w:ind w:right="424"/>
              <w:spacing w:after="0"/>
              <w:rPr>
                <w:sz w:val="20"/>
                <w:szCs w:val="20"/>
                <w:color w:val="auto"/>
              </w:rPr>
            </w:pPr>
            <w:r>
              <w:rPr>
                <w:rFonts w:ascii="Arial" w:cs="Arial" w:eastAsia="Arial" w:hAnsi="Arial"/>
                <w:sz w:val="10"/>
                <w:szCs w:val="10"/>
                <w:b w:val="1"/>
                <w:bCs w:val="1"/>
                <w:color w:val="auto"/>
              </w:rPr>
              <w:t>Rent Commitment</w:t>
            </w:r>
          </w:p>
        </w:tc>
      </w:tr>
      <w:tr>
        <w:trPr>
          <w:trHeight w:val="157"/>
        </w:trPr>
        <w:tc>
          <w:tcPr>
            <w:tcW w:w="9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w:t>
            </w:r>
          </w:p>
        </w:tc>
      </w:tr>
      <w:tr>
        <w:trPr>
          <w:trHeight w:val="142"/>
        </w:trPr>
        <w:tc>
          <w:tcPr>
            <w:tcW w:w="9160" w:type="dxa"/>
            <w:vAlign w:val="bottom"/>
          </w:tcPr>
          <w:p>
            <w:pPr>
              <w:ind w:left="20"/>
              <w:spacing w:after="0"/>
              <w:rPr>
                <w:sz w:val="20"/>
                <w:szCs w:val="20"/>
                <w:color w:val="auto"/>
              </w:rPr>
            </w:pPr>
            <w:r>
              <w:rPr>
                <w:rFonts w:ascii="Arial" w:cs="Arial" w:eastAsia="Arial" w:hAnsi="Arial"/>
                <w:sz w:val="12"/>
                <w:szCs w:val="12"/>
                <w:color w:val="auto"/>
              </w:rPr>
              <w:t>Total</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w:t>
            </w:r>
          </w:p>
        </w:tc>
      </w:tr>
      <w:tr>
        <w:trPr>
          <w:trHeight w:val="20"/>
        </w:trPr>
        <w:tc>
          <w:tcPr>
            <w:tcW w:w="9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In March 2021, the Company executed an agreement to lease new office space, which is expected to commence during the third quarter of fiscal year 2022. The office space will be approximately 13,000 square feet. This lease will be classified as an operating lease and has a term of approximately 10 years.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Contingencies</w:t>
      </w:r>
    </w:p>
    <w:p>
      <w:pPr>
        <w:spacing w:after="0" w:line="168"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We may, from time to time, be involved in litigation arising out of our operations in the normal course of business or otherwise. Furthermore, third parties may try to seek to impose liability on us in connection with the activities of our portfolio companies. To our knowledge, we have no currently pending material legal proceedings to which we are party or to which any of our assets are subject.</w:t>
      </w:r>
    </w:p>
    <w:p>
      <w:pPr>
        <w:spacing w:after="0" w:line="133" w:lineRule="exact"/>
        <w:rPr>
          <w:sz w:val="20"/>
          <w:szCs w:val="20"/>
          <w:color w:val="auto"/>
        </w:rPr>
      </w:pPr>
    </w:p>
    <w:p>
      <w:pPr>
        <w:ind w:left="268" w:hanging="268"/>
        <w:spacing w:after="0"/>
        <w:tabs>
          <w:tab w:leader="none" w:pos="268"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RELATED PARTY TRANSACTIONS</w:t>
      </w:r>
    </w:p>
    <w:p>
      <w:pPr>
        <w:spacing w:after="0" w:line="168"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As a BDC, we are obligated under the 1940 Act to make available to our portfolio companies significant managerial assistance. “Making available significant managerial assistance” refers to any arrangement whereby we provide significant guidance and counsel concerning the management, operations, or business objectives and policies of</w:t>
      </w: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308"/>
          </w:cols>
          <w:pgMar w:left="292" w:top="140" w:right="299" w:bottom="1440" w:gutter="0" w:footer="0" w:header="0"/>
        </w:sectPr>
      </w:pPr>
    </w:p>
    <w:bookmarkStart w:id="57" w:name="page58"/>
    <w:bookmarkEnd w:id="57"/>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 portfolio company. We are also deemed to be providing managerial assistance to all portfolio companies that we control, either by ourselves or in conjunction with others. The nature and extent of significant managerial assistance provided by us will vary according to the particular needs of each portfolio company.</w:t>
      </w:r>
    </w:p>
    <w:p>
      <w:pPr>
        <w:spacing w:after="0" w:line="13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During both the three months ended June 30, 2021 and 2020, we did not receive any management fees from our portfolio companies. Additionally, as of June 30, 2021 and March 31, 2021, we had dividends receivable from I-45 SLF LLC of $1.6 million and $1.5 million, respectively, which were included in dividends and interest receivables on the Consolidated Statements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300"/>
          </w:cols>
          <w:pgMar w:left="300" w:top="140" w:right="299" w:bottom="1440" w:gutter="0" w:footer="0" w:header="0"/>
        </w:sectPr>
      </w:pPr>
    </w:p>
    <w:bookmarkStart w:id="58" w:name="page59"/>
    <w:bookmarkEnd w:id="58"/>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1"/>
          <w:szCs w:val="11"/>
          <w:color w:val="auto"/>
        </w:rPr>
        <w:t>SUMMARY OF PER SHARE INFORMATION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presents a summary of per share data for the three months ended June 30, 2021 and 2020 (share amounts presented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r>
      <w:tr>
        <w:trPr>
          <w:trHeight w:val="126"/>
        </w:trPr>
        <w:tc>
          <w:tcPr>
            <w:tcW w:w="86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0"/>
                <w:szCs w:val="10"/>
                <w:b w:val="1"/>
                <w:bCs w:val="1"/>
                <w:color w:val="auto"/>
              </w:rPr>
              <w:t>June 30,</w:t>
            </w:r>
          </w:p>
        </w:tc>
        <w:tc>
          <w:tcPr>
            <w:tcW w:w="800" w:type="dxa"/>
            <w:vAlign w:val="bottom"/>
            <w:tcBorders>
              <w:bottom w:val="single" w:sz="8" w:color="auto"/>
            </w:tcBorders>
          </w:tcPr>
          <w:p>
            <w:pPr>
              <w:spacing w:after="0"/>
              <w:rPr>
                <w:sz w:val="10"/>
                <w:szCs w:val="10"/>
                <w:color w:val="auto"/>
              </w:rPr>
            </w:pPr>
          </w:p>
        </w:tc>
      </w:tr>
      <w:tr>
        <w:trPr>
          <w:trHeight w:val="141"/>
        </w:trPr>
        <w:tc>
          <w:tcPr>
            <w:tcW w:w="868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Per Share Data:</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2020</w:t>
            </w:r>
          </w:p>
        </w:tc>
      </w:tr>
      <w:tr>
        <w:trPr>
          <w:trHeight w:val="160"/>
        </w:trPr>
        <w:tc>
          <w:tcPr>
            <w:tcW w:w="8680" w:type="dxa"/>
            <w:vAlign w:val="bottom"/>
            <w:shd w:val="clear" w:color="auto" w:fill="CCEEFF"/>
          </w:tcPr>
          <w:p>
            <w:pPr>
              <w:spacing w:after="0" w:line="160" w:lineRule="exact"/>
              <w:rPr>
                <w:sz w:val="20"/>
                <w:szCs w:val="20"/>
                <w:color w:val="auto"/>
              </w:rPr>
            </w:pPr>
            <w:r>
              <w:rPr>
                <w:rFonts w:ascii="Arial" w:cs="Arial" w:eastAsia="Arial" w:hAnsi="Arial"/>
                <w:sz w:val="12"/>
                <w:szCs w:val="12"/>
                <w:color w:val="auto"/>
              </w:rPr>
              <w:t>Investment income</w:t>
            </w:r>
            <w:r>
              <w:rPr>
                <w:rFonts w:ascii="Arial" w:cs="Arial" w:eastAsia="Arial" w:hAnsi="Arial"/>
                <w:sz w:val="15"/>
                <w:szCs w:val="15"/>
                <w:color w:val="auto"/>
                <w:vertAlign w:val="superscript"/>
              </w:rPr>
              <w:t>1</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0.88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0.84</w:t>
            </w:r>
          </w:p>
        </w:tc>
      </w:tr>
      <w:tr>
        <w:trPr>
          <w:trHeight w:val="180"/>
        </w:trPr>
        <w:tc>
          <w:tcPr>
            <w:tcW w:w="8680" w:type="dxa"/>
            <w:vAlign w:val="bottom"/>
          </w:tcPr>
          <w:p>
            <w:pPr>
              <w:spacing w:after="0"/>
              <w:rPr>
                <w:sz w:val="20"/>
                <w:szCs w:val="20"/>
                <w:color w:val="auto"/>
              </w:rPr>
            </w:pPr>
            <w:r>
              <w:rPr>
                <w:rFonts w:ascii="Arial" w:cs="Arial" w:eastAsia="Arial" w:hAnsi="Arial"/>
                <w:sz w:val="12"/>
                <w:szCs w:val="12"/>
                <w:color w:val="auto"/>
              </w:rPr>
              <w:t>Operating expenses</w:t>
            </w:r>
            <w:r>
              <w:rPr>
                <w:rFonts w:ascii="Arial" w:cs="Arial" w:eastAsia="Arial" w:hAnsi="Arial"/>
                <w:sz w:val="15"/>
                <w:szCs w:val="15"/>
                <w:color w:val="auto"/>
                <w:vertAlign w:val="superscript"/>
              </w:rPr>
              <w:t>1</w:t>
            </w:r>
          </w:p>
        </w:tc>
        <w:tc>
          <w:tcPr>
            <w:tcW w:w="300" w:type="dxa"/>
            <w:vAlign w:val="bottom"/>
          </w:tcPr>
          <w:p>
            <w:pPr>
              <w:spacing w:after="0"/>
              <w:rPr>
                <w:sz w:val="15"/>
                <w:szCs w:val="15"/>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(0.43)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(0.44)</w:t>
            </w:r>
          </w:p>
        </w:tc>
      </w:tr>
      <w:tr>
        <w:trPr>
          <w:trHeight w:val="180"/>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r>
              <w:rPr>
                <w:rFonts w:ascii="Arial" w:cs="Arial" w:eastAsia="Arial" w:hAnsi="Arial"/>
                <w:sz w:val="15"/>
                <w:szCs w:val="15"/>
                <w:color w:val="auto"/>
                <w:vertAlign w:val="superscript"/>
              </w:rPr>
              <w:t>1</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(0.02)</w:t>
            </w:r>
          </w:p>
        </w:tc>
      </w:tr>
      <w:tr>
        <w:trPr>
          <w:trHeight w:val="160"/>
        </w:trPr>
        <w:tc>
          <w:tcPr>
            <w:tcW w:w="8680" w:type="dxa"/>
            <w:vAlign w:val="bottom"/>
          </w:tcPr>
          <w:p>
            <w:pPr>
              <w:spacing w:after="0" w:line="160" w:lineRule="exact"/>
              <w:rPr>
                <w:sz w:val="20"/>
                <w:szCs w:val="20"/>
                <w:color w:val="auto"/>
              </w:rPr>
            </w:pPr>
            <w:r>
              <w:rPr>
                <w:rFonts w:ascii="Arial" w:cs="Arial" w:eastAsia="Arial" w:hAnsi="Arial"/>
                <w:sz w:val="12"/>
                <w:szCs w:val="12"/>
                <w:color w:val="auto"/>
              </w:rPr>
              <w:t>Net investment income</w:t>
            </w:r>
            <w:r>
              <w:rPr>
                <w:rFonts w:ascii="Arial" w:cs="Arial" w:eastAsia="Arial" w:hAnsi="Arial"/>
                <w:sz w:val="15"/>
                <w:szCs w:val="15"/>
                <w:color w:val="auto"/>
                <w:vertAlign w:val="superscript"/>
              </w:rPr>
              <w:t>1</w:t>
            </w:r>
          </w:p>
        </w:tc>
        <w:tc>
          <w:tcPr>
            <w:tcW w:w="300" w:type="dxa"/>
            <w:vAlign w:val="bottom"/>
          </w:tcPr>
          <w:p>
            <w:pPr>
              <w:spacing w:after="0"/>
              <w:rPr>
                <w:sz w:val="13"/>
                <w:szCs w:val="13"/>
                <w:color w:val="auto"/>
              </w:rPr>
            </w:pP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0.43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0.38</w:t>
            </w:r>
          </w:p>
        </w:tc>
      </w:tr>
      <w:tr>
        <w:trPr>
          <w:trHeight w:val="180"/>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Net realized loss</w:t>
            </w:r>
            <w:r>
              <w:rPr>
                <w:rFonts w:ascii="Arial" w:cs="Arial" w:eastAsia="Arial" w:hAnsi="Arial"/>
                <w:sz w:val="15"/>
                <w:szCs w:val="15"/>
                <w:color w:val="auto"/>
                <w:vertAlign w:val="superscript"/>
              </w:rPr>
              <w:t>1</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(0.05)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(0.31)</w:t>
            </w:r>
          </w:p>
        </w:tc>
      </w:tr>
      <w:tr>
        <w:trPr>
          <w:trHeight w:val="180"/>
        </w:trPr>
        <w:tc>
          <w:tcPr>
            <w:tcW w:w="8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unrealized appreciation on investments, net of tax</w:t>
            </w:r>
            <w:r>
              <w:rPr>
                <w:rFonts w:ascii="Arial" w:cs="Arial" w:eastAsia="Arial" w:hAnsi="Arial"/>
                <w:sz w:val="15"/>
                <w:szCs w:val="15"/>
                <w:color w:val="auto"/>
                <w:vertAlign w:val="superscript"/>
              </w:rPr>
              <w:t>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0.33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0.42</w:t>
            </w:r>
          </w:p>
        </w:tc>
      </w:tr>
      <w:tr>
        <w:trPr>
          <w:trHeight w:val="142"/>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Total increase from investment operations</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0.71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0.49</w:t>
            </w:r>
          </w:p>
        </w:tc>
      </w:tr>
      <w:tr>
        <w:trPr>
          <w:trHeight w:val="153"/>
        </w:trPr>
        <w:tc>
          <w:tcPr>
            <w:tcW w:w="8680" w:type="dxa"/>
            <w:vAlign w:val="bottom"/>
          </w:tcPr>
          <w:p>
            <w:pPr>
              <w:spacing w:after="0"/>
              <w:rPr>
                <w:sz w:val="20"/>
                <w:szCs w:val="20"/>
                <w:color w:val="auto"/>
              </w:rPr>
            </w:pPr>
            <w:r>
              <w:rPr>
                <w:rFonts w:ascii="Arial" w:cs="Arial" w:eastAsia="Arial" w:hAnsi="Arial"/>
                <w:sz w:val="12"/>
                <w:szCs w:val="12"/>
                <w:color w:val="auto"/>
              </w:rPr>
              <w:t>Accretive effect of share issuances and repurchases</w:t>
            </w:r>
          </w:p>
        </w:tc>
        <w:tc>
          <w:tcPr>
            <w:tcW w:w="300" w:type="dxa"/>
            <w:vAlign w:val="bottom"/>
          </w:tcPr>
          <w:p>
            <w:pPr>
              <w:spacing w:after="0"/>
              <w:rPr>
                <w:sz w:val="13"/>
                <w:szCs w:val="13"/>
                <w:color w:val="auto"/>
              </w:rPr>
            </w:pP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r>
      <w:tr>
        <w:trPr>
          <w:trHeight w:val="153"/>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Dividends to shareholders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(0.53)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(0.51)</w:t>
            </w:r>
          </w:p>
        </w:tc>
      </w:tr>
      <w:tr>
        <w:trPr>
          <w:trHeight w:val="180"/>
        </w:trPr>
        <w:tc>
          <w:tcPr>
            <w:tcW w:w="8680" w:type="dxa"/>
            <w:vAlign w:val="bottom"/>
          </w:tcPr>
          <w:p>
            <w:pPr>
              <w:spacing w:after="0"/>
              <w:rPr>
                <w:sz w:val="20"/>
                <w:szCs w:val="20"/>
                <w:color w:val="auto"/>
              </w:rPr>
            </w:pPr>
            <w:r>
              <w:rPr>
                <w:rFonts w:ascii="Arial" w:cs="Arial" w:eastAsia="Arial" w:hAnsi="Arial"/>
                <w:sz w:val="12"/>
                <w:szCs w:val="12"/>
                <w:color w:val="auto"/>
              </w:rPr>
              <w:t>Issuance of restricted stock</w:t>
            </w:r>
            <w:r>
              <w:rPr>
                <w:rFonts w:ascii="Arial" w:cs="Arial" w:eastAsia="Arial" w:hAnsi="Arial"/>
                <w:sz w:val="15"/>
                <w:szCs w:val="15"/>
                <w:color w:val="auto"/>
                <w:vertAlign w:val="superscript"/>
              </w:rPr>
              <w:t>1,2</w:t>
            </w:r>
          </w:p>
        </w:tc>
        <w:tc>
          <w:tcPr>
            <w:tcW w:w="300" w:type="dxa"/>
            <w:vAlign w:val="bottom"/>
          </w:tcPr>
          <w:p>
            <w:pPr>
              <w:spacing w:after="0"/>
              <w:rPr>
                <w:sz w:val="15"/>
                <w:szCs w:val="15"/>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(0.10)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(0.18)</w:t>
            </w:r>
          </w:p>
        </w:tc>
      </w:tr>
      <w:tr>
        <w:trPr>
          <w:trHeight w:val="153"/>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Common stock withheld for payroll taxes upon vesting of restricted stock</w:t>
            </w: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0.00</w:t>
            </w:r>
          </w:p>
        </w:tc>
      </w:tr>
      <w:tr>
        <w:trPr>
          <w:trHeight w:val="153"/>
        </w:trPr>
        <w:tc>
          <w:tcPr>
            <w:tcW w:w="8680" w:type="dxa"/>
            <w:vAlign w:val="bottom"/>
          </w:tcPr>
          <w:p>
            <w:pPr>
              <w:spacing w:after="0"/>
              <w:rPr>
                <w:sz w:val="20"/>
                <w:szCs w:val="20"/>
                <w:color w:val="auto"/>
              </w:rPr>
            </w:pPr>
            <w:r>
              <w:rPr>
                <w:rFonts w:ascii="Arial" w:cs="Arial" w:eastAsia="Arial" w:hAnsi="Arial"/>
                <w:sz w:val="12"/>
                <w:szCs w:val="12"/>
                <w:color w:val="auto"/>
              </w:rPr>
              <w:t>Share based compensation expense</w:t>
            </w:r>
          </w:p>
        </w:tc>
        <w:tc>
          <w:tcPr>
            <w:tcW w:w="300" w:type="dxa"/>
            <w:vAlign w:val="bottom"/>
          </w:tcPr>
          <w:p>
            <w:pPr>
              <w:spacing w:after="0"/>
              <w:rPr>
                <w:sz w:val="13"/>
                <w:szCs w:val="13"/>
                <w:color w:val="auto"/>
              </w:rPr>
            </w:pP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0.05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0.03</w:t>
            </w:r>
          </w:p>
        </w:tc>
      </w:tr>
      <w:tr>
        <w:trPr>
          <w:trHeight w:val="180"/>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5"/>
                <w:szCs w:val="15"/>
                <w:color w:val="auto"/>
                <w:vertAlign w:val="superscript"/>
              </w:rPr>
              <w:t>3</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(0.03)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(0.01)</w:t>
            </w:r>
          </w:p>
        </w:tc>
      </w:tr>
      <w:tr>
        <w:trPr>
          <w:trHeight w:val="142"/>
        </w:trPr>
        <w:tc>
          <w:tcPr>
            <w:tcW w:w="8680" w:type="dxa"/>
            <w:vAlign w:val="bottom"/>
          </w:tcPr>
          <w:p>
            <w:pPr>
              <w:spacing w:after="0"/>
              <w:rPr>
                <w:sz w:val="20"/>
                <w:szCs w:val="20"/>
                <w:color w:val="auto"/>
              </w:rPr>
            </w:pPr>
            <w:r>
              <w:rPr>
                <w:rFonts w:ascii="Arial" w:cs="Arial" w:eastAsia="Arial" w:hAnsi="Arial"/>
                <w:sz w:val="12"/>
                <w:szCs w:val="12"/>
                <w:color w:val="auto"/>
              </w:rPr>
              <w:t>Increase (decrease) in net asset value</w:t>
            </w:r>
          </w:p>
        </w:tc>
        <w:tc>
          <w:tcPr>
            <w:tcW w:w="300" w:type="dxa"/>
            <w:vAlign w:val="bottom"/>
          </w:tcPr>
          <w:p>
            <w:pPr>
              <w:spacing w:after="0"/>
              <w:rPr>
                <w:sz w:val="12"/>
                <w:szCs w:val="12"/>
                <w:color w:val="auto"/>
              </w:rPr>
            </w:pP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0.57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(0.18)</w:t>
            </w:r>
          </w:p>
        </w:tc>
      </w:tr>
      <w:tr>
        <w:trPr>
          <w:trHeight w:val="153"/>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Net asset value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53"/>
        </w:trPr>
        <w:tc>
          <w:tcPr>
            <w:tcW w:w="86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Beginning of period</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16.01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15.13</w:t>
            </w:r>
          </w:p>
        </w:tc>
      </w:tr>
      <w:tr>
        <w:trPr>
          <w:trHeight w:val="158"/>
        </w:trPr>
        <w:tc>
          <w:tcPr>
            <w:tcW w:w="8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End of period</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16.58</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14.95</w:t>
            </w:r>
          </w:p>
        </w:tc>
      </w:tr>
    </w:tbl>
    <w:p>
      <w:pPr>
        <w:spacing w:after="0" w:line="149" w:lineRule="exact"/>
        <w:rPr>
          <w:sz w:val="20"/>
          <w:szCs w:val="20"/>
          <w:color w:val="auto"/>
        </w:rPr>
      </w:pPr>
    </w:p>
    <w:p>
      <w:pPr>
        <w:sectPr>
          <w:pgSz w:w="11900" w:h="16838" w:orient="portrait"/>
          <w:cols w:equalWidth="0" w:num="1">
            <w:col w:w="11300"/>
          </w:cols>
          <w:pgMar w:left="300" w:top="140" w:right="299" w:bottom="1440" w:gutter="0" w:footer="0" w:header="0"/>
        </w:sectPr>
      </w:pPr>
    </w:p>
    <w:p>
      <w:pPr>
        <w:spacing w:after="0"/>
        <w:rPr>
          <w:sz w:val="20"/>
          <w:szCs w:val="20"/>
          <w:color w:val="auto"/>
        </w:rPr>
      </w:pPr>
      <w:r>
        <w:rPr>
          <w:rFonts w:ascii="Arial" w:cs="Arial" w:eastAsia="Arial" w:hAnsi="Arial"/>
          <w:sz w:val="12"/>
          <w:szCs w:val="12"/>
          <w:b w:val="1"/>
          <w:bCs w:val="1"/>
          <w:color w:val="auto"/>
        </w:rPr>
        <w:t>Ratios and Supplemental Data</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4"/>
          <w:szCs w:val="14"/>
          <w:color w:val="auto"/>
          <w:vertAlign w:val="superscript"/>
        </w:rPr>
        <w:t>4</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auto"/>
        </w:rPr>
        <w:t>Ratio of net investment income to average net assets</w:t>
      </w:r>
      <w:r>
        <w:rPr>
          <w:rFonts w:ascii="Arial" w:cs="Arial" w:eastAsia="Arial" w:hAnsi="Arial"/>
          <w:sz w:val="13"/>
          <w:szCs w:val="13"/>
          <w:color w:val="auto"/>
          <w:vertAlign w:val="superscript"/>
        </w:rPr>
        <w:t>4</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Portfolio turnover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Total investment return</w:t>
      </w:r>
      <w:r>
        <w:rPr>
          <w:rFonts w:ascii="Arial" w:cs="Arial" w:eastAsia="Arial" w:hAnsi="Arial"/>
          <w:sz w:val="15"/>
          <w:szCs w:val="15"/>
          <w:color w:val="auto"/>
          <w:vertAlign w:val="superscript"/>
        </w:rPr>
        <w:t>4,5</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Total return based on change in NAV</w:t>
      </w:r>
      <w:r>
        <w:rPr>
          <w:rFonts w:ascii="Arial" w:cs="Arial" w:eastAsia="Arial" w:hAnsi="Arial"/>
          <w:sz w:val="15"/>
          <w:szCs w:val="15"/>
          <w:color w:val="auto"/>
          <w:vertAlign w:val="superscript"/>
        </w:rPr>
        <w:t>4,6</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Per share market value at the end of the period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Weighted-average common shares outstanding</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Weighted-average fully diluted shares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Common shares outstanding at end of period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4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2.64 %</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2.91 %</w:t>
            </w:r>
          </w:p>
        </w:tc>
      </w:tr>
      <w:tr>
        <w:trPr>
          <w:trHeight w:val="180"/>
        </w:trPr>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2.61 %</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2.48 %</w:t>
            </w:r>
          </w:p>
        </w:tc>
      </w:tr>
      <w:tr>
        <w:trPr>
          <w:trHeight w:val="153"/>
        </w:trPr>
        <w:tc>
          <w:tcPr>
            <w:tcW w:w="4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0.79 %</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1.34 %</w:t>
            </w:r>
          </w:p>
        </w:tc>
      </w:tr>
      <w:tr>
        <w:trPr>
          <w:trHeight w:val="180"/>
        </w:trPr>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7.22 %</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22.50 %</w:t>
            </w:r>
          </w:p>
        </w:tc>
      </w:tr>
      <w:tr>
        <w:trPr>
          <w:trHeight w:val="180"/>
        </w:trPr>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6.87 %</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2.18 %</w:t>
            </w:r>
          </w:p>
        </w:tc>
      </w:tr>
      <w:tr>
        <w:trPr>
          <w:trHeight w:val="324"/>
        </w:trPr>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23.23</w:t>
            </w:r>
          </w:p>
        </w:tc>
        <w:tc>
          <w:tcPr>
            <w:tcW w:w="4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13.48</w:t>
            </w:r>
          </w:p>
        </w:tc>
      </w:tr>
      <w:tr>
        <w:trPr>
          <w:trHeight w:val="153"/>
        </w:trPr>
        <w:tc>
          <w:tcPr>
            <w:tcW w:w="420" w:type="dxa"/>
            <w:vAlign w:val="bottom"/>
          </w:tcPr>
          <w:p>
            <w:pPr>
              <w:spacing w:after="0"/>
              <w:rPr>
                <w:sz w:val="13"/>
                <w:szCs w:val="13"/>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21,202</w:t>
            </w:r>
          </w:p>
        </w:tc>
        <w:tc>
          <w:tcPr>
            <w:tcW w:w="48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18,148</w:t>
            </w:r>
          </w:p>
        </w:tc>
      </w:tr>
      <w:tr>
        <w:trPr>
          <w:trHeight w:val="153"/>
        </w:trPr>
        <w:tc>
          <w:tcPr>
            <w:tcW w:w="420" w:type="dxa"/>
            <w:vAlign w:val="bottom"/>
          </w:tcPr>
          <w:p>
            <w:pPr>
              <w:spacing w:after="0"/>
              <w:rPr>
                <w:sz w:val="13"/>
                <w:szCs w:val="13"/>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21,202</w:t>
            </w:r>
          </w:p>
        </w:tc>
        <w:tc>
          <w:tcPr>
            <w:tcW w:w="48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18,148</w:t>
            </w:r>
          </w:p>
        </w:tc>
      </w:tr>
      <w:tr>
        <w:trPr>
          <w:trHeight w:val="153"/>
        </w:trPr>
        <w:tc>
          <w:tcPr>
            <w:tcW w:w="420" w:type="dxa"/>
            <w:vAlign w:val="bottom"/>
          </w:tcPr>
          <w:p>
            <w:pPr>
              <w:spacing w:after="0"/>
              <w:rPr>
                <w:sz w:val="13"/>
                <w:szCs w:val="13"/>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22,200</w:t>
            </w:r>
          </w:p>
        </w:tc>
        <w:tc>
          <w:tcPr>
            <w:tcW w:w="48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18,588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-5516245</wp:posOffset>
            </wp:positionH>
            <wp:positionV relativeFrom="paragraph">
              <wp:posOffset>-1148080</wp:posOffset>
            </wp:positionV>
            <wp:extent cx="717804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-936625</wp:posOffset>
            </wp:positionV>
            <wp:extent cx="717804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-725170</wp:posOffset>
            </wp:positionV>
            <wp:extent cx="717804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-496570</wp:posOffset>
            </wp:positionV>
            <wp:extent cx="7178040" cy="10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-290830</wp:posOffset>
            </wp:positionV>
            <wp:extent cx="717804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-96520</wp:posOffset>
            </wp:positionV>
            <wp:extent cx="7178040"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7960" w:space="720"/>
            <w:col w:w="2620"/>
          </w:cols>
          <w:pgMar w:left="300" w:top="140" w:right="299" w:bottom="1440" w:gutter="0" w:footer="0" w:header="0"/>
          <w:type w:val="continuous"/>
        </w:sectPr>
      </w:pPr>
    </w:p>
    <w:p>
      <w:pPr>
        <w:ind w:left="420" w:hanging="212"/>
        <w:spacing w:after="0"/>
        <w:tabs>
          <w:tab w:leader="none" w:pos="420" w:val="left"/>
        </w:tabs>
        <w:numPr>
          <w:ilvl w:val="0"/>
          <w:numId w:val="52"/>
        </w:numPr>
        <w:rPr>
          <w:rFonts w:ascii="Arial" w:cs="Arial" w:eastAsia="Arial" w:hAnsi="Arial"/>
          <w:sz w:val="14"/>
          <w:szCs w:val="14"/>
          <w:color w:val="auto"/>
          <w:vertAlign w:val="superscript"/>
        </w:rPr>
      </w:pPr>
      <w:r>
        <w:rPr>
          <w:rFonts w:ascii="Arial" w:cs="Arial" w:eastAsia="Arial" w:hAnsi="Arial"/>
          <w:sz w:val="11"/>
          <w:szCs w:val="11"/>
          <w:color w:val="auto"/>
        </w:rPr>
        <w:t>Based on weighted average of common shares outstanding for the period.</w:t>
      </w:r>
    </w:p>
    <w:p>
      <w:pPr>
        <w:ind w:left="420" w:hanging="212"/>
        <w:spacing w:after="0" w:line="187" w:lineRule="auto"/>
        <w:tabs>
          <w:tab w:leader="none" w:pos="420" w:val="left"/>
        </w:tabs>
        <w:numPr>
          <w:ilvl w:val="0"/>
          <w:numId w:val="53"/>
        </w:numPr>
        <w:rPr>
          <w:rFonts w:ascii="Arial" w:cs="Arial" w:eastAsia="Arial" w:hAnsi="Arial"/>
          <w:sz w:val="14"/>
          <w:szCs w:val="14"/>
          <w:color w:val="auto"/>
          <w:vertAlign w:val="superscript"/>
        </w:rPr>
      </w:pPr>
      <w:r>
        <w:rPr>
          <w:rFonts w:ascii="Arial" w:cs="Arial" w:eastAsia="Arial" w:hAnsi="Arial"/>
          <w:sz w:val="11"/>
          <w:szCs w:val="11"/>
          <w:color w:val="auto"/>
        </w:rPr>
        <w:t>Reflects impact of the different share amounts as a result of issuance or forfeiture of restricted stock during the period.</w:t>
      </w:r>
    </w:p>
    <w:p>
      <w:pPr>
        <w:ind w:left="420" w:hanging="212"/>
        <w:spacing w:after="0" w:line="224" w:lineRule="auto"/>
        <w:tabs>
          <w:tab w:leader="none" w:pos="420" w:val="left"/>
        </w:tabs>
        <w:numPr>
          <w:ilvl w:val="0"/>
          <w:numId w:val="54"/>
        </w:numPr>
        <w:rPr>
          <w:rFonts w:ascii="Arial" w:cs="Arial" w:eastAsia="Arial" w:hAnsi="Arial"/>
          <w:sz w:val="12"/>
          <w:szCs w:val="12"/>
          <w:color w:val="auto"/>
          <w:vertAlign w:val="superscript"/>
        </w:rPr>
      </w:pPr>
      <w:r>
        <w:rPr>
          <w:rFonts w:ascii="Arial" w:cs="Arial" w:eastAsia="Arial" w:hAnsi="Arial"/>
          <w:sz w:val="9"/>
          <w:szCs w:val="9"/>
          <w:color w:val="auto"/>
        </w:rPr>
        <w:t>Includes the impact of the different share amounts as a result of calculating certain per share data based on the weighted-average basic shares outstanding during the period and certain per share data based on the shares outstanding as of a period end.</w:t>
      </w:r>
    </w:p>
    <w:p>
      <w:pPr>
        <w:ind w:left="420"/>
        <w:spacing w:after="0" w:line="234" w:lineRule="auto"/>
        <w:rPr>
          <w:sz w:val="20"/>
          <w:szCs w:val="20"/>
          <w:color w:val="auto"/>
        </w:rPr>
      </w:pPr>
      <w:r>
        <w:rPr>
          <w:rFonts w:ascii="Arial" w:cs="Arial" w:eastAsia="Arial" w:hAnsi="Arial"/>
          <w:sz w:val="11"/>
          <w:szCs w:val="11"/>
          <w:color w:val="auto"/>
        </w:rPr>
        <w:t>The balance increases with the increase in variability of shares outstanding throughout the year due to share issuance and repurchase activity.</w:t>
      </w:r>
    </w:p>
    <w:p>
      <w:pPr>
        <w:ind w:left="420" w:hanging="212"/>
        <w:spacing w:after="0" w:line="188" w:lineRule="auto"/>
        <w:tabs>
          <w:tab w:leader="none" w:pos="420" w:val="left"/>
        </w:tabs>
        <w:numPr>
          <w:ilvl w:val="0"/>
          <w:numId w:val="55"/>
        </w:numPr>
        <w:rPr>
          <w:rFonts w:ascii="Arial" w:cs="Arial" w:eastAsia="Arial" w:hAnsi="Arial"/>
          <w:sz w:val="14"/>
          <w:szCs w:val="14"/>
          <w:color w:val="auto"/>
          <w:vertAlign w:val="superscript"/>
        </w:rPr>
      </w:pPr>
      <w:r>
        <w:rPr>
          <w:rFonts w:ascii="Arial" w:cs="Arial" w:eastAsia="Arial" w:hAnsi="Arial"/>
          <w:sz w:val="11"/>
          <w:szCs w:val="11"/>
          <w:color w:val="auto"/>
        </w:rPr>
        <w:t>Not annualized.</w:t>
      </w:r>
    </w:p>
    <w:p>
      <w:pPr>
        <w:ind w:left="420" w:hanging="212"/>
        <w:spacing w:after="0" w:line="210" w:lineRule="auto"/>
        <w:tabs>
          <w:tab w:leader="none" w:pos="419" w:val="left"/>
        </w:tabs>
        <w:numPr>
          <w:ilvl w:val="0"/>
          <w:numId w:val="56"/>
        </w:numPr>
        <w:rPr>
          <w:rFonts w:ascii="Arial" w:cs="Arial" w:eastAsia="Arial" w:hAnsi="Arial"/>
          <w:sz w:val="14"/>
          <w:szCs w:val="14"/>
          <w:color w:val="auto"/>
          <w:vertAlign w:val="superscript"/>
        </w:rPr>
      </w:pPr>
      <w:r>
        <w:rPr>
          <w:rFonts w:ascii="Arial" w:cs="Arial" w:eastAsia="Arial" w:hAnsi="Arial"/>
          <w:sz w:val="11"/>
          <w:szCs w:val="11"/>
          <w:color w:val="auto"/>
        </w:rPr>
        <w:t>Total investment return based on purchase of stock at the current market price on the first day and a sale at the current market price on the last day of each period reported on the table and assumes reinvestment of dividends at prices obtained by CSWC’s dividend reinvestment plan during the period. The return does not reflect any sales load that may be paid by an investor.</w:t>
      </w:r>
    </w:p>
    <w:p>
      <w:pPr>
        <w:ind w:left="420" w:hanging="212"/>
        <w:spacing w:after="0" w:line="231" w:lineRule="auto"/>
        <w:tabs>
          <w:tab w:leader="none" w:pos="420" w:val="left"/>
        </w:tabs>
        <w:numPr>
          <w:ilvl w:val="0"/>
          <w:numId w:val="57"/>
        </w:numPr>
        <w:rPr>
          <w:rFonts w:ascii="Arial" w:cs="Arial" w:eastAsia="Arial" w:hAnsi="Arial"/>
          <w:sz w:val="13"/>
          <w:szCs w:val="13"/>
          <w:color w:val="auto"/>
          <w:vertAlign w:val="superscript"/>
        </w:rPr>
      </w:pPr>
      <w:r>
        <w:rPr>
          <w:rFonts w:ascii="Arial" w:cs="Arial" w:eastAsia="Arial" w:hAnsi="Arial"/>
          <w:sz w:val="10"/>
          <w:szCs w:val="10"/>
          <w:color w:val="auto"/>
        </w:rPr>
        <w:t>Total return based on change in NAV was calculated using the sum of ending NAV plus dividends to shareholders and other non-operating changes during the period, as divided by the beginning NAV, and has not been annualized.</w:t>
      </w:r>
    </w:p>
    <w:p>
      <w:pPr>
        <w:spacing w:after="0" w:line="200" w:lineRule="exact"/>
        <w:rPr>
          <w:rFonts w:ascii="Arial" w:cs="Arial" w:eastAsia="Arial" w:hAnsi="Arial"/>
          <w:sz w:val="13"/>
          <w:szCs w:val="13"/>
          <w:color w:val="auto"/>
          <w:vertAlign w:val="superscript"/>
        </w:rPr>
      </w:pPr>
    </w:p>
    <w:p>
      <w:pPr>
        <w:spacing w:after="0" w:line="200" w:lineRule="exact"/>
        <w:rPr>
          <w:rFonts w:ascii="Arial" w:cs="Arial" w:eastAsia="Arial" w:hAnsi="Arial"/>
          <w:sz w:val="13"/>
          <w:szCs w:val="13"/>
          <w:color w:val="auto"/>
          <w:vertAlign w:val="superscript"/>
        </w:rPr>
      </w:pPr>
    </w:p>
    <w:p>
      <w:pPr>
        <w:spacing w:after="0" w:line="275" w:lineRule="exact"/>
        <w:rPr>
          <w:rFonts w:ascii="Arial" w:cs="Arial" w:eastAsia="Arial" w:hAnsi="Arial"/>
          <w:sz w:val="13"/>
          <w:szCs w:val="13"/>
          <w:color w:val="auto"/>
          <w:vertAlign w:val="superscript"/>
        </w:rPr>
      </w:pPr>
    </w:p>
    <w:p>
      <w:pPr>
        <w:ind w:left="5580"/>
        <w:spacing w:after="0"/>
        <w:rPr>
          <w:rFonts w:ascii="Arial" w:cs="Arial" w:eastAsia="Arial" w:hAnsi="Arial"/>
          <w:sz w:val="13"/>
          <w:szCs w:val="13"/>
          <w:color w:val="auto"/>
          <w:vertAlign w:val="superscript"/>
        </w:rPr>
      </w:pPr>
      <w:r>
        <w:rPr>
          <w:rFonts w:ascii="Arial" w:cs="Arial" w:eastAsia="Arial" w:hAnsi="Arial"/>
          <w:sz w:val="12"/>
          <w:szCs w:val="12"/>
          <w:color w:val="auto"/>
        </w:rPr>
        <w:t>59</w:t>
      </w:r>
    </w:p>
    <w:p>
      <w:pPr>
        <w:sectPr>
          <w:pgSz w:w="11900" w:h="16838" w:orient="portrait"/>
          <w:cols w:equalWidth="0" w:num="1">
            <w:col w:w="11300"/>
          </w:cols>
          <w:pgMar w:left="300" w:top="140" w:right="299" w:bottom="1440" w:gutter="0" w:footer="0" w:header="0"/>
          <w:type w:val="continuous"/>
        </w:sectPr>
      </w:pPr>
    </w:p>
    <w:bookmarkStart w:id="59" w:name="page60"/>
    <w:bookmarkEnd w:id="59"/>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13.</w:t>
      </w:r>
      <w:r>
        <w:rPr>
          <w:sz w:val="20"/>
          <w:szCs w:val="20"/>
          <w:color w:val="auto"/>
        </w:rPr>
        <w:tab/>
      </w:r>
      <w:r>
        <w:rPr>
          <w:rFonts w:ascii="Arial" w:cs="Arial" w:eastAsia="Arial" w:hAnsi="Arial"/>
          <w:sz w:val="11"/>
          <w:szCs w:val="11"/>
          <w:color w:val="auto"/>
        </w:rPr>
        <w:t>SIGNIFICANT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I-45 SLF LLC</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September 2015, we entered into a limited liability company agreement with Main Street Capital Corporation ("Main Street") to form I-45 SLF LLC (the "Initial I-45 LLC Agreement"). I-45 SLF LLC began investing in UMM syndicated senior secured loans during the quarter ended December 31, 2015. The initial equity capital commitment to I-45 SLF LLC totaled $85.0 million, consisting of $68.0 million from CSWC and $17.0 million from Main Street. On April 30, 2020, pursuant to the terms of the Initial I-45 LLC Agreement, each of CSWC and Main Street made an additional equity capital commitment of $12.8 million and $3.2 million, respectively, which resulted in a total equity capital commitment to I-45 SLF LLC of $80.8 million and $20.2 million, respectively.</w:t>
      </w:r>
    </w:p>
    <w:p>
      <w:pPr>
        <w:spacing w:after="0" w:line="14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March 11, 2021, the Company and Main Street entered into the Second Amended and Restated Limited Liability Company Operating Agreement (the "Amendment"), which increased the current profits interest that is allocated to the Company on a pro rata basis from (a) 75.6% to (b) an amount equal to: (i) 76.26250% as of the date of the Amendment through the quarter ended March 31, 2021; (ii) 76.9250% for quarter ended June 30, 2021; (iii) 77.58750% for the quarter ended September 30, 2021; and (iv) 78.250% for the quarter ended December 31, 2021 and periods thereafter.</w:t>
      </w:r>
    </w:p>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March 25, 2021, I-45 SLF LLC declared a return of capital dividend to its members in the amount of $10.0 million. As of June 30, 2021, total funded equity capital totaled $95.0 million, consisting of $76.0 million from CSWC and $19.0 million from Main Street. CSWC owns 80% of I-45 SLF LLC and has a current profits interest of 76.925%, while Main Street Capital Corporation owns 20% and has a current profits interest of 23.075%. I-45 SLF LLC's Board of Managers makes all investment and operational decisions for the fund, and consists of equal representation from CSWC and Main Street Capital Corporation.</w:t>
      </w:r>
    </w:p>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June 30, 2021 and March 31, 2021, I-45 SLF LLC had total assets of $185.9 million and $177.8 million, respectively. I-45 SLF LLC had approximately $169.6 million and $164.4 million of total investments at fair value as of June 30, 2021 and March 31, 2021, respectively. The portfolio companies in I-45 SLF LLC are in industries similar to those in which CSWC may invest directly. As of June 30, 2021, none of the credit investments were unsettled trades. During the three months ended June 30, 2021, I-45 SLF LLC declared a total dividend of $2.1 million of which $1.6 million was paid to CSWC in July 2021.</w:t>
      </w:r>
    </w:p>
    <w:p>
      <w:pPr>
        <w:spacing w:after="0" w:line="14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Additionally, I-45 SLF LLC closed on a $75.0 million 5-year senior secured credit facility (the “I-45 credit facility”) in November 2015. The I-45 credit facility includes an accordion feature which will allow I-45 SLF LLC to achieve leverage of approximately 2x debt-to-equity. Borrowings under the I-45 credit facility are secured by all of the assets of I-45 SLF LLC and bear interest at a rate equal to LIBOR plus 2.5% per annum. During the year ended March 31, 2017, I-45 SLF LLC increased debt commitments outstanding by an additional $90.0 million by adding three additional lenders to the syndicate, bringing total debt commitments to $165.0 million. In July 2017, the I-45 credit facility was amended to extend the maturity to July 2022. Additionally, the amendment reduced the interest rate on borrowings to LIBOR plus 2.4% per annum. In November 2019, the I-45 credit facility was amended to extend the maturity to November 2024 and to reduce the interest rate on borrowings to LIBOR plus 2.25% per annum. On April 30, 2020, the I-45 credit facility was amended to permanently reduce the I-45 credit facility amount through a prepayment of $15.0 million and to change the minimum utilization requirements. In March 2021, the I-45 credit facility was amended to extend the maturity to March 25, 2026 and to reduce the interest rate on borrowings to LIBOR plus 2.15%. Under the I-45 credit facility, $107.0 million has been drawn as of June 30,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300"/>
          </w:cols>
          <w:pgMar w:left="300" w:top="140" w:right="299" w:bottom="1440" w:gutter="0" w:footer="0" w:header="0"/>
        </w:sectPr>
      </w:pPr>
    </w:p>
    <w:bookmarkStart w:id="60" w:name="page61"/>
    <w:bookmarkEnd w:id="60"/>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Below is certain summarized financial information for I-45 SLF LLC as of June 30, 2021 and March 31, 2021 and for the three months ended June 30, 2021 and 2020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6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June 30, 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March 31, 2021</w:t>
            </w:r>
          </w:p>
        </w:tc>
      </w:tr>
      <w:tr>
        <w:trPr>
          <w:trHeight w:val="137"/>
        </w:trPr>
        <w:tc>
          <w:tcPr>
            <w:tcW w:w="7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Selected Balance Sheet Information:</w:t>
            </w:r>
          </w:p>
        </w:tc>
        <w:tc>
          <w:tcPr>
            <w:tcW w:w="1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53"/>
        </w:trPr>
        <w:tc>
          <w:tcPr>
            <w:tcW w:w="7620" w:type="dxa"/>
            <w:vAlign w:val="bottom"/>
          </w:tcPr>
          <w:p>
            <w:pPr>
              <w:ind w:left="80"/>
              <w:spacing w:after="0"/>
              <w:rPr>
                <w:sz w:val="20"/>
                <w:szCs w:val="20"/>
                <w:color w:val="auto"/>
              </w:rPr>
            </w:pPr>
            <w:r>
              <w:rPr>
                <w:rFonts w:ascii="Arial" w:cs="Arial" w:eastAsia="Arial" w:hAnsi="Arial"/>
                <w:sz w:val="12"/>
                <w:szCs w:val="12"/>
                <w:color w:val="auto"/>
              </w:rPr>
              <w:t>Investments, at fair value (cost $176,002 and $170,791)</w:t>
            </w:r>
          </w:p>
        </w:tc>
        <w:tc>
          <w:tcPr>
            <w:tcW w:w="1260" w:type="dxa"/>
            <w:vAlign w:val="bottom"/>
          </w:tcPr>
          <w:p>
            <w:pPr>
              <w:jc w:val="right"/>
              <w:ind w:right="115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169,625</w:t>
            </w:r>
          </w:p>
        </w:tc>
        <w:tc>
          <w:tcPr>
            <w:tcW w:w="10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164,351</w:t>
            </w:r>
          </w:p>
        </w:tc>
      </w:tr>
      <w:tr>
        <w:trPr>
          <w:trHeight w:val="153"/>
        </w:trPr>
        <w:tc>
          <w:tcPr>
            <w:tcW w:w="7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10,419</w:t>
            </w:r>
          </w:p>
        </w:tc>
      </w:tr>
      <w:tr>
        <w:trPr>
          <w:trHeight w:val="153"/>
        </w:trPr>
        <w:tc>
          <w:tcPr>
            <w:tcW w:w="7620" w:type="dxa"/>
            <w:vAlign w:val="bottom"/>
          </w:tcPr>
          <w:p>
            <w:pPr>
              <w:ind w:left="80"/>
              <w:spacing w:after="0"/>
              <w:rPr>
                <w:sz w:val="20"/>
                <w:szCs w:val="20"/>
                <w:color w:val="auto"/>
              </w:rPr>
            </w:pPr>
            <w:r>
              <w:rPr>
                <w:rFonts w:ascii="Arial" w:cs="Arial" w:eastAsia="Arial" w:hAnsi="Arial"/>
                <w:sz w:val="12"/>
                <w:szCs w:val="12"/>
                <w:color w:val="auto"/>
              </w:rPr>
              <w:t>Due from broker</w:t>
            </w:r>
          </w:p>
        </w:tc>
        <w:tc>
          <w:tcPr>
            <w:tcW w:w="1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3,014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152</w:t>
            </w:r>
          </w:p>
        </w:tc>
      </w:tr>
      <w:tr>
        <w:trPr>
          <w:trHeight w:val="153"/>
        </w:trPr>
        <w:tc>
          <w:tcPr>
            <w:tcW w:w="7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financing costs and other assets</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2,301</w:t>
            </w:r>
          </w:p>
        </w:tc>
      </w:tr>
      <w:tr>
        <w:trPr>
          <w:trHeight w:val="153"/>
        </w:trPr>
        <w:tc>
          <w:tcPr>
            <w:tcW w:w="76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Interest receivable</w:t>
            </w:r>
          </w:p>
        </w:tc>
        <w:tc>
          <w:tcPr>
            <w:tcW w:w="1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553</w:t>
            </w:r>
          </w:p>
        </w:tc>
      </w:tr>
      <w:tr>
        <w:trPr>
          <w:trHeight w:val="158"/>
        </w:trPr>
        <w:tc>
          <w:tcPr>
            <w:tcW w:w="7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assets</w:t>
            </w:r>
          </w:p>
        </w:tc>
        <w:tc>
          <w:tcPr>
            <w:tcW w:w="126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185,870</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177,776</w:t>
            </w:r>
          </w:p>
        </w:tc>
      </w:tr>
      <w:tr>
        <w:trPr>
          <w:trHeight w:val="153"/>
        </w:trPr>
        <w:tc>
          <w:tcPr>
            <w:tcW w:w="7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3"/>
        </w:trPr>
        <w:tc>
          <w:tcPr>
            <w:tcW w:w="7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Senior credit facility payable</w:t>
            </w:r>
          </w:p>
        </w:tc>
        <w:tc>
          <w:tcPr>
            <w:tcW w:w="1260" w:type="dxa"/>
            <w:vAlign w:val="bottom"/>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91,000</w:t>
            </w:r>
          </w:p>
        </w:tc>
      </w:tr>
      <w:tr>
        <w:trPr>
          <w:trHeight w:val="153"/>
        </w:trPr>
        <w:tc>
          <w:tcPr>
            <w:tcW w:w="76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 liabilities</w:t>
            </w:r>
          </w:p>
        </w:tc>
        <w:tc>
          <w:tcPr>
            <w:tcW w:w="1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2,131</w:t>
            </w:r>
          </w:p>
        </w:tc>
      </w:tr>
      <w:tr>
        <w:trPr>
          <w:trHeight w:val="142"/>
        </w:trPr>
        <w:tc>
          <w:tcPr>
            <w:tcW w:w="7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liabilities</w:t>
            </w:r>
          </w:p>
        </w:tc>
        <w:tc>
          <w:tcPr>
            <w:tcW w:w="1260" w:type="dxa"/>
            <w:vAlign w:val="bottom"/>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109,215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106,203</w:t>
            </w:r>
          </w:p>
        </w:tc>
      </w:tr>
      <w:tr>
        <w:trPr>
          <w:trHeight w:val="153"/>
        </w:trPr>
        <w:tc>
          <w:tcPr>
            <w:tcW w:w="76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Members’ equity</w:t>
            </w:r>
          </w:p>
        </w:tc>
        <w:tc>
          <w:tcPr>
            <w:tcW w:w="1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76,655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71,573</w:t>
            </w:r>
          </w:p>
        </w:tc>
      </w:tr>
      <w:tr>
        <w:trPr>
          <w:trHeight w:val="149"/>
        </w:trPr>
        <w:tc>
          <w:tcPr>
            <w:tcW w:w="7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liabilities and members' equity</w:t>
            </w:r>
          </w:p>
        </w:tc>
        <w:tc>
          <w:tcPr>
            <w:tcW w:w="126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185,870</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177,776</w:t>
            </w:r>
          </w:p>
        </w:tc>
      </w:tr>
      <w:tr>
        <w:trPr>
          <w:trHeight w:val="20"/>
        </w:trPr>
        <w:tc>
          <w:tcPr>
            <w:tcW w:w="7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350"/>
        </w:trPr>
        <w:tc>
          <w:tcPr>
            <w:tcW w:w="7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Three Months Ended</w:t>
            </w:r>
          </w:p>
        </w:tc>
        <w:tc>
          <w:tcPr>
            <w:tcW w:w="1320" w:type="dxa"/>
            <w:vAlign w:val="bottom"/>
          </w:tcPr>
          <w:p>
            <w:pPr>
              <w:spacing w:after="0"/>
              <w:rPr>
                <w:sz w:val="24"/>
                <w:szCs w:val="24"/>
                <w:color w:val="auto"/>
              </w:rPr>
            </w:pPr>
          </w:p>
        </w:tc>
      </w:tr>
      <w:tr>
        <w:trPr>
          <w:trHeight w:val="130"/>
        </w:trPr>
        <w:tc>
          <w:tcPr>
            <w:tcW w:w="76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June 30, 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June 30, 2020</w:t>
            </w:r>
          </w:p>
        </w:tc>
      </w:tr>
      <w:tr>
        <w:trPr>
          <w:trHeight w:val="137"/>
        </w:trPr>
        <w:tc>
          <w:tcPr>
            <w:tcW w:w="7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Selected Statement of Operations Information:</w:t>
            </w:r>
          </w:p>
        </w:tc>
        <w:tc>
          <w:tcPr>
            <w:tcW w:w="1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53"/>
        </w:trPr>
        <w:tc>
          <w:tcPr>
            <w:tcW w:w="7620" w:type="dxa"/>
            <w:vAlign w:val="bottom"/>
          </w:tcPr>
          <w:p>
            <w:pPr>
              <w:ind w:left="80"/>
              <w:spacing w:after="0"/>
              <w:rPr>
                <w:sz w:val="20"/>
                <w:szCs w:val="20"/>
                <w:color w:val="auto"/>
              </w:rPr>
            </w:pPr>
            <w:r>
              <w:rPr>
                <w:rFonts w:ascii="Arial" w:cs="Arial" w:eastAsia="Arial" w:hAnsi="Arial"/>
                <w:sz w:val="12"/>
                <w:szCs w:val="12"/>
                <w:color w:val="auto"/>
              </w:rPr>
              <w:t>Total revenues</w:t>
            </w:r>
          </w:p>
        </w:tc>
        <w:tc>
          <w:tcPr>
            <w:tcW w:w="1260" w:type="dxa"/>
            <w:vAlign w:val="bottom"/>
          </w:tcPr>
          <w:p>
            <w:pPr>
              <w:jc w:val="right"/>
              <w:ind w:right="115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3,122</w:t>
            </w:r>
          </w:p>
        </w:tc>
        <w:tc>
          <w:tcPr>
            <w:tcW w:w="10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3,766</w:t>
            </w:r>
          </w:p>
        </w:tc>
      </w:tr>
      <w:tr>
        <w:trPr>
          <w:trHeight w:val="153"/>
        </w:trPr>
        <w:tc>
          <w:tcPr>
            <w:tcW w:w="7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expenses</w:t>
            </w:r>
          </w:p>
        </w:tc>
        <w:tc>
          <w:tcPr>
            <w:tcW w:w="12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(1,097)</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(1,293)</w:t>
            </w:r>
          </w:p>
        </w:tc>
      </w:tr>
      <w:tr>
        <w:trPr>
          <w:trHeight w:val="142"/>
        </w:trPr>
        <w:tc>
          <w:tcPr>
            <w:tcW w:w="7620" w:type="dxa"/>
            <w:vAlign w:val="bottom"/>
          </w:tcPr>
          <w:p>
            <w:pPr>
              <w:ind w:left="80"/>
              <w:spacing w:after="0"/>
              <w:rPr>
                <w:sz w:val="20"/>
                <w:szCs w:val="20"/>
                <w:color w:val="auto"/>
              </w:rPr>
            </w:pPr>
            <w:r>
              <w:rPr>
                <w:rFonts w:ascii="Arial" w:cs="Arial" w:eastAsia="Arial" w:hAnsi="Arial"/>
                <w:sz w:val="12"/>
                <w:szCs w:val="12"/>
                <w:color w:val="auto"/>
              </w:rPr>
              <w:t>Net investment income</w:t>
            </w:r>
          </w:p>
        </w:tc>
        <w:tc>
          <w:tcPr>
            <w:tcW w:w="1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2,025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2,473</w:t>
            </w:r>
          </w:p>
        </w:tc>
      </w:tr>
      <w:tr>
        <w:trPr>
          <w:trHeight w:val="153"/>
        </w:trPr>
        <w:tc>
          <w:tcPr>
            <w:tcW w:w="7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unrealized appreciation (depreciation)</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5,410</w:t>
            </w:r>
          </w:p>
        </w:tc>
      </w:tr>
      <w:tr>
        <w:trPr>
          <w:trHeight w:val="153"/>
        </w:trPr>
        <w:tc>
          <w:tcPr>
            <w:tcW w:w="76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Net realized (losses) gains</w:t>
            </w:r>
          </w:p>
        </w:tc>
        <w:tc>
          <w:tcPr>
            <w:tcW w:w="1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1,069</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w:t>
            </w:r>
          </w:p>
        </w:tc>
      </w:tr>
      <w:tr>
        <w:trPr>
          <w:trHeight w:val="158"/>
        </w:trPr>
        <w:tc>
          <w:tcPr>
            <w:tcW w:w="7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Net increase (decrease) in members’ equity resulting from operations</w:t>
            </w:r>
          </w:p>
        </w:tc>
        <w:tc>
          <w:tcPr>
            <w:tcW w:w="126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3,157</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7,577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00"/>
          </w:cols>
          <w:pgMar w:left="300" w:top="140" w:right="299" w:bottom="1440" w:gutter="0" w:footer="0" w:header="0"/>
        </w:sectPr>
      </w:pPr>
    </w:p>
    <w:bookmarkStart w:id="61" w:name="page62"/>
    <w:bookmarkEnd w:id="61"/>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Below is a summary of I-45 SLF LLC’s portfolio, followed by a listing of the individual loans in I-45 SLF LLC’s portfolio as of June 30, 2021 and March 31, 2021 (in thousands):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I-45 SLF LLC Loan Portfolio as of June 30,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Current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320"/>
              <w:spacing w:after="0"/>
              <w:rPr>
                <w:sz w:val="20"/>
                <w:szCs w:val="20"/>
                <w:color w:val="auto"/>
              </w:rPr>
            </w:pPr>
            <w:r>
              <w:rPr>
                <w:rFonts w:ascii="Arial" w:cs="Arial" w:eastAsia="Arial" w:hAnsi="Arial"/>
                <w:sz w:val="10"/>
                <w:szCs w:val="10"/>
                <w:b w:val="1"/>
                <w:bCs w:val="1"/>
                <w:color w:val="auto"/>
              </w:rPr>
              <w:t>Investment</w:t>
            </w:r>
          </w:p>
        </w:tc>
        <w:tc>
          <w:tcPr>
            <w:tcW w:w="10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Maturity</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Interest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p>
        </w:tc>
        <w:tc>
          <w:tcPr>
            <w:tcW w:w="60" w:type="dxa"/>
            <w:vAlign w:val="bottom"/>
            <w:tcBorders>
              <w:bottom w:val="single" w:sz="8" w:color="CCEEFF"/>
            </w:tcBorders>
          </w:tcPr>
          <w:p>
            <w:pPr>
              <w:spacing w:after="0"/>
              <w:rPr>
                <w:sz w:val="13"/>
                <w:szCs w:val="13"/>
                <w:color w:val="auto"/>
              </w:rPr>
            </w:pPr>
          </w:p>
        </w:tc>
        <w:tc>
          <w:tcPr>
            <w:tcW w:w="212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Industry</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Type</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Rate</w:t>
            </w:r>
            <w:r>
              <w:rPr>
                <w:rFonts w:ascii="Arial" w:cs="Arial" w:eastAsia="Arial" w:hAnsi="Arial"/>
                <w:sz w:val="12"/>
                <w:szCs w:val="12"/>
                <w:b w:val="1"/>
                <w:bCs w:val="1"/>
                <w:color w:val="auto"/>
                <w:w w:val="84"/>
                <w:vertAlign w:val="superscript"/>
              </w:rPr>
              <w:t>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rPr>
              <w:t>Principal</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Cost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2</w:t>
            </w:r>
          </w:p>
        </w:tc>
        <w:tc>
          <w:tcPr>
            <w:tcW w:w="0" w:type="dxa"/>
            <w:vAlign w:val="bottom"/>
          </w:tcPr>
          <w:p>
            <w:pPr>
              <w:spacing w:after="0"/>
              <w:rPr>
                <w:sz w:val="1"/>
                <w:szCs w:val="1"/>
                <w:color w:val="auto"/>
              </w:rPr>
            </w:pPr>
          </w:p>
        </w:tc>
      </w:tr>
      <w:tr>
        <w:trPr>
          <w:trHeight w:val="133"/>
        </w:trPr>
        <w:tc>
          <w:tcPr>
            <w:tcW w:w="2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AAC New Holdco Inc.</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Healthcare services</w:t>
            </w:r>
          </w:p>
        </w:tc>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6/25/2025</w:t>
            </w: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0"/>
              </w:rPr>
              <w:t>10.00%, 8.00% PIK</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1,787</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1,734</w:t>
            </w:r>
          </w:p>
        </w:tc>
        <w:tc>
          <w:tcPr>
            <w:tcW w:w="0" w:type="dxa"/>
            <w:vAlign w:val="bottom"/>
          </w:tcPr>
          <w:p>
            <w:pPr>
              <w:spacing w:after="0"/>
              <w:rPr>
                <w:sz w:val="1"/>
                <w:szCs w:val="1"/>
                <w:color w:val="auto"/>
              </w:rPr>
            </w:pPr>
          </w:p>
        </w:tc>
      </w:tr>
      <w:tr>
        <w:trPr>
          <w:trHeight w:val="112"/>
        </w:trPr>
        <w:tc>
          <w:tcPr>
            <w:tcW w:w="2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spacing w:after="0" w:line="112" w:lineRule="exact"/>
              <w:rPr>
                <w:sz w:val="20"/>
                <w:szCs w:val="20"/>
                <w:color w:val="auto"/>
              </w:rPr>
            </w:pPr>
            <w:r>
              <w:rPr>
                <w:rFonts w:ascii="Arial" w:cs="Arial" w:eastAsia="Arial" w:hAnsi="Arial"/>
                <w:sz w:val="11"/>
                <w:szCs w:val="11"/>
                <w:color w:val="auto"/>
                <w:w w:val="95"/>
              </w:rPr>
              <w:t>304,075 shares common</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9"/>
              </w:rPr>
              <w:t>—</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1,449</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1,449</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1"/>
                <w:szCs w:val="11"/>
                <w:color w:val="auto"/>
              </w:rPr>
              <w:t>stock</w:t>
            </w:r>
          </w:p>
        </w:tc>
        <w:tc>
          <w:tcPr>
            <w:tcW w:w="10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Warrants (Expiration -</w:t>
            </w: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2"/>
                <w:szCs w:val="12"/>
                <w:color w:val="auto"/>
                <w:w w:val="99"/>
              </w:rPr>
              <w:t>—</w:t>
            </w: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0" w:type="dxa"/>
            <w:vAlign w:val="bottom"/>
          </w:tcPr>
          <w:p>
            <w:pPr>
              <w:spacing w:after="0"/>
              <w:rPr>
                <w:sz w:val="1"/>
                <w:szCs w:val="1"/>
                <w:color w:val="auto"/>
              </w:rPr>
            </w:pPr>
          </w:p>
        </w:tc>
      </w:tr>
      <w:tr>
        <w:trPr>
          <w:trHeight w:val="140"/>
        </w:trPr>
        <w:tc>
          <w:tcPr>
            <w:tcW w:w="2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December 11, 2025)</w:t>
            </w:r>
          </w:p>
        </w:tc>
        <w:tc>
          <w:tcPr>
            <w:tcW w:w="10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ADS Tactical,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Aerospace &amp; defense</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3/19/2026</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5"/>
              </w:rPr>
              <w:t>L+5.75%</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6,647</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6,516</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6,696</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6"/>
                <w:szCs w:val="6"/>
                <w:b w:val="1"/>
                <w:bCs w:val="1"/>
                <w:color w:val="auto"/>
              </w:rPr>
              <w:t>3</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Telecommunications</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8"/>
              </w:rPr>
              <w:t>6/8/2023</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1"/>
              </w:rPr>
              <w:t>L+6.50%</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6,759</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6,720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2,965</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ATX Canada Acquisitionco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Technology products &amp; components</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7"/>
              </w:rPr>
              <w:t>12/31/2023</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1"/>
              </w:rPr>
              <w:t>P+8.75%, 1.50% PIK</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4,481</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4,464</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4,100</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Burning Glass Intermediate Holding Company, Inc.</w:t>
            </w:r>
            <w:r>
              <w:rPr>
                <w:rFonts w:ascii="Arial" w:cs="Arial" w:eastAsia="Arial" w:hAnsi="Arial"/>
                <w:sz w:val="6"/>
                <w:szCs w:val="6"/>
                <w:b w:val="1"/>
                <w:bCs w:val="1"/>
                <w:color w:val="auto"/>
              </w:rPr>
              <w:t>4</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Software &amp; IT services</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6/10/2028</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1"/>
              </w:rPr>
              <w:t>L+5.00%</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2,689</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2,630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2,669</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California Pizza Kitchen,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Restaurants</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7"/>
              </w:rPr>
              <w:t>11/23/2024</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2"/>
              </w:rPr>
              <w:t>L+10.00%</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937</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913</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938</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1.50%)</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 Rolled Up</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7"/>
              </w:rPr>
              <w:t>11/23/2024</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0"/>
              </w:rPr>
              <w:t>1.00%, L+11.00% PIK</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1,072</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1,068</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1,088</w:t>
            </w:r>
          </w:p>
        </w:tc>
        <w:tc>
          <w:tcPr>
            <w:tcW w:w="0" w:type="dxa"/>
            <w:vAlign w:val="bottom"/>
          </w:tcPr>
          <w:p>
            <w:pPr>
              <w:spacing w:after="0"/>
              <w:rPr>
                <w:sz w:val="1"/>
                <w:szCs w:val="1"/>
                <w:color w:val="auto"/>
              </w:rPr>
            </w:pPr>
          </w:p>
        </w:tc>
      </w:tr>
      <w:tr>
        <w:trPr>
          <w:trHeight w:val="140"/>
        </w:trPr>
        <w:tc>
          <w:tcPr>
            <w:tcW w:w="2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1.50%)</w:t>
            </w: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Second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5/23/2025</w:t>
            </w:r>
          </w:p>
        </w:tc>
        <w:tc>
          <w:tcPr>
            <w:tcW w:w="80" w:type="dxa"/>
            <w:vAlign w:val="bottom"/>
          </w:tcPr>
          <w:p>
            <w:pPr>
              <w:spacing w:after="0"/>
              <w:rPr>
                <w:sz w:val="9"/>
                <w:szCs w:val="9"/>
                <w:color w:val="auto"/>
              </w:rPr>
            </w:pPr>
          </w:p>
        </w:tc>
        <w:tc>
          <w:tcPr>
            <w:tcW w:w="11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2"/>
              </w:rPr>
              <w:t>1.00%, L+12.50% PIK</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1,181</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1,181</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1,196</w:t>
            </w:r>
          </w:p>
        </w:tc>
        <w:tc>
          <w:tcPr>
            <w:tcW w:w="0" w:type="dxa"/>
            <w:vAlign w:val="bottom"/>
          </w:tcPr>
          <w:p>
            <w:pPr>
              <w:spacing w:after="0"/>
              <w:rPr>
                <w:sz w:val="1"/>
                <w:szCs w:val="1"/>
                <w:color w:val="auto"/>
              </w:rPr>
            </w:pPr>
          </w:p>
        </w:tc>
      </w:tr>
      <w:tr>
        <w:trPr>
          <w:trHeight w:val="138"/>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1.50%)</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Corel Inc.</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Software &amp; IT services</w:t>
            </w:r>
          </w:p>
        </w:tc>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7/2/2026</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1"/>
              </w:rPr>
              <w:t>L+5.00%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6,984</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6,997</w:t>
            </w: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Evergreen AcqCo 1 LP</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Consumer products &amp; retail</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4/26/2028</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5"/>
              </w:rPr>
              <w:t>L+5.75%</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4,200</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4,159</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4,249</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0.75%)</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Geo Parent Corporation</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Building &amp; infrastructure products</w:t>
            </w:r>
          </w:p>
        </w:tc>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12/19/2025</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1"/>
              </w:rPr>
              <w:t>L+5.25%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4,888</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4,888</w:t>
            </w: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Go Wireless Holdings,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Consumer products &amp; retail</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7"/>
              </w:rPr>
              <w:t>12/22/2024</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5"/>
              </w:rPr>
              <w:t>L+6.50%</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7,643</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7,614</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7,651</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Hunter Defense Technologies, Inc.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Aerospace &amp; defense</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3/29/2023</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L+6.00%</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6,032</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5,965</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6,001</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InfoGroup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Software &amp; IT services</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8"/>
              </w:rPr>
              <w:t>4/3/2023</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5"/>
              </w:rPr>
              <w:t>L+5.00%</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2,873</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2,864</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2,722</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Integro Parent Inc.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Business services</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7"/>
              </w:rPr>
              <w:t>10/28/2022</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L+5.75%</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3,241</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3,219</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3,185</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0"/>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740"/>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40" w:right="299" w:bottom="1440" w:gutter="0" w:footer="0" w:header="0"/>
        </w:sectPr>
      </w:pPr>
    </w:p>
    <w:bookmarkStart w:id="62" w:name="page63"/>
    <w:bookmarkEnd w:id="62"/>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Current</w:t>
            </w: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320"/>
              <w:spacing w:after="0"/>
              <w:rPr>
                <w:sz w:val="20"/>
                <w:szCs w:val="20"/>
                <w:color w:val="auto"/>
              </w:rPr>
            </w:pPr>
            <w:r>
              <w:rPr>
                <w:rFonts w:ascii="Arial" w:cs="Arial" w:eastAsia="Arial" w:hAnsi="Arial"/>
                <w:sz w:val="10"/>
                <w:szCs w:val="10"/>
                <w:b w:val="1"/>
                <w:bCs w:val="1"/>
                <w:color w:val="auto"/>
              </w:rPr>
              <w:t>Investment</w:t>
            </w:r>
          </w:p>
        </w:tc>
        <w:tc>
          <w:tcPr>
            <w:tcW w:w="10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Maturity</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Interest</w:t>
            </w: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p>
        </w:tc>
        <w:tc>
          <w:tcPr>
            <w:tcW w:w="60" w:type="dxa"/>
            <w:vAlign w:val="bottom"/>
          </w:tcPr>
          <w:p>
            <w:pPr>
              <w:spacing w:after="0"/>
              <w:rPr>
                <w:sz w:val="13"/>
                <w:szCs w:val="13"/>
                <w:color w:val="auto"/>
              </w:rPr>
            </w:pPr>
          </w:p>
        </w:tc>
        <w:tc>
          <w:tcPr>
            <w:tcW w:w="212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Industry</w:t>
            </w:r>
          </w:p>
        </w:tc>
        <w:tc>
          <w:tcPr>
            <w:tcW w:w="80" w:type="dxa"/>
            <w:vAlign w:val="bottom"/>
          </w:tcPr>
          <w:p>
            <w:pPr>
              <w:spacing w:after="0"/>
              <w:rPr>
                <w:sz w:val="13"/>
                <w:szCs w:val="13"/>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Type</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8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Rate</w:t>
            </w:r>
            <w:r>
              <w:rPr>
                <w:rFonts w:ascii="Arial" w:cs="Arial" w:eastAsia="Arial" w:hAnsi="Arial"/>
                <w:sz w:val="12"/>
                <w:szCs w:val="12"/>
                <w:b w:val="1"/>
                <w:bCs w:val="1"/>
                <w:color w:val="auto"/>
                <w:w w:val="84"/>
                <w:vertAlign w:val="superscript"/>
              </w:rPr>
              <w:t>1</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rPr>
              <w:t>Principal</w:t>
            </w:r>
          </w:p>
        </w:tc>
        <w:tc>
          <w:tcPr>
            <w:tcW w:w="60" w:type="dxa"/>
            <w:vAlign w:val="bottom"/>
          </w:tcPr>
          <w:p>
            <w:pPr>
              <w:spacing w:after="0"/>
              <w:rPr>
                <w:sz w:val="13"/>
                <w:szCs w:val="13"/>
                <w:color w:val="auto"/>
              </w:rPr>
            </w:pPr>
          </w:p>
        </w:tc>
        <w:tc>
          <w:tcPr>
            <w:tcW w:w="102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Cost</w:t>
            </w: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2</w:t>
            </w:r>
          </w:p>
        </w:tc>
        <w:tc>
          <w:tcPr>
            <w:tcW w:w="0" w:type="dxa"/>
            <w:vAlign w:val="bottom"/>
          </w:tcPr>
          <w:p>
            <w:pPr>
              <w:spacing w:after="0"/>
              <w:rPr>
                <w:sz w:val="1"/>
                <w:szCs w:val="1"/>
                <w:color w:val="auto"/>
              </w:rPr>
            </w:pPr>
          </w:p>
        </w:tc>
      </w:tr>
      <w:tr>
        <w:trPr>
          <w:trHeight w:val="101"/>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Intermedia Holdings,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Software &amp; IT services</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7/21/2025</w:t>
            </w:r>
          </w:p>
        </w:tc>
        <w:tc>
          <w:tcPr>
            <w:tcW w:w="80" w:type="dxa"/>
            <w:vAlign w:val="bottom"/>
          </w:tcPr>
          <w:p>
            <w:pPr>
              <w:spacing w:after="0"/>
              <w:rPr>
                <w:sz w:val="8"/>
                <w:szCs w:val="8"/>
                <w:color w:val="auto"/>
              </w:rPr>
            </w:pPr>
          </w:p>
        </w:tc>
        <w:tc>
          <w:tcPr>
            <w:tcW w:w="1180" w:type="dxa"/>
            <w:vAlign w:val="bottom"/>
            <w:gridSpan w:val="2"/>
          </w:tcPr>
          <w:p>
            <w:pPr>
              <w:jc w:val="center"/>
              <w:ind w:right="120"/>
              <w:spacing w:after="0" w:line="101" w:lineRule="exact"/>
              <w:rPr>
                <w:sz w:val="20"/>
                <w:szCs w:val="20"/>
                <w:color w:val="auto"/>
              </w:rPr>
            </w:pPr>
            <w:r>
              <w:rPr>
                <w:rFonts w:ascii="Arial" w:cs="Arial" w:eastAsia="Arial" w:hAnsi="Arial"/>
                <w:sz w:val="11"/>
                <w:szCs w:val="11"/>
                <w:color w:val="auto"/>
                <w:w w:val="95"/>
              </w:rPr>
              <w:t>L+6.00%</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5,721</w:t>
            </w:r>
          </w:p>
        </w:tc>
        <w:tc>
          <w:tcPr>
            <w:tcW w:w="6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5,699</w:t>
            </w:r>
          </w:p>
        </w:tc>
        <w:tc>
          <w:tcPr>
            <w:tcW w:w="8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5,720</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Inventus Power, Inc.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Technology products &amp; components</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3/29/2024</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L+5.00%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6,983</w:t>
            </w:r>
          </w:p>
        </w:tc>
        <w:tc>
          <w:tcPr>
            <w:tcW w:w="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6,919</w:t>
            </w:r>
          </w:p>
        </w:tc>
        <w:tc>
          <w:tcPr>
            <w:tcW w:w="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6,919</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INW Manufacturing, LLC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Food, agriculture, &amp; beverage</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3/25/2027</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5"/>
              </w:rPr>
              <w:t>L+5.75%</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2,981</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2,894</w:t>
            </w:r>
          </w:p>
        </w:tc>
        <w:tc>
          <w:tcPr>
            <w:tcW w:w="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2,922</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0.75%)</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Isagenix International, LLC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Consumer products &amp; retail</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6/14/2025</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L+5.75%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1,788</w:t>
            </w:r>
          </w:p>
        </w:tc>
        <w:tc>
          <w:tcPr>
            <w:tcW w:w="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1,778</w:t>
            </w:r>
          </w:p>
        </w:tc>
        <w:tc>
          <w:tcPr>
            <w:tcW w:w="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1,468</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2"/>
          </w:tcPr>
          <w:p>
            <w:pPr>
              <w:spacing w:after="0"/>
              <w:rPr>
                <w:sz w:val="20"/>
                <w:szCs w:val="20"/>
                <w:color w:val="auto"/>
              </w:rPr>
            </w:pPr>
            <w:r>
              <w:rPr>
                <w:rFonts w:ascii="Arial" w:cs="Arial" w:eastAsia="Arial" w:hAnsi="Arial"/>
                <w:sz w:val="11"/>
                <w:szCs w:val="11"/>
                <w:color w:val="auto"/>
              </w:rPr>
              <w:t>KORE Wireless Group Inc.</w:t>
            </w:r>
          </w:p>
        </w:tc>
        <w:tc>
          <w:tcPr>
            <w:tcW w:w="2200" w:type="dxa"/>
            <w:vAlign w:val="bottom"/>
            <w:gridSpan w:val="2"/>
          </w:tcPr>
          <w:p>
            <w:pPr>
              <w:ind w:left="20"/>
              <w:spacing w:after="0"/>
              <w:rPr>
                <w:sz w:val="20"/>
                <w:szCs w:val="20"/>
                <w:color w:val="auto"/>
              </w:rPr>
            </w:pPr>
            <w:r>
              <w:rPr>
                <w:rFonts w:ascii="Arial" w:cs="Arial" w:eastAsia="Arial" w:hAnsi="Arial"/>
                <w:sz w:val="11"/>
                <w:szCs w:val="11"/>
                <w:color w:val="auto"/>
              </w:rPr>
              <w:t>Telecommunications</w:t>
            </w:r>
          </w:p>
        </w:tc>
        <w:tc>
          <w:tcPr>
            <w:tcW w:w="1180" w:type="dxa"/>
            <w:vAlign w:val="bottom"/>
            <w:gridSpan w:val="2"/>
          </w:tcPr>
          <w:p>
            <w:pPr>
              <w:spacing w:after="0"/>
              <w:rPr>
                <w:sz w:val="20"/>
                <w:szCs w:val="20"/>
                <w:color w:val="auto"/>
              </w:rPr>
            </w:pPr>
            <w:r>
              <w:rPr>
                <w:rFonts w:ascii="Arial" w:cs="Arial" w:eastAsia="Arial" w:hAnsi="Arial"/>
                <w:sz w:val="11"/>
                <w:szCs w:val="11"/>
                <w:color w:val="auto"/>
              </w:rPr>
              <w:t>First Lien</w:t>
            </w:r>
          </w:p>
        </w:tc>
        <w:tc>
          <w:tcPr>
            <w:tcW w:w="920" w:type="dxa"/>
            <w:vAlign w:val="bottom"/>
          </w:tcPr>
          <w:p>
            <w:pPr>
              <w:jc w:val="center"/>
              <w:spacing w:after="0"/>
              <w:rPr>
                <w:sz w:val="20"/>
                <w:szCs w:val="20"/>
                <w:color w:val="auto"/>
              </w:rPr>
            </w:pPr>
            <w:r>
              <w:rPr>
                <w:rFonts w:ascii="Arial" w:cs="Arial" w:eastAsia="Arial" w:hAnsi="Arial"/>
                <w:sz w:val="11"/>
                <w:szCs w:val="11"/>
                <w:color w:val="auto"/>
                <w:w w:val="87"/>
              </w:rPr>
              <w:t>12/20/2024</w:t>
            </w:r>
          </w:p>
        </w:tc>
        <w:tc>
          <w:tcPr>
            <w:tcW w:w="80" w:type="dxa"/>
            <w:vAlign w:val="bottom"/>
          </w:tcPr>
          <w:p>
            <w:pPr>
              <w:spacing w:after="0"/>
              <w:rPr>
                <w:sz w:val="12"/>
                <w:szCs w:val="12"/>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L+5.50%</w:t>
            </w:r>
          </w:p>
        </w:tc>
        <w:tc>
          <w:tcPr>
            <w:tcW w:w="920" w:type="dxa"/>
            <w:vAlign w:val="bottom"/>
          </w:tcPr>
          <w:p>
            <w:pPr>
              <w:jc w:val="right"/>
              <w:spacing w:after="0"/>
              <w:rPr>
                <w:sz w:val="20"/>
                <w:szCs w:val="20"/>
                <w:color w:val="auto"/>
              </w:rPr>
            </w:pPr>
            <w:r>
              <w:rPr>
                <w:rFonts w:ascii="Arial" w:cs="Arial" w:eastAsia="Arial" w:hAnsi="Arial"/>
                <w:sz w:val="11"/>
                <w:szCs w:val="11"/>
                <w:color w:val="auto"/>
              </w:rPr>
              <w:t>4,694</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4,670</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4,694</w:t>
            </w: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Lab Logistics, LLC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Healthcare services</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9/25/2023</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L+7.25%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6,290</w:t>
            </w:r>
          </w:p>
        </w:tc>
        <w:tc>
          <w:tcPr>
            <w:tcW w:w="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6,245</w:t>
            </w:r>
          </w:p>
        </w:tc>
        <w:tc>
          <w:tcPr>
            <w:tcW w:w="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6,290</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Lift Brands,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Consumer services</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Tranche A</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6/29/2025</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5"/>
              </w:rPr>
              <w:t>L+7.50%</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2,521</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2,521</w:t>
            </w:r>
          </w:p>
        </w:tc>
        <w:tc>
          <w:tcPr>
            <w:tcW w:w="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2,370</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Tranche B</w:t>
            </w:r>
          </w:p>
        </w:tc>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6/29/2025</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2"/>
              </w:rPr>
              <w:t>9.50% PIK</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543</w:t>
            </w: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543</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1"/>
                <w:szCs w:val="11"/>
                <w:color w:val="auto"/>
              </w:rPr>
              <w:t>Tranche C</w:t>
            </w:r>
          </w:p>
        </w:tc>
        <w:tc>
          <w:tcPr>
            <w:tcW w:w="920" w:type="dxa"/>
            <w:vAlign w:val="bottom"/>
          </w:tcPr>
          <w:p>
            <w:pPr>
              <w:jc w:val="center"/>
              <w:spacing w:after="0"/>
              <w:rPr>
                <w:sz w:val="20"/>
                <w:szCs w:val="20"/>
                <w:color w:val="auto"/>
              </w:rPr>
            </w:pPr>
            <w:r>
              <w:rPr>
                <w:rFonts w:ascii="Arial" w:cs="Arial" w:eastAsia="Arial" w:hAnsi="Arial"/>
                <w:sz w:val="11"/>
                <w:szCs w:val="11"/>
                <w:color w:val="auto"/>
                <w:w w:val="89"/>
              </w:rPr>
              <w:t>6/29/2025</w:t>
            </w: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0"/>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565</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565</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452</w:t>
            </w:r>
          </w:p>
        </w:tc>
        <w:tc>
          <w:tcPr>
            <w:tcW w:w="0" w:type="dxa"/>
            <w:vAlign w:val="bottom"/>
          </w:tcPr>
          <w:p>
            <w:pPr>
              <w:spacing w:after="0"/>
              <w:rPr>
                <w:sz w:val="1"/>
                <w:szCs w:val="1"/>
                <w:color w:val="auto"/>
              </w:rPr>
            </w:pPr>
          </w:p>
        </w:tc>
      </w:tr>
      <w:tr>
        <w:trPr>
          <w:trHeight w:val="146"/>
        </w:trPr>
        <w:tc>
          <w:tcPr>
            <w:tcW w:w="2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Equity</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0"/>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749</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749</w:t>
            </w:r>
          </w:p>
        </w:tc>
        <w:tc>
          <w:tcPr>
            <w:tcW w:w="0" w:type="dxa"/>
            <w:vAlign w:val="bottom"/>
          </w:tcPr>
          <w:p>
            <w:pPr>
              <w:spacing w:after="0"/>
              <w:rPr>
                <w:sz w:val="1"/>
                <w:szCs w:val="1"/>
                <w:color w:val="auto"/>
              </w:rPr>
            </w:pPr>
          </w:p>
        </w:tc>
      </w:tr>
      <w:tr>
        <w:trPr>
          <w:trHeight w:val="142"/>
        </w:trPr>
        <w:tc>
          <w:tcPr>
            <w:tcW w:w="2640" w:type="dxa"/>
            <w:vAlign w:val="bottom"/>
            <w:gridSpan w:val="2"/>
          </w:tcPr>
          <w:p>
            <w:pPr>
              <w:spacing w:after="0"/>
              <w:rPr>
                <w:sz w:val="20"/>
                <w:szCs w:val="20"/>
                <w:color w:val="auto"/>
              </w:rPr>
            </w:pPr>
            <w:r>
              <w:rPr>
                <w:rFonts w:ascii="Arial" w:cs="Arial" w:eastAsia="Arial" w:hAnsi="Arial"/>
                <w:sz w:val="11"/>
                <w:szCs w:val="11"/>
                <w:color w:val="auto"/>
              </w:rPr>
              <w:t>Lightbox Intermediate, L.P.</w:t>
            </w:r>
          </w:p>
        </w:tc>
        <w:tc>
          <w:tcPr>
            <w:tcW w:w="2200" w:type="dxa"/>
            <w:vAlign w:val="bottom"/>
            <w:gridSpan w:val="2"/>
          </w:tcPr>
          <w:p>
            <w:pPr>
              <w:ind w:left="20"/>
              <w:spacing w:after="0"/>
              <w:rPr>
                <w:sz w:val="20"/>
                <w:szCs w:val="20"/>
                <w:color w:val="auto"/>
              </w:rPr>
            </w:pPr>
            <w:r>
              <w:rPr>
                <w:rFonts w:ascii="Arial" w:cs="Arial" w:eastAsia="Arial" w:hAnsi="Arial"/>
                <w:sz w:val="11"/>
                <w:szCs w:val="11"/>
                <w:color w:val="auto"/>
              </w:rPr>
              <w:t>Software &amp; IT services</w:t>
            </w:r>
          </w:p>
        </w:tc>
        <w:tc>
          <w:tcPr>
            <w:tcW w:w="1180" w:type="dxa"/>
            <w:vAlign w:val="bottom"/>
            <w:gridSpan w:val="2"/>
          </w:tcPr>
          <w:p>
            <w:pPr>
              <w:spacing w:after="0"/>
              <w:rPr>
                <w:sz w:val="20"/>
                <w:szCs w:val="20"/>
                <w:color w:val="auto"/>
              </w:rPr>
            </w:pPr>
            <w:r>
              <w:rPr>
                <w:rFonts w:ascii="Arial" w:cs="Arial" w:eastAsia="Arial" w:hAnsi="Arial"/>
                <w:sz w:val="11"/>
                <w:szCs w:val="11"/>
                <w:color w:val="auto"/>
              </w:rPr>
              <w:t>First Lien</w:t>
            </w:r>
          </w:p>
        </w:tc>
        <w:tc>
          <w:tcPr>
            <w:tcW w:w="920" w:type="dxa"/>
            <w:vAlign w:val="bottom"/>
          </w:tcPr>
          <w:p>
            <w:pPr>
              <w:jc w:val="center"/>
              <w:spacing w:after="0"/>
              <w:rPr>
                <w:sz w:val="20"/>
                <w:szCs w:val="20"/>
                <w:color w:val="auto"/>
              </w:rPr>
            </w:pPr>
            <w:r>
              <w:rPr>
                <w:rFonts w:ascii="Arial" w:cs="Arial" w:eastAsia="Arial" w:hAnsi="Arial"/>
                <w:sz w:val="11"/>
                <w:szCs w:val="11"/>
                <w:color w:val="auto"/>
                <w:w w:val="88"/>
              </w:rPr>
              <w:t>5/9/2026</w:t>
            </w:r>
          </w:p>
        </w:tc>
        <w:tc>
          <w:tcPr>
            <w:tcW w:w="80" w:type="dxa"/>
            <w:vAlign w:val="bottom"/>
          </w:tcPr>
          <w:p>
            <w:pPr>
              <w:spacing w:after="0"/>
              <w:rPr>
                <w:sz w:val="12"/>
                <w:szCs w:val="12"/>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L+5.00%</w:t>
            </w:r>
          </w:p>
        </w:tc>
        <w:tc>
          <w:tcPr>
            <w:tcW w:w="920" w:type="dxa"/>
            <w:vAlign w:val="bottom"/>
          </w:tcPr>
          <w:p>
            <w:pPr>
              <w:jc w:val="right"/>
              <w:spacing w:after="0"/>
              <w:rPr>
                <w:sz w:val="20"/>
                <w:szCs w:val="20"/>
                <w:color w:val="auto"/>
              </w:rPr>
            </w:pPr>
            <w:r>
              <w:rPr>
                <w:rFonts w:ascii="Arial" w:cs="Arial" w:eastAsia="Arial" w:hAnsi="Arial"/>
                <w:sz w:val="11"/>
                <w:szCs w:val="11"/>
                <w:color w:val="auto"/>
              </w:rPr>
              <w:t>4,986</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4,945</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4,961</w:t>
            </w: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LOGIX Holdings Company, LLC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Telecommunications</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7"/>
              </w:rPr>
              <w:t>12/23/2024</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L+5.75%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5,874</w:t>
            </w:r>
          </w:p>
        </w:tc>
        <w:tc>
          <w:tcPr>
            <w:tcW w:w="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5,849</w:t>
            </w:r>
          </w:p>
        </w:tc>
        <w:tc>
          <w:tcPr>
            <w:tcW w:w="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5,609</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Lulu's Fashion Lounge, LLC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Consumer products &amp; retail</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8/26/2022</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2"/>
              </w:rPr>
              <w:t>L+7.00%, 2.50% PIK</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3,625</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3,577</w:t>
            </w:r>
          </w:p>
        </w:tc>
        <w:tc>
          <w:tcPr>
            <w:tcW w:w="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3,099</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Mills Fleet Farm Group LLC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Consumer products &amp; retail</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7"/>
              </w:rPr>
              <w:t>10/24/2024</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L+6.00%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4,623</w:t>
            </w:r>
          </w:p>
        </w:tc>
        <w:tc>
          <w:tcPr>
            <w:tcW w:w="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4,572</w:t>
            </w:r>
          </w:p>
        </w:tc>
        <w:tc>
          <w:tcPr>
            <w:tcW w:w="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4,623</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NBG Acquisition,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Wholesale</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4/26/2024</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5"/>
              </w:rPr>
              <w:t>L+5.50%</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2,719</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2,697</w:t>
            </w:r>
          </w:p>
        </w:tc>
        <w:tc>
          <w:tcPr>
            <w:tcW w:w="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2,476</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Novetta Solutions, LLC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Software &amp; IT services</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7"/>
              </w:rPr>
              <w:t>10/17/2022</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L+5.00%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4,832</w:t>
            </w:r>
          </w:p>
        </w:tc>
        <w:tc>
          <w:tcPr>
            <w:tcW w:w="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4,790</w:t>
            </w:r>
          </w:p>
        </w:tc>
        <w:tc>
          <w:tcPr>
            <w:tcW w:w="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4,838</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PaySimple,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Software &amp; IT services</w:t>
            </w:r>
          </w:p>
        </w:tc>
        <w:tc>
          <w:tcPr>
            <w:tcW w:w="1180" w:type="dxa"/>
            <w:vAlign w:val="bottom"/>
            <w:gridSpan w:val="2"/>
          </w:tcPr>
          <w:p>
            <w:pPr>
              <w:spacing w:after="0" w:line="112" w:lineRule="exact"/>
              <w:rPr>
                <w:sz w:val="20"/>
                <w:szCs w:val="20"/>
                <w:color w:val="auto"/>
              </w:rPr>
            </w:pPr>
            <w:r>
              <w:rPr>
                <w:rFonts w:ascii="Arial" w:cs="Arial" w:eastAsia="Arial" w:hAnsi="Arial"/>
                <w:sz w:val="11"/>
                <w:szCs w:val="11"/>
                <w:color w:val="auto"/>
              </w:rPr>
              <w:t>Delayed Draw Term</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8/23/2025</w:t>
            </w:r>
          </w:p>
        </w:tc>
        <w:tc>
          <w:tcPr>
            <w:tcW w:w="80" w:type="dxa"/>
            <w:vAlign w:val="bottom"/>
          </w:tcPr>
          <w:p>
            <w:pPr>
              <w:spacing w:after="0"/>
              <w:rPr>
                <w:sz w:val="9"/>
                <w:szCs w:val="9"/>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1"/>
              </w:rPr>
              <w:t>L+5.50%</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1,365</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1,342</w:t>
            </w:r>
          </w:p>
        </w:tc>
        <w:tc>
          <w:tcPr>
            <w:tcW w:w="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1,365</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1"/>
                <w:szCs w:val="11"/>
                <w:color w:val="auto"/>
              </w:rPr>
              <w:t>Loan</w:t>
            </w: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8/23/2025</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1"/>
              </w:rPr>
              <w:t>L+5.50%</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4,209</w:t>
            </w: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4,166</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4,209</w:t>
            </w: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PT Network, LLC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Healthcare products</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7"/>
              </w:rPr>
              <w:t>11/30/2023</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2"/>
              </w:rPr>
              <w:t>L+5.50%, 2.00% PIK</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4,476</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4,476</w:t>
            </w:r>
          </w:p>
        </w:tc>
        <w:tc>
          <w:tcPr>
            <w:tcW w:w="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4,476</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Research Now Group, Inc.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Business services</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7"/>
              </w:rPr>
              <w:t>12/20/2025</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L+5.50%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4,974</w:t>
            </w:r>
          </w:p>
        </w:tc>
        <w:tc>
          <w:tcPr>
            <w:tcW w:w="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4,974</w:t>
            </w:r>
          </w:p>
        </w:tc>
        <w:tc>
          <w:tcPr>
            <w:tcW w:w="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4,929</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Retail Services WIS Corporation</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Business services</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5/20/2025</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5"/>
              </w:rPr>
              <w:t>L+7.75%</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3,015</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2,956</w:t>
            </w:r>
          </w:p>
        </w:tc>
        <w:tc>
          <w:tcPr>
            <w:tcW w:w="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2,970</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Tacala, LLC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Consumer products &amp; retail</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Second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8"/>
              </w:rPr>
              <w:t>2/7/2028</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L+7.50%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w:t>
            </w:r>
          </w:p>
        </w:tc>
        <w:tc>
          <w:tcPr>
            <w:tcW w:w="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4,990</w:t>
            </w:r>
          </w:p>
        </w:tc>
        <w:tc>
          <w:tcPr>
            <w:tcW w:w="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5,022</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0.75%)</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TEAM Services Group, LLC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Healthcare services</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7"/>
              </w:rPr>
              <w:t>12/20/2027</w:t>
            </w: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5"/>
              </w:rPr>
              <w:t>L+5.00%</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4,988</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4,963</w:t>
            </w:r>
          </w:p>
        </w:tc>
        <w:tc>
          <w:tcPr>
            <w:tcW w:w="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4,963</w:t>
            </w:r>
          </w:p>
        </w:tc>
        <w:tc>
          <w:tcPr>
            <w:tcW w:w="0" w:type="dxa"/>
            <w:vAlign w:val="bottom"/>
          </w:tcPr>
          <w:p>
            <w:pPr>
              <w:spacing w:after="0"/>
              <w:rPr>
                <w:sz w:val="1"/>
                <w:szCs w:val="1"/>
                <w:color w:val="auto"/>
              </w:rPr>
            </w:pPr>
          </w:p>
        </w:tc>
      </w:tr>
      <w:tr>
        <w:trPr>
          <w:trHeight w:val="136"/>
        </w:trPr>
        <w:tc>
          <w:tcPr>
            <w:tcW w:w="2640" w:type="dxa"/>
            <w:vAlign w:val="bottom"/>
            <w:gridSpan w:val="2"/>
            <w:vMerge w:val="continue"/>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300"/>
          </w:cols>
          <w:pgMar w:left="300" w:top="140" w:right="299" w:bottom="1440" w:gutter="0" w:footer="0" w:header="0"/>
        </w:sectPr>
      </w:pPr>
    </w:p>
    <w:bookmarkStart w:id="63" w:name="page64"/>
    <w:bookmarkEnd w:id="63"/>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Current</w:t>
            </w: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320"/>
              <w:spacing w:after="0"/>
              <w:rPr>
                <w:sz w:val="20"/>
                <w:szCs w:val="20"/>
                <w:color w:val="auto"/>
              </w:rPr>
            </w:pPr>
            <w:r>
              <w:rPr>
                <w:rFonts w:ascii="Arial" w:cs="Arial" w:eastAsia="Arial" w:hAnsi="Arial"/>
                <w:sz w:val="10"/>
                <w:szCs w:val="10"/>
                <w:b w:val="1"/>
                <w:bCs w:val="1"/>
                <w:color w:val="auto"/>
              </w:rPr>
              <w:t>Investment</w:t>
            </w:r>
          </w:p>
        </w:tc>
        <w:tc>
          <w:tcPr>
            <w:tcW w:w="10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Maturity</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Interest</w:t>
            </w: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p>
        </w:tc>
        <w:tc>
          <w:tcPr>
            <w:tcW w:w="60" w:type="dxa"/>
            <w:vAlign w:val="bottom"/>
            <w:tcBorders>
              <w:bottom w:val="single" w:sz="8" w:color="CCEEFF"/>
            </w:tcBorders>
          </w:tcPr>
          <w:p>
            <w:pPr>
              <w:spacing w:after="0"/>
              <w:rPr>
                <w:sz w:val="13"/>
                <w:szCs w:val="13"/>
                <w:color w:val="auto"/>
              </w:rPr>
            </w:pPr>
          </w:p>
        </w:tc>
        <w:tc>
          <w:tcPr>
            <w:tcW w:w="212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Industry</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Type</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Rate</w:t>
            </w:r>
            <w:r>
              <w:rPr>
                <w:rFonts w:ascii="Arial" w:cs="Arial" w:eastAsia="Arial" w:hAnsi="Arial"/>
                <w:sz w:val="12"/>
                <w:szCs w:val="12"/>
                <w:b w:val="1"/>
                <w:bCs w:val="1"/>
                <w:color w:val="auto"/>
                <w:w w:val="84"/>
                <w:vertAlign w:val="superscript"/>
              </w:rPr>
              <w:t>1</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b w:val="1"/>
                <w:bCs w:val="1"/>
                <w:color w:val="auto"/>
              </w:rPr>
              <w:t>Principal</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Cost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2</w:t>
            </w:r>
          </w:p>
        </w:tc>
        <w:tc>
          <w:tcPr>
            <w:tcW w:w="0" w:type="dxa"/>
            <w:vAlign w:val="bottom"/>
          </w:tcPr>
          <w:p>
            <w:pPr>
              <w:spacing w:after="0"/>
              <w:rPr>
                <w:sz w:val="1"/>
                <w:szCs w:val="1"/>
                <w:color w:val="auto"/>
              </w:rPr>
            </w:pPr>
          </w:p>
        </w:tc>
      </w:tr>
      <w:tr>
        <w:trPr>
          <w:trHeight w:val="101"/>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TestEquity, LLC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Capital equipment</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4/28/2022</w:t>
            </w:r>
          </w:p>
        </w:tc>
        <w:tc>
          <w:tcPr>
            <w:tcW w:w="8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center"/>
              <w:ind w:right="120"/>
              <w:spacing w:after="0" w:line="101" w:lineRule="exact"/>
              <w:rPr>
                <w:sz w:val="20"/>
                <w:szCs w:val="20"/>
                <w:color w:val="auto"/>
              </w:rPr>
            </w:pPr>
            <w:r>
              <w:rPr>
                <w:rFonts w:ascii="Arial" w:cs="Arial" w:eastAsia="Arial" w:hAnsi="Arial"/>
                <w:sz w:val="11"/>
                <w:szCs w:val="11"/>
                <w:color w:val="auto"/>
                <w:w w:val="95"/>
              </w:rPr>
              <w:t>L+6.25%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3,816</w:t>
            </w: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3,810</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3,358</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spacing w:after="0" w:line="112" w:lineRule="exact"/>
              <w:rPr>
                <w:sz w:val="20"/>
                <w:szCs w:val="20"/>
                <w:color w:val="auto"/>
              </w:rPr>
            </w:pPr>
            <w:r>
              <w:rPr>
                <w:rFonts w:ascii="Arial" w:cs="Arial" w:eastAsia="Arial" w:hAnsi="Arial"/>
                <w:sz w:val="11"/>
                <w:szCs w:val="11"/>
                <w:color w:val="auto"/>
              </w:rPr>
              <w:t>First Lien - Term Loan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4/28/2022</w:t>
            </w:r>
          </w:p>
        </w:tc>
        <w:tc>
          <w:tcPr>
            <w:tcW w:w="80" w:type="dxa"/>
            <w:vAlign w:val="bottom"/>
          </w:tcPr>
          <w:p>
            <w:pPr>
              <w:spacing w:after="0"/>
              <w:rPr>
                <w:sz w:val="9"/>
                <w:szCs w:val="9"/>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1"/>
              </w:rPr>
              <w:t>L+6.25%</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947</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945</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833</w:t>
            </w:r>
          </w:p>
        </w:tc>
        <w:tc>
          <w:tcPr>
            <w:tcW w:w="0" w:type="dxa"/>
            <w:vAlign w:val="bottom"/>
          </w:tcPr>
          <w:p>
            <w:pPr>
              <w:spacing w:after="0"/>
              <w:rPr>
                <w:sz w:val="1"/>
                <w:szCs w:val="1"/>
                <w:color w:val="auto"/>
              </w:rPr>
            </w:pPr>
          </w:p>
        </w:tc>
      </w:tr>
      <w:tr>
        <w:trPr>
          <w:trHeight w:val="138"/>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1"/>
                <w:szCs w:val="11"/>
                <w:color w:val="auto"/>
              </w:rPr>
              <w:t>B</w:t>
            </w: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Time Manufacturing Acquisition</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Capital equipment</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8"/>
              </w:rPr>
              <w:t>2/3/2023</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L+5.00%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5,716</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5,702</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5,737</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40" w:type="dxa"/>
            <w:vAlign w:val="bottom"/>
            <w:gridSpan w:val="2"/>
            <w:vMerge w:val="restart"/>
          </w:tcPr>
          <w:p>
            <w:pPr>
              <w:spacing w:after="0"/>
              <w:rPr>
                <w:sz w:val="20"/>
                <w:szCs w:val="20"/>
                <w:color w:val="auto"/>
              </w:rPr>
            </w:pPr>
            <w:r>
              <w:rPr>
                <w:rFonts w:ascii="Arial" w:cs="Arial" w:eastAsia="Arial" w:hAnsi="Arial"/>
                <w:sz w:val="11"/>
                <w:szCs w:val="11"/>
                <w:color w:val="auto"/>
              </w:rPr>
              <w:t>UniTek Global Services, Inc.</w:t>
            </w:r>
          </w:p>
        </w:tc>
        <w:tc>
          <w:tcPr>
            <w:tcW w:w="2200" w:type="dxa"/>
            <w:vAlign w:val="bottom"/>
            <w:gridSpan w:val="2"/>
            <w:vMerge w:val="restart"/>
          </w:tcPr>
          <w:p>
            <w:pPr>
              <w:ind w:left="20"/>
              <w:spacing w:after="0"/>
              <w:rPr>
                <w:sz w:val="20"/>
                <w:szCs w:val="20"/>
                <w:color w:val="auto"/>
              </w:rPr>
            </w:pPr>
            <w:r>
              <w:rPr>
                <w:rFonts w:ascii="Arial" w:cs="Arial" w:eastAsia="Arial" w:hAnsi="Arial"/>
                <w:sz w:val="11"/>
                <w:szCs w:val="11"/>
                <w:color w:val="auto"/>
              </w:rPr>
              <w:t>Telecommunications</w:t>
            </w:r>
          </w:p>
        </w:tc>
        <w:tc>
          <w:tcPr>
            <w:tcW w:w="1180" w:type="dxa"/>
            <w:vAlign w:val="bottom"/>
            <w:gridSpan w:val="2"/>
            <w:vMerge w:val="restart"/>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89"/>
              </w:rPr>
              <w:t>8/20/2024</w:t>
            </w:r>
          </w:p>
        </w:tc>
        <w:tc>
          <w:tcPr>
            <w:tcW w:w="80" w:type="dxa"/>
            <w:vAlign w:val="bottom"/>
          </w:tcPr>
          <w:p>
            <w:pPr>
              <w:spacing w:after="0"/>
              <w:rPr>
                <w:sz w:val="9"/>
                <w:szCs w:val="9"/>
                <w:color w:val="auto"/>
              </w:rPr>
            </w:pPr>
          </w:p>
        </w:tc>
        <w:tc>
          <w:tcPr>
            <w:tcW w:w="118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L+5.50%, 1.00% PIK</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2,757</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2,742</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2,504</w:t>
            </w:r>
          </w:p>
        </w:tc>
        <w:tc>
          <w:tcPr>
            <w:tcW w:w="0" w:type="dxa"/>
            <w:vAlign w:val="bottom"/>
          </w:tcPr>
          <w:p>
            <w:pPr>
              <w:spacing w:after="0"/>
              <w:rPr>
                <w:sz w:val="1"/>
                <w:szCs w:val="1"/>
                <w:color w:val="auto"/>
              </w:rPr>
            </w:pPr>
          </w:p>
        </w:tc>
      </w:tr>
      <w:tr>
        <w:trPr>
          <w:trHeight w:val="138"/>
        </w:trPr>
        <w:tc>
          <w:tcPr>
            <w:tcW w:w="264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U.S. TelePacific Corp.</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Telecommunications</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8"/>
              </w:rPr>
              <w:t>5/2/2023</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1"/>
                <w:szCs w:val="11"/>
                <w:color w:val="auto"/>
                <w:w w:val="95"/>
              </w:rPr>
              <w:t>L+6.00%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5,200</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5,175</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4,810</w:t>
            </w:r>
          </w:p>
        </w:tc>
        <w:tc>
          <w:tcPr>
            <w:tcW w:w="0" w:type="dxa"/>
            <w:vAlign w:val="bottom"/>
          </w:tcPr>
          <w:p>
            <w:pPr>
              <w:spacing w:after="0"/>
              <w:rPr>
                <w:sz w:val="1"/>
                <w:szCs w:val="1"/>
                <w:color w:val="auto"/>
              </w:rPr>
            </w:pPr>
          </w:p>
        </w:tc>
      </w:tr>
      <w:tr>
        <w:trPr>
          <w:trHeight w:val="140"/>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2"/>
          </w:tcPr>
          <w:p>
            <w:pPr>
              <w:spacing w:after="0"/>
              <w:rPr>
                <w:sz w:val="20"/>
                <w:szCs w:val="20"/>
                <w:color w:val="auto"/>
              </w:rPr>
            </w:pPr>
            <w:r>
              <w:rPr>
                <w:rFonts w:ascii="Arial" w:cs="Arial" w:eastAsia="Arial" w:hAnsi="Arial"/>
                <w:sz w:val="11"/>
                <w:szCs w:val="11"/>
                <w:color w:val="auto"/>
              </w:rPr>
              <w:t>Vida Capital, Inc.</w:t>
            </w:r>
          </w:p>
        </w:tc>
        <w:tc>
          <w:tcPr>
            <w:tcW w:w="2200" w:type="dxa"/>
            <w:vAlign w:val="bottom"/>
            <w:gridSpan w:val="2"/>
          </w:tcPr>
          <w:p>
            <w:pPr>
              <w:ind w:left="20"/>
              <w:spacing w:after="0"/>
              <w:rPr>
                <w:sz w:val="20"/>
                <w:szCs w:val="20"/>
                <w:color w:val="auto"/>
              </w:rPr>
            </w:pPr>
            <w:r>
              <w:rPr>
                <w:rFonts w:ascii="Arial" w:cs="Arial" w:eastAsia="Arial" w:hAnsi="Arial"/>
                <w:sz w:val="11"/>
                <w:szCs w:val="11"/>
                <w:color w:val="auto"/>
              </w:rPr>
              <w:t>Financial services</w:t>
            </w:r>
          </w:p>
        </w:tc>
        <w:tc>
          <w:tcPr>
            <w:tcW w:w="1180" w:type="dxa"/>
            <w:vAlign w:val="bottom"/>
            <w:gridSpan w:val="2"/>
          </w:tcPr>
          <w:p>
            <w:pPr>
              <w:spacing w:after="0"/>
              <w:rPr>
                <w:sz w:val="20"/>
                <w:szCs w:val="20"/>
                <w:color w:val="auto"/>
              </w:rPr>
            </w:pPr>
            <w:r>
              <w:rPr>
                <w:rFonts w:ascii="Arial" w:cs="Arial" w:eastAsia="Arial" w:hAnsi="Arial"/>
                <w:sz w:val="11"/>
                <w:szCs w:val="11"/>
                <w:color w:val="auto"/>
              </w:rPr>
              <w:t>First Lien</w:t>
            </w:r>
          </w:p>
        </w:tc>
        <w:tc>
          <w:tcPr>
            <w:tcW w:w="920" w:type="dxa"/>
            <w:vAlign w:val="bottom"/>
          </w:tcPr>
          <w:p>
            <w:pPr>
              <w:jc w:val="center"/>
              <w:spacing w:after="0"/>
              <w:rPr>
                <w:sz w:val="20"/>
                <w:szCs w:val="20"/>
                <w:color w:val="auto"/>
              </w:rPr>
            </w:pPr>
            <w:r>
              <w:rPr>
                <w:rFonts w:ascii="Arial" w:cs="Arial" w:eastAsia="Arial" w:hAnsi="Arial"/>
                <w:sz w:val="11"/>
                <w:szCs w:val="11"/>
                <w:color w:val="auto"/>
                <w:w w:val="89"/>
              </w:rPr>
              <w:t>10/1/2026</w:t>
            </w:r>
          </w:p>
        </w:tc>
        <w:tc>
          <w:tcPr>
            <w:tcW w:w="80" w:type="dxa"/>
            <w:vAlign w:val="bottom"/>
          </w:tcPr>
          <w:p>
            <w:pPr>
              <w:spacing w:after="0"/>
              <w:rPr>
                <w:sz w:val="12"/>
                <w:szCs w:val="12"/>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L+6.00%</w:t>
            </w:r>
          </w:p>
        </w:tc>
        <w:tc>
          <w:tcPr>
            <w:tcW w:w="920" w:type="dxa"/>
            <w:vAlign w:val="bottom"/>
          </w:tcPr>
          <w:p>
            <w:pPr>
              <w:jc w:val="right"/>
              <w:spacing w:after="0"/>
              <w:rPr>
                <w:sz w:val="20"/>
                <w:szCs w:val="20"/>
                <w:color w:val="auto"/>
              </w:rPr>
            </w:pPr>
            <w:r>
              <w:rPr>
                <w:rFonts w:ascii="Arial" w:cs="Arial" w:eastAsia="Arial" w:hAnsi="Arial"/>
                <w:sz w:val="11"/>
                <w:szCs w:val="11"/>
                <w:color w:val="auto"/>
              </w:rPr>
              <w:t>3,750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3,708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3,619</w:t>
            </w:r>
          </w:p>
        </w:tc>
        <w:tc>
          <w:tcPr>
            <w:tcW w:w="0" w:type="dxa"/>
            <w:vAlign w:val="bottom"/>
          </w:tcPr>
          <w:p>
            <w:pPr>
              <w:spacing w:after="0"/>
              <w:rPr>
                <w:sz w:val="1"/>
                <w:szCs w:val="1"/>
                <w:color w:val="auto"/>
              </w:rPr>
            </w:pPr>
          </w:p>
        </w:tc>
      </w:tr>
      <w:tr>
        <w:trPr>
          <w:trHeight w:val="114"/>
        </w:trPr>
        <w:tc>
          <w:tcPr>
            <w:tcW w:w="26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YS Garments, LLC</w:t>
            </w:r>
          </w:p>
        </w:tc>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Consumer products &amp; retail</w:t>
            </w:r>
          </w:p>
        </w:tc>
        <w:tc>
          <w:tcPr>
            <w:tcW w:w="1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First Lien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8"/>
              </w:rPr>
              <w:t>8/9/2024</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1"/>
              </w:rPr>
              <w:t>L+6.00%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4,376</w:t>
            </w: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4,353</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4,195</w:t>
            </w:r>
          </w:p>
        </w:tc>
        <w:tc>
          <w:tcPr>
            <w:tcW w:w="0" w:type="dxa"/>
            <w:vAlign w:val="bottom"/>
          </w:tcPr>
          <w:p>
            <w:pPr>
              <w:spacing w:after="0"/>
              <w:rPr>
                <w:sz w:val="1"/>
                <w:szCs w:val="1"/>
                <w:color w:val="auto"/>
              </w:rPr>
            </w:pPr>
          </w:p>
        </w:tc>
      </w:tr>
      <w:tr>
        <w:trPr>
          <w:trHeight w:val="138"/>
        </w:trPr>
        <w:tc>
          <w:tcPr>
            <w:tcW w:w="2640" w:type="dxa"/>
            <w:vAlign w:val="bottom"/>
            <w:gridSpan w:val="2"/>
            <w:vMerge w:val="continue"/>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(Floor 1.00%)</w:t>
            </w:r>
          </w:p>
        </w:tc>
        <w:tc>
          <w:tcPr>
            <w:tcW w:w="9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gridSpan w:val="2"/>
          </w:tcPr>
          <w:p>
            <w:pPr>
              <w:spacing w:after="0"/>
              <w:rPr>
                <w:sz w:val="20"/>
                <w:szCs w:val="20"/>
                <w:color w:val="auto"/>
              </w:rPr>
            </w:pPr>
            <w:r>
              <w:rPr>
                <w:rFonts w:ascii="Arial" w:cs="Arial" w:eastAsia="Arial" w:hAnsi="Arial"/>
                <w:sz w:val="11"/>
                <w:szCs w:val="11"/>
                <w:color w:val="auto"/>
              </w:rPr>
              <w:t>Total Investments</w:t>
            </w: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176,002</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169,625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420" w:right="20" w:hanging="212"/>
        <w:spacing w:after="0" w:line="247" w:lineRule="auto"/>
        <w:tabs>
          <w:tab w:leader="none" w:pos="419" w:val="left"/>
        </w:tabs>
        <w:numPr>
          <w:ilvl w:val="0"/>
          <w:numId w:val="58"/>
        </w:numPr>
        <w:rPr>
          <w:rFonts w:ascii="Arial" w:cs="Arial" w:eastAsia="Arial" w:hAnsi="Arial"/>
          <w:sz w:val="12"/>
          <w:szCs w:val="12"/>
          <w:color w:val="auto"/>
          <w:vertAlign w:val="superscript"/>
        </w:rPr>
      </w:pPr>
      <w:r>
        <w:rPr>
          <w:rFonts w:ascii="Arial" w:cs="Arial" w:eastAsia="Arial" w:hAnsi="Arial"/>
          <w:sz w:val="9"/>
          <w:szCs w:val="9"/>
          <w:color w:val="auto"/>
        </w:rPr>
        <w:t>Represents the interest rate as of June 30, 2021. All interest rates are payable in cash, unless otherwise noted. The majority of investments bear interest at a rate that may be determined by reference to London Interbank Offered Rate (“LIBOR” or “L”) or Prime (“P”) which reset daily, monthly, quarterly, or semiannually. For each investment, the Company has provided the spread over LIBOR or Prime in effect at June 30, 2021. Certain investments are subject to a LIBOR or Prime interest rate floor.</w:t>
      </w:r>
    </w:p>
    <w:p>
      <w:pPr>
        <w:spacing w:after="0" w:line="3" w:lineRule="exact"/>
        <w:rPr>
          <w:sz w:val="20"/>
          <w:szCs w:val="20"/>
          <w:color w:val="auto"/>
        </w:rPr>
      </w:pPr>
    </w:p>
    <w:p>
      <w:pPr>
        <w:ind w:left="420" w:hanging="212"/>
        <w:spacing w:after="0" w:line="207" w:lineRule="auto"/>
        <w:tabs>
          <w:tab w:leader="none" w:pos="419" w:val="left"/>
        </w:tabs>
        <w:numPr>
          <w:ilvl w:val="0"/>
          <w:numId w:val="59"/>
        </w:numPr>
        <w:rPr>
          <w:rFonts w:ascii="Arial" w:cs="Arial" w:eastAsia="Arial" w:hAnsi="Arial"/>
          <w:sz w:val="14"/>
          <w:szCs w:val="14"/>
          <w:color w:val="auto"/>
          <w:vertAlign w:val="superscript"/>
        </w:rPr>
      </w:pPr>
      <w:r>
        <w:rPr>
          <w:rFonts w:ascii="Arial" w:cs="Arial" w:eastAsia="Arial" w:hAnsi="Arial"/>
          <w:sz w:val="11"/>
          <w:szCs w:val="11"/>
          <w:color w:val="auto"/>
        </w:rPr>
        <w:t>Represents the fair value determined utilizing a similar process as the Company in accordance with ASC 820. However, the determination of such fair value is determined by the Board of Managers of I-45 SLF LLC. It is not included in the Company’s Board of Directors’ valuation process described elsewhere herein.</w:t>
      </w:r>
    </w:p>
    <w:p>
      <w:pPr>
        <w:ind w:left="420" w:hanging="212"/>
        <w:spacing w:after="0" w:line="188" w:lineRule="auto"/>
        <w:tabs>
          <w:tab w:leader="none" w:pos="420" w:val="left"/>
        </w:tabs>
        <w:numPr>
          <w:ilvl w:val="0"/>
          <w:numId w:val="60"/>
        </w:numPr>
        <w:rPr>
          <w:rFonts w:ascii="Arial" w:cs="Arial" w:eastAsia="Arial" w:hAnsi="Arial"/>
          <w:sz w:val="14"/>
          <w:szCs w:val="14"/>
          <w:color w:val="auto"/>
          <w:vertAlign w:val="superscript"/>
        </w:rPr>
      </w:pPr>
      <w:r>
        <w:rPr>
          <w:rFonts w:ascii="Arial" w:cs="Arial" w:eastAsia="Arial" w:hAnsi="Arial"/>
          <w:sz w:val="11"/>
          <w:szCs w:val="11"/>
          <w:color w:val="auto"/>
        </w:rPr>
        <w:t>Investment is on non-accrual status as of June 30, 2021, meaning the Company has ceased to recognize interest income on the investment.</w:t>
      </w:r>
    </w:p>
    <w:p>
      <w:pPr>
        <w:ind w:left="420" w:hanging="212"/>
        <w:spacing w:after="0" w:line="208" w:lineRule="auto"/>
        <w:tabs>
          <w:tab w:leader="none" w:pos="420" w:val="left"/>
        </w:tabs>
        <w:numPr>
          <w:ilvl w:val="0"/>
          <w:numId w:val="61"/>
        </w:numPr>
        <w:rPr>
          <w:rFonts w:ascii="Arial" w:cs="Arial" w:eastAsia="Arial" w:hAnsi="Arial"/>
          <w:sz w:val="14"/>
          <w:szCs w:val="14"/>
          <w:color w:val="auto"/>
          <w:vertAlign w:val="superscript"/>
        </w:rPr>
      </w:pPr>
      <w:r>
        <w:rPr>
          <w:rFonts w:ascii="Arial" w:cs="Arial" w:eastAsia="Arial" w:hAnsi="Arial"/>
          <w:sz w:val="11"/>
          <w:szCs w:val="11"/>
          <w:color w:val="auto"/>
        </w:rPr>
        <w:t>The investment has approximately $0.3 million in an unfunded revolving loan commitment as of June 30, 2021.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300"/>
          </w:cols>
          <w:pgMar w:left="300" w:top="140" w:right="299" w:bottom="1440" w:gutter="0" w:footer="0" w:header="0"/>
        </w:sectPr>
      </w:pPr>
    </w:p>
    <w:bookmarkStart w:id="64" w:name="page65"/>
    <w:bookmarkEnd w:id="64"/>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2"/>
          <w:szCs w:val="12"/>
          <w:b w:val="1"/>
          <w:bCs w:val="1"/>
          <w:color w:val="auto"/>
        </w:rPr>
        <w:t>I-45 SLF LLC Loan Portfolio as of March 31,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88"/>
              </w:rPr>
              <w:t>Current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ind w:left="300"/>
              <w:spacing w:after="0"/>
              <w:rPr>
                <w:sz w:val="20"/>
                <w:szCs w:val="20"/>
                <w:color w:val="auto"/>
              </w:rPr>
            </w:pPr>
            <w:r>
              <w:rPr>
                <w:rFonts w:ascii="Arial" w:cs="Arial" w:eastAsia="Arial" w:hAnsi="Arial"/>
                <w:sz w:val="10"/>
                <w:szCs w:val="10"/>
                <w:b w:val="1"/>
                <w:bCs w:val="1"/>
                <w:color w:val="auto"/>
              </w:rPr>
              <w:t>Investment</w:t>
            </w:r>
          </w:p>
        </w:tc>
        <w:tc>
          <w:tcPr>
            <w:tcW w:w="9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Maturity</w:t>
            </w:r>
          </w:p>
        </w:tc>
        <w:tc>
          <w:tcPr>
            <w:tcW w:w="128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88"/>
              </w:rPr>
              <w:t>Interest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p>
        </w:tc>
        <w:tc>
          <w:tcPr>
            <w:tcW w:w="8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0"/>
                <w:szCs w:val="10"/>
                <w:b w:val="1"/>
                <w:bCs w:val="1"/>
                <w:color w:val="auto"/>
              </w:rPr>
              <w:t>Industry</w:t>
            </w:r>
          </w:p>
        </w:tc>
        <w:tc>
          <w:tcPr>
            <w:tcW w:w="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Type</w:t>
            </w: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Date</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Rate</w:t>
            </w:r>
            <w:r>
              <w:rPr>
                <w:rFonts w:ascii="Arial" w:cs="Arial" w:eastAsia="Arial" w:hAnsi="Arial"/>
                <w:sz w:val="12"/>
                <w:szCs w:val="12"/>
                <w:b w:val="1"/>
                <w:bCs w:val="1"/>
                <w:color w:val="auto"/>
                <w:w w:val="84"/>
                <w:vertAlign w:val="superscript"/>
              </w:rPr>
              <w:t>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Principal</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6"/>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3</w:t>
            </w:r>
          </w:p>
        </w:tc>
        <w:tc>
          <w:tcPr>
            <w:tcW w:w="0" w:type="dxa"/>
            <w:vAlign w:val="bottom"/>
          </w:tcPr>
          <w:p>
            <w:pPr>
              <w:spacing w:after="0"/>
              <w:rPr>
                <w:sz w:val="1"/>
                <w:szCs w:val="1"/>
                <w:color w:val="auto"/>
              </w:rPr>
            </w:pPr>
          </w:p>
        </w:tc>
      </w:tr>
      <w:tr>
        <w:trPr>
          <w:trHeight w:val="133"/>
        </w:trPr>
        <w:tc>
          <w:tcPr>
            <w:tcW w:w="2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AAC New Holdco Inc.</w:t>
            </w:r>
          </w:p>
        </w:tc>
        <w:tc>
          <w:tcPr>
            <w:tcW w:w="19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Healthcare services</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6/25/2025</w:t>
            </w: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10.00%, 8.00% PIK   $</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1,743</w:t>
            </w:r>
          </w:p>
        </w:tc>
        <w:tc>
          <w:tcPr>
            <w:tcW w:w="0" w:type="dxa"/>
            <w:vAlign w:val="bottom"/>
          </w:tcPr>
          <w:p>
            <w:pPr>
              <w:spacing w:after="0"/>
              <w:rPr>
                <w:sz w:val="1"/>
                <w:szCs w:val="1"/>
                <w:color w:val="auto"/>
              </w:rPr>
            </w:pPr>
          </w:p>
        </w:tc>
      </w:tr>
      <w:tr>
        <w:trPr>
          <w:trHeight w:val="112"/>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304,075 shares</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90"/>
              </w:rPr>
              <w:t>—</w:t>
            </w: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1"/>
                <w:szCs w:val="11"/>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1,449</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1,449</w:t>
            </w:r>
          </w:p>
        </w:tc>
        <w:tc>
          <w:tcPr>
            <w:tcW w:w="0" w:type="dxa"/>
            <w:vAlign w:val="bottom"/>
          </w:tcPr>
          <w:p>
            <w:pPr>
              <w:spacing w:after="0"/>
              <w:rPr>
                <w:sz w:val="1"/>
                <w:szCs w:val="1"/>
                <w:color w:val="auto"/>
              </w:rPr>
            </w:pPr>
          </w:p>
        </w:tc>
      </w:tr>
      <w:tr>
        <w:trPr>
          <w:trHeight w:val="138"/>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common stock</w:t>
            </w:r>
          </w:p>
        </w:tc>
        <w:tc>
          <w:tcPr>
            <w:tcW w:w="9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1"/>
                <w:szCs w:val="11"/>
                <w:color w:val="auto"/>
                <w:w w:val="99"/>
              </w:rPr>
              <w:t>Warrants (Expiration -</w:t>
            </w: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color w:val="auto"/>
                <w:w w:val="90"/>
              </w:rPr>
              <w:t>—</w:t>
            </w:r>
          </w:p>
        </w:tc>
        <w:tc>
          <w:tcPr>
            <w:tcW w:w="1280" w:type="dxa"/>
            <w:vAlign w:val="bottom"/>
            <w:gridSpan w:val="3"/>
            <w:vMerge w:val="restart"/>
            <w:shd w:val="clear" w:color="auto" w:fill="CCEEFF"/>
          </w:tcPr>
          <w:p>
            <w:pPr>
              <w:jc w:val="center"/>
              <w:ind w:right="280"/>
              <w:spacing w:after="0"/>
              <w:rPr>
                <w:sz w:val="20"/>
                <w:szCs w:val="20"/>
                <w:color w:val="auto"/>
              </w:rPr>
            </w:pPr>
            <w:r>
              <w:rPr>
                <w:rFonts w:ascii="Arial" w:cs="Arial" w:eastAsia="Arial" w:hAnsi="Arial"/>
                <w:sz w:val="11"/>
                <w:szCs w:val="11"/>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0" w:type="dxa"/>
            <w:vAlign w:val="bottom"/>
          </w:tcPr>
          <w:p>
            <w:pPr>
              <w:spacing w:after="0"/>
              <w:rPr>
                <w:sz w:val="1"/>
                <w:szCs w:val="1"/>
                <w:color w:val="auto"/>
              </w:rPr>
            </w:pPr>
          </w:p>
        </w:tc>
      </w:tr>
      <w:tr>
        <w:trPr>
          <w:trHeight w:val="140"/>
        </w:trPr>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December 11, 2025)</w:t>
            </w:r>
          </w:p>
        </w:tc>
        <w:tc>
          <w:tcPr>
            <w:tcW w:w="940" w:type="dxa"/>
            <w:vAlign w:val="bottom"/>
            <w:gridSpan w:val="2"/>
            <w:vMerge w:val="continue"/>
            <w:shd w:val="clear" w:color="auto" w:fill="CCEEFF"/>
          </w:tcPr>
          <w:p>
            <w:pPr>
              <w:spacing w:after="0"/>
              <w:rPr>
                <w:sz w:val="12"/>
                <w:szCs w:val="12"/>
                <w:color w:val="auto"/>
              </w:rPr>
            </w:pPr>
          </w:p>
        </w:tc>
        <w:tc>
          <w:tcPr>
            <w:tcW w:w="1280" w:type="dxa"/>
            <w:vAlign w:val="bottom"/>
            <w:gridSpan w:val="3"/>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ADS Tactical</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Aerospace &amp; defense</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9"/>
              </w:rPr>
              <w:t>3/19/2026</w:t>
            </w:r>
          </w:p>
        </w:tc>
        <w:tc>
          <w:tcPr>
            <w:tcW w:w="80" w:type="dxa"/>
            <w:vAlign w:val="bottom"/>
          </w:tcPr>
          <w:p>
            <w:pPr>
              <w:spacing w:after="0"/>
              <w:rPr>
                <w:sz w:val="9"/>
                <w:szCs w:val="9"/>
                <w:color w:val="auto"/>
              </w:rPr>
            </w:pPr>
          </w:p>
        </w:tc>
        <w:tc>
          <w:tcPr>
            <w:tcW w:w="1280" w:type="dxa"/>
            <w:vAlign w:val="bottom"/>
            <w:gridSpan w:val="3"/>
          </w:tcPr>
          <w:p>
            <w:pPr>
              <w:jc w:val="center"/>
              <w:ind w:right="300"/>
              <w:spacing w:after="0" w:line="112" w:lineRule="exact"/>
              <w:rPr>
                <w:sz w:val="20"/>
                <w:szCs w:val="20"/>
                <w:color w:val="auto"/>
              </w:rPr>
            </w:pPr>
            <w:r>
              <w:rPr>
                <w:rFonts w:ascii="Arial" w:cs="Arial" w:eastAsia="Arial" w:hAnsi="Arial"/>
                <w:sz w:val="11"/>
                <w:szCs w:val="11"/>
                <w:color w:val="auto"/>
                <w:w w:val="95"/>
              </w:rPr>
              <w:t>L+5.75%</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6,731</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6,596</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6,697</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1"/>
                <w:szCs w:val="11"/>
                <w:color w:val="auto"/>
                <w:w w:val="89"/>
              </w:rPr>
              <w:t>(Floor 1.00%)</w:t>
            </w: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American Teleconferencing Services, Ltd.</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Telecommunications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8"/>
              </w:rPr>
              <w:t>6/8/2023</w:t>
            </w:r>
          </w:p>
        </w:tc>
        <w:tc>
          <w:tcPr>
            <w:tcW w:w="80" w:type="dxa"/>
            <w:vAlign w:val="bottom"/>
            <w:shd w:val="clear" w:color="auto" w:fill="CCEEFF"/>
          </w:tcPr>
          <w:p>
            <w:pPr>
              <w:spacing w:after="0"/>
              <w:rPr>
                <w:sz w:val="9"/>
                <w:szCs w:val="9"/>
                <w:color w:val="auto"/>
              </w:rPr>
            </w:pPr>
          </w:p>
        </w:tc>
        <w:tc>
          <w:tcPr>
            <w:tcW w:w="1280" w:type="dxa"/>
            <w:vAlign w:val="bottom"/>
            <w:gridSpan w:val="3"/>
            <w:shd w:val="clear" w:color="auto" w:fill="CCEEFF"/>
          </w:tcPr>
          <w:p>
            <w:pPr>
              <w:jc w:val="center"/>
              <w:ind w:right="280"/>
              <w:spacing w:after="0" w:line="114" w:lineRule="exact"/>
              <w:rPr>
                <w:sz w:val="20"/>
                <w:szCs w:val="20"/>
                <w:color w:val="auto"/>
              </w:rPr>
            </w:pPr>
            <w:r>
              <w:rPr>
                <w:rFonts w:ascii="Arial" w:cs="Arial" w:eastAsia="Arial" w:hAnsi="Arial"/>
                <w:sz w:val="11"/>
                <w:szCs w:val="11"/>
                <w:color w:val="auto"/>
                <w:w w:val="91"/>
              </w:rPr>
              <w:t>L+6.50%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6,759</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6,698</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3,590</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center"/>
              <w:ind w:right="280"/>
              <w:spacing w:after="0"/>
              <w:rPr>
                <w:sz w:val="20"/>
                <w:szCs w:val="20"/>
                <w:color w:val="auto"/>
              </w:rPr>
            </w:pPr>
            <w:r>
              <w:rPr>
                <w:rFonts w:ascii="Arial" w:cs="Arial" w:eastAsia="Arial" w:hAnsi="Arial"/>
                <w:sz w:val="11"/>
                <w:szCs w:val="11"/>
                <w:color w:val="auto"/>
                <w:w w:val="89"/>
              </w:rPr>
              <w:t>(Floor 1.00%)</w:t>
            </w: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ATX Canada Acquisitionco Inc.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Technology products &amp; components</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0"/>
              </w:rPr>
              <w:t>12/31/2023</w:t>
            </w:r>
          </w:p>
        </w:tc>
        <w:tc>
          <w:tcPr>
            <w:tcW w:w="80" w:type="dxa"/>
            <w:vAlign w:val="bottom"/>
          </w:tcPr>
          <w:p>
            <w:pPr>
              <w:spacing w:after="0"/>
              <w:rPr>
                <w:sz w:val="9"/>
                <w:szCs w:val="9"/>
                <w:color w:val="auto"/>
              </w:rPr>
            </w:pPr>
          </w:p>
        </w:tc>
        <w:tc>
          <w:tcPr>
            <w:tcW w:w="1280" w:type="dxa"/>
            <w:vAlign w:val="bottom"/>
            <w:gridSpan w:val="3"/>
          </w:tcPr>
          <w:p>
            <w:pPr>
              <w:jc w:val="center"/>
              <w:ind w:right="300"/>
              <w:spacing w:after="0" w:line="112" w:lineRule="exact"/>
              <w:rPr>
                <w:sz w:val="20"/>
                <w:szCs w:val="20"/>
                <w:color w:val="auto"/>
              </w:rPr>
            </w:pPr>
            <w:r>
              <w:rPr>
                <w:rFonts w:ascii="Arial" w:cs="Arial" w:eastAsia="Arial" w:hAnsi="Arial"/>
                <w:sz w:val="11"/>
                <w:szCs w:val="11"/>
                <w:color w:val="auto"/>
                <w:w w:val="92"/>
              </w:rPr>
              <w:t>L+6.25%, 1.50% PIK</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4,464</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4,462</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4,084</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1"/>
                <w:szCs w:val="11"/>
                <w:color w:val="auto"/>
                <w:w w:val="89"/>
              </w:rPr>
              <w:t>(Floor 1.00%)</w:t>
            </w: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California Pizza Kitchen, Inc.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Restaurants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11/23/2024</w:t>
            </w:r>
          </w:p>
        </w:tc>
        <w:tc>
          <w:tcPr>
            <w:tcW w:w="80" w:type="dxa"/>
            <w:vAlign w:val="bottom"/>
            <w:shd w:val="clear" w:color="auto" w:fill="CCEEFF"/>
          </w:tcPr>
          <w:p>
            <w:pPr>
              <w:spacing w:after="0"/>
              <w:rPr>
                <w:sz w:val="9"/>
                <w:szCs w:val="9"/>
                <w:color w:val="auto"/>
              </w:rPr>
            </w:pPr>
          </w:p>
        </w:tc>
        <w:tc>
          <w:tcPr>
            <w:tcW w:w="1280" w:type="dxa"/>
            <w:vAlign w:val="bottom"/>
            <w:gridSpan w:val="3"/>
            <w:shd w:val="clear" w:color="auto" w:fill="CCEEFF"/>
          </w:tcPr>
          <w:p>
            <w:pPr>
              <w:jc w:val="center"/>
              <w:ind w:right="300"/>
              <w:spacing w:after="0" w:line="114" w:lineRule="exact"/>
              <w:rPr>
                <w:sz w:val="20"/>
                <w:szCs w:val="20"/>
                <w:color w:val="auto"/>
              </w:rPr>
            </w:pPr>
            <w:r>
              <w:rPr>
                <w:rFonts w:ascii="Arial" w:cs="Arial" w:eastAsia="Arial" w:hAnsi="Arial"/>
                <w:sz w:val="11"/>
                <w:szCs w:val="11"/>
                <w:color w:val="auto"/>
                <w:w w:val="92"/>
              </w:rPr>
              <w:t>L+10.00%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937</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913</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936</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center"/>
              <w:ind w:right="280"/>
              <w:spacing w:after="0"/>
              <w:rPr>
                <w:sz w:val="20"/>
                <w:szCs w:val="20"/>
                <w:color w:val="auto"/>
              </w:rPr>
            </w:pPr>
            <w:r>
              <w:rPr>
                <w:rFonts w:ascii="Arial" w:cs="Arial" w:eastAsia="Arial" w:hAnsi="Arial"/>
                <w:sz w:val="11"/>
                <w:szCs w:val="11"/>
                <w:color w:val="auto"/>
                <w:w w:val="89"/>
              </w:rPr>
              <w:t>(Floor 1.50%)</w:t>
            </w: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 Rolled Up</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0"/>
              </w:rPr>
              <w:t>11/23/2024</w:t>
            </w:r>
          </w:p>
        </w:tc>
        <w:tc>
          <w:tcPr>
            <w:tcW w:w="80" w:type="dxa"/>
            <w:vAlign w:val="bottom"/>
          </w:tcPr>
          <w:p>
            <w:pPr>
              <w:spacing w:after="0"/>
              <w:rPr>
                <w:sz w:val="9"/>
                <w:szCs w:val="9"/>
                <w:color w:val="auto"/>
              </w:rPr>
            </w:pPr>
          </w:p>
        </w:tc>
        <w:tc>
          <w:tcPr>
            <w:tcW w:w="1280" w:type="dxa"/>
            <w:vAlign w:val="bottom"/>
            <w:gridSpan w:val="3"/>
          </w:tcPr>
          <w:p>
            <w:pPr>
              <w:jc w:val="center"/>
              <w:ind w:right="280"/>
              <w:spacing w:after="0" w:line="112" w:lineRule="exact"/>
              <w:rPr>
                <w:sz w:val="20"/>
                <w:szCs w:val="20"/>
                <w:color w:val="auto"/>
              </w:rPr>
            </w:pPr>
            <w:r>
              <w:rPr>
                <w:rFonts w:ascii="Arial" w:cs="Arial" w:eastAsia="Arial" w:hAnsi="Arial"/>
                <w:sz w:val="11"/>
                <w:szCs w:val="11"/>
                <w:color w:val="auto"/>
                <w:w w:val="92"/>
              </w:rPr>
              <w:t>1.00%, L+11.00% PIK</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1,039</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1,035</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1,033</w:t>
            </w:r>
          </w:p>
        </w:tc>
        <w:tc>
          <w:tcPr>
            <w:tcW w:w="0" w:type="dxa"/>
            <w:vAlign w:val="bottom"/>
          </w:tcPr>
          <w:p>
            <w:pPr>
              <w:spacing w:after="0"/>
              <w:rPr>
                <w:sz w:val="1"/>
                <w:szCs w:val="1"/>
                <w:color w:val="auto"/>
              </w:rPr>
            </w:pPr>
          </w:p>
        </w:tc>
      </w:tr>
      <w:tr>
        <w:trPr>
          <w:trHeight w:val="138"/>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1"/>
                <w:szCs w:val="11"/>
                <w:color w:val="auto"/>
                <w:w w:val="89"/>
              </w:rPr>
              <w:t>(Floor 1.50%)</w:t>
            </w: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gridSpan w:val="3"/>
            <w:shd w:val="clear" w:color="auto" w:fill="CCEEFF"/>
          </w:tcPr>
          <w:p>
            <w:pPr>
              <w:jc w:val="center"/>
              <w:ind w:right="280"/>
              <w:spacing w:after="0" w:line="114" w:lineRule="exact"/>
              <w:rPr>
                <w:sz w:val="20"/>
                <w:szCs w:val="20"/>
                <w:color w:val="auto"/>
              </w:rPr>
            </w:pPr>
            <w:r>
              <w:rPr>
                <w:rFonts w:ascii="Arial" w:cs="Arial" w:eastAsia="Arial" w:hAnsi="Arial"/>
                <w:sz w:val="11"/>
                <w:szCs w:val="11"/>
                <w:color w:val="auto"/>
                <w:w w:val="91"/>
              </w:rPr>
              <w:t>1.00%, L+12.50%</w:t>
            </w: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Second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5/23/2025</w:t>
            </w:r>
          </w:p>
        </w:tc>
        <w:tc>
          <w:tcPr>
            <w:tcW w:w="80" w:type="dxa"/>
            <w:vAlign w:val="bottom"/>
            <w:shd w:val="clear" w:color="auto" w:fill="CCEEFF"/>
          </w:tcPr>
          <w:p>
            <w:pPr>
              <w:spacing w:after="0"/>
              <w:rPr>
                <w:sz w:val="9"/>
                <w:szCs w:val="9"/>
                <w:color w:val="auto"/>
              </w:rPr>
            </w:pPr>
          </w:p>
        </w:tc>
        <w:tc>
          <w:tcPr>
            <w:tcW w:w="1280" w:type="dxa"/>
            <w:vAlign w:val="bottom"/>
            <w:gridSpan w:val="3"/>
            <w:shd w:val="clear" w:color="auto" w:fill="CCEEFF"/>
          </w:tcPr>
          <w:p>
            <w:pPr>
              <w:jc w:val="center"/>
              <w:ind w:right="280"/>
              <w:spacing w:after="0" w:line="108" w:lineRule="exact"/>
              <w:rPr>
                <w:sz w:val="20"/>
                <w:szCs w:val="20"/>
                <w:color w:val="auto"/>
              </w:rPr>
            </w:pPr>
            <w:r>
              <w:rPr>
                <w:rFonts w:ascii="Arial" w:cs="Arial" w:eastAsia="Arial" w:hAnsi="Arial"/>
                <w:sz w:val="11"/>
                <w:szCs w:val="11"/>
                <w:color w:val="auto"/>
                <w:w w:val="89"/>
              </w:rPr>
              <w:t>PIK</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1,141</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1,141</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1,115</w:t>
            </w:r>
          </w:p>
        </w:tc>
        <w:tc>
          <w:tcPr>
            <w:tcW w:w="0" w:type="dxa"/>
            <w:vAlign w:val="bottom"/>
          </w:tcPr>
          <w:p>
            <w:pPr>
              <w:spacing w:after="0"/>
              <w:rPr>
                <w:sz w:val="1"/>
                <w:szCs w:val="1"/>
                <w:color w:val="auto"/>
              </w:rPr>
            </w:pPr>
          </w:p>
        </w:tc>
      </w:tr>
      <w:tr>
        <w:trPr>
          <w:trHeight w:val="140"/>
        </w:trPr>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center"/>
              <w:ind w:right="280"/>
              <w:spacing w:after="0"/>
              <w:rPr>
                <w:sz w:val="20"/>
                <w:szCs w:val="20"/>
                <w:color w:val="auto"/>
              </w:rPr>
            </w:pPr>
            <w:r>
              <w:rPr>
                <w:rFonts w:ascii="Arial" w:cs="Arial" w:eastAsia="Arial" w:hAnsi="Arial"/>
                <w:sz w:val="11"/>
                <w:szCs w:val="11"/>
                <w:color w:val="auto"/>
                <w:w w:val="89"/>
              </w:rPr>
              <w:t>(Floor 1.50%)</w:t>
            </w: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2"/>
              </w:rPr>
              <w:t>67,841 shares common</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90"/>
              </w:rPr>
              <w:t>—</w:t>
            </w: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1"/>
                <w:szCs w:val="11"/>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1,845</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1,845</w:t>
            </w:r>
          </w:p>
        </w:tc>
        <w:tc>
          <w:tcPr>
            <w:tcW w:w="0" w:type="dxa"/>
            <w:vAlign w:val="bottom"/>
          </w:tcPr>
          <w:p>
            <w:pPr>
              <w:spacing w:after="0"/>
              <w:rPr>
                <w:sz w:val="1"/>
                <w:szCs w:val="1"/>
                <w:color w:val="auto"/>
              </w:rPr>
            </w:pPr>
          </w:p>
        </w:tc>
      </w:tr>
      <w:tr>
        <w:trPr>
          <w:trHeight w:val="138"/>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stock</w:t>
            </w:r>
          </w:p>
        </w:tc>
        <w:tc>
          <w:tcPr>
            <w:tcW w:w="9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Corel</w:t>
            </w:r>
          </w:p>
        </w:tc>
        <w:tc>
          <w:tcPr>
            <w:tcW w:w="19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Software &amp; IT services</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7/2/2026</w:t>
            </w: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center"/>
              <w:ind w:right="280"/>
              <w:spacing w:after="0"/>
              <w:rPr>
                <w:sz w:val="20"/>
                <w:szCs w:val="20"/>
                <w:color w:val="auto"/>
              </w:rPr>
            </w:pPr>
            <w:r>
              <w:rPr>
                <w:rFonts w:ascii="Arial" w:cs="Arial" w:eastAsia="Arial" w:hAnsi="Arial"/>
                <w:sz w:val="11"/>
                <w:szCs w:val="11"/>
                <w:color w:val="auto"/>
                <w:w w:val="91"/>
              </w:rPr>
              <w:t>L+5.00%</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7,008</w:t>
            </w:r>
          </w:p>
        </w:tc>
        <w:tc>
          <w:tcPr>
            <w:tcW w:w="0" w:type="dxa"/>
            <w:vAlign w:val="bottom"/>
          </w:tcPr>
          <w:p>
            <w:pPr>
              <w:spacing w:after="0"/>
              <w:rPr>
                <w:sz w:val="1"/>
                <w:szCs w:val="1"/>
                <w:color w:val="auto"/>
              </w:rPr>
            </w:pPr>
          </w:p>
        </w:tc>
      </w:tr>
      <w:tr>
        <w:trPr>
          <w:trHeight w:val="142"/>
        </w:trPr>
        <w:tc>
          <w:tcPr>
            <w:tcW w:w="2780" w:type="dxa"/>
            <w:vAlign w:val="bottom"/>
            <w:gridSpan w:val="2"/>
          </w:tcPr>
          <w:p>
            <w:pPr>
              <w:spacing w:after="0"/>
              <w:rPr>
                <w:sz w:val="20"/>
                <w:szCs w:val="20"/>
                <w:color w:val="auto"/>
              </w:rPr>
            </w:pPr>
            <w:r>
              <w:rPr>
                <w:rFonts w:ascii="Arial" w:cs="Arial" w:eastAsia="Arial" w:hAnsi="Arial"/>
                <w:sz w:val="11"/>
                <w:szCs w:val="11"/>
                <w:color w:val="auto"/>
              </w:rPr>
              <w:t>Geo Parent Corporation</w:t>
            </w:r>
          </w:p>
        </w:tc>
        <w:tc>
          <w:tcPr>
            <w:tcW w:w="1920" w:type="dxa"/>
            <w:vAlign w:val="bottom"/>
            <w:gridSpan w:val="2"/>
          </w:tcPr>
          <w:p>
            <w:pPr>
              <w:spacing w:after="0"/>
              <w:rPr>
                <w:sz w:val="20"/>
                <w:szCs w:val="20"/>
                <w:color w:val="auto"/>
              </w:rPr>
            </w:pPr>
            <w:r>
              <w:rPr>
                <w:rFonts w:ascii="Arial" w:cs="Arial" w:eastAsia="Arial" w:hAnsi="Arial"/>
                <w:sz w:val="11"/>
                <w:szCs w:val="11"/>
                <w:color w:val="auto"/>
              </w:rPr>
              <w:t>Building &amp; infrastructure products</w:t>
            </w: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12/19/2025</w:t>
            </w:r>
          </w:p>
        </w:tc>
        <w:tc>
          <w:tcPr>
            <w:tcW w:w="80" w:type="dxa"/>
            <w:vAlign w:val="bottom"/>
          </w:tcPr>
          <w:p>
            <w:pPr>
              <w:spacing w:after="0"/>
              <w:rPr>
                <w:sz w:val="12"/>
                <w:szCs w:val="12"/>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1"/>
                <w:szCs w:val="11"/>
                <w:color w:val="auto"/>
                <w:w w:val="91"/>
              </w:rPr>
              <w:t>L+5.25%</w:t>
            </w:r>
          </w:p>
        </w:tc>
        <w:tc>
          <w:tcPr>
            <w:tcW w:w="800" w:type="dxa"/>
            <w:vAlign w:val="bottom"/>
          </w:tcPr>
          <w:p>
            <w:pPr>
              <w:jc w:val="right"/>
              <w:spacing w:after="0"/>
              <w:rPr>
                <w:sz w:val="20"/>
                <w:szCs w:val="20"/>
                <w:color w:val="auto"/>
              </w:rPr>
            </w:pPr>
            <w:r>
              <w:rPr>
                <w:rFonts w:ascii="Arial" w:cs="Arial" w:eastAsia="Arial" w:hAnsi="Arial"/>
                <w:sz w:val="11"/>
                <w:szCs w:val="11"/>
                <w:color w:val="auto"/>
              </w:rPr>
              <w:t>4,900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4,867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4,888</w:t>
            </w: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Go Wireless Holdings, Inc.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Consumer products &amp; retail</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12/22/2024</w:t>
            </w:r>
          </w:p>
        </w:tc>
        <w:tc>
          <w:tcPr>
            <w:tcW w:w="80" w:type="dxa"/>
            <w:vAlign w:val="bottom"/>
            <w:shd w:val="clear" w:color="auto" w:fill="CCEEFF"/>
          </w:tcPr>
          <w:p>
            <w:pPr>
              <w:spacing w:after="0"/>
              <w:rPr>
                <w:sz w:val="9"/>
                <w:szCs w:val="9"/>
                <w:color w:val="auto"/>
              </w:rPr>
            </w:pPr>
          </w:p>
        </w:tc>
        <w:tc>
          <w:tcPr>
            <w:tcW w:w="1280" w:type="dxa"/>
            <w:vAlign w:val="bottom"/>
            <w:gridSpan w:val="3"/>
            <w:shd w:val="clear" w:color="auto" w:fill="CCEEFF"/>
          </w:tcPr>
          <w:p>
            <w:pPr>
              <w:jc w:val="center"/>
              <w:ind w:right="300"/>
              <w:spacing w:after="0" w:line="114" w:lineRule="exact"/>
              <w:rPr>
                <w:sz w:val="20"/>
                <w:szCs w:val="20"/>
                <w:color w:val="auto"/>
              </w:rPr>
            </w:pPr>
            <w:r>
              <w:rPr>
                <w:rFonts w:ascii="Arial" w:cs="Arial" w:eastAsia="Arial" w:hAnsi="Arial"/>
                <w:sz w:val="11"/>
                <w:szCs w:val="11"/>
                <w:color w:val="auto"/>
                <w:w w:val="95"/>
              </w:rPr>
              <w:t>L+6.50%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6,848</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6,816</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6,839</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center"/>
              <w:ind w:right="280"/>
              <w:spacing w:after="0"/>
              <w:rPr>
                <w:sz w:val="20"/>
                <w:szCs w:val="20"/>
                <w:color w:val="auto"/>
              </w:rPr>
            </w:pPr>
            <w:r>
              <w:rPr>
                <w:rFonts w:ascii="Arial" w:cs="Arial" w:eastAsia="Arial" w:hAnsi="Arial"/>
                <w:sz w:val="11"/>
                <w:szCs w:val="11"/>
                <w:color w:val="auto"/>
                <w:w w:val="89"/>
              </w:rPr>
              <w:t>(Floor 1.00%)</w:t>
            </w: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Hunter Defense Technologies, Inc.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Aerospace &amp; defense</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9"/>
              </w:rPr>
              <w:t>3/29/2023</w:t>
            </w:r>
          </w:p>
        </w:tc>
        <w:tc>
          <w:tcPr>
            <w:tcW w:w="80" w:type="dxa"/>
            <w:vAlign w:val="bottom"/>
          </w:tcPr>
          <w:p>
            <w:pPr>
              <w:spacing w:after="0"/>
              <w:rPr>
                <w:sz w:val="9"/>
                <w:szCs w:val="9"/>
                <w:color w:val="auto"/>
              </w:rPr>
            </w:pPr>
          </w:p>
        </w:tc>
        <w:tc>
          <w:tcPr>
            <w:tcW w:w="1280" w:type="dxa"/>
            <w:vAlign w:val="bottom"/>
            <w:gridSpan w:val="3"/>
          </w:tcPr>
          <w:p>
            <w:pPr>
              <w:jc w:val="center"/>
              <w:ind w:right="300"/>
              <w:spacing w:after="0" w:line="112" w:lineRule="exact"/>
              <w:rPr>
                <w:sz w:val="20"/>
                <w:szCs w:val="20"/>
                <w:color w:val="auto"/>
              </w:rPr>
            </w:pPr>
            <w:r>
              <w:rPr>
                <w:rFonts w:ascii="Arial" w:cs="Arial" w:eastAsia="Arial" w:hAnsi="Arial"/>
                <w:sz w:val="11"/>
                <w:szCs w:val="11"/>
                <w:color w:val="auto"/>
                <w:w w:val="95"/>
              </w:rPr>
              <w:t>L+6.00%</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6,122</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6,049</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6,091</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1"/>
                <w:szCs w:val="11"/>
                <w:color w:val="auto"/>
                <w:w w:val="89"/>
              </w:rPr>
              <w:t>(Floor 1.00%)</w:t>
            </w: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InfoGroup Inc.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Software &amp; IT services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8"/>
              </w:rPr>
              <w:t>4/3/2023</w:t>
            </w:r>
          </w:p>
        </w:tc>
        <w:tc>
          <w:tcPr>
            <w:tcW w:w="80" w:type="dxa"/>
            <w:vAlign w:val="bottom"/>
            <w:shd w:val="clear" w:color="auto" w:fill="CCEEFF"/>
          </w:tcPr>
          <w:p>
            <w:pPr>
              <w:spacing w:after="0"/>
              <w:rPr>
                <w:sz w:val="9"/>
                <w:szCs w:val="9"/>
                <w:color w:val="auto"/>
              </w:rPr>
            </w:pPr>
          </w:p>
        </w:tc>
        <w:tc>
          <w:tcPr>
            <w:tcW w:w="1280" w:type="dxa"/>
            <w:vAlign w:val="bottom"/>
            <w:gridSpan w:val="3"/>
            <w:shd w:val="clear" w:color="auto" w:fill="CCEEFF"/>
          </w:tcPr>
          <w:p>
            <w:pPr>
              <w:jc w:val="center"/>
              <w:ind w:right="300"/>
              <w:spacing w:after="0" w:line="114" w:lineRule="exact"/>
              <w:rPr>
                <w:sz w:val="20"/>
                <w:szCs w:val="20"/>
                <w:color w:val="auto"/>
              </w:rPr>
            </w:pPr>
            <w:r>
              <w:rPr>
                <w:rFonts w:ascii="Arial" w:cs="Arial" w:eastAsia="Arial" w:hAnsi="Arial"/>
                <w:sz w:val="11"/>
                <w:szCs w:val="11"/>
                <w:color w:val="auto"/>
                <w:w w:val="95"/>
              </w:rPr>
              <w:t>L+5.00%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2,880</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2,870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2,741</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center"/>
              <w:ind w:right="280"/>
              <w:spacing w:after="0"/>
              <w:rPr>
                <w:sz w:val="20"/>
                <w:szCs w:val="20"/>
                <w:color w:val="auto"/>
              </w:rPr>
            </w:pPr>
            <w:r>
              <w:rPr>
                <w:rFonts w:ascii="Arial" w:cs="Arial" w:eastAsia="Arial" w:hAnsi="Arial"/>
                <w:sz w:val="11"/>
                <w:szCs w:val="11"/>
                <w:color w:val="auto"/>
                <w:w w:val="89"/>
              </w:rPr>
              <w:t>(Floor 1.00%)</w:t>
            </w: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Integro Parent Inc.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Business services</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0"/>
              </w:rPr>
              <w:t>10/28/2022</w:t>
            </w:r>
          </w:p>
        </w:tc>
        <w:tc>
          <w:tcPr>
            <w:tcW w:w="80" w:type="dxa"/>
            <w:vAlign w:val="bottom"/>
          </w:tcPr>
          <w:p>
            <w:pPr>
              <w:spacing w:after="0"/>
              <w:rPr>
                <w:sz w:val="9"/>
                <w:szCs w:val="9"/>
                <w:color w:val="auto"/>
              </w:rPr>
            </w:pPr>
          </w:p>
        </w:tc>
        <w:tc>
          <w:tcPr>
            <w:tcW w:w="1280" w:type="dxa"/>
            <w:vAlign w:val="bottom"/>
            <w:gridSpan w:val="3"/>
          </w:tcPr>
          <w:p>
            <w:pPr>
              <w:jc w:val="center"/>
              <w:ind w:right="300"/>
              <w:spacing w:after="0" w:line="112" w:lineRule="exact"/>
              <w:rPr>
                <w:sz w:val="20"/>
                <w:szCs w:val="20"/>
                <w:color w:val="auto"/>
              </w:rPr>
            </w:pPr>
            <w:r>
              <w:rPr>
                <w:rFonts w:ascii="Arial" w:cs="Arial" w:eastAsia="Arial" w:hAnsi="Arial"/>
                <w:sz w:val="11"/>
                <w:szCs w:val="11"/>
                <w:color w:val="auto"/>
                <w:w w:val="95"/>
              </w:rPr>
              <w:t>L+5.75%</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3,253</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3,226</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3,201</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1"/>
                <w:szCs w:val="11"/>
                <w:color w:val="auto"/>
                <w:w w:val="89"/>
              </w:rPr>
              <w:t>(Floor 1.00%)</w:t>
            </w: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Intermedia Holdings, Inc.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Software &amp; IT services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7/21/2025</w:t>
            </w:r>
          </w:p>
        </w:tc>
        <w:tc>
          <w:tcPr>
            <w:tcW w:w="80" w:type="dxa"/>
            <w:vAlign w:val="bottom"/>
            <w:shd w:val="clear" w:color="auto" w:fill="CCEEFF"/>
          </w:tcPr>
          <w:p>
            <w:pPr>
              <w:spacing w:after="0"/>
              <w:rPr>
                <w:sz w:val="9"/>
                <w:szCs w:val="9"/>
                <w:color w:val="auto"/>
              </w:rPr>
            </w:pPr>
          </w:p>
        </w:tc>
        <w:tc>
          <w:tcPr>
            <w:tcW w:w="1280" w:type="dxa"/>
            <w:vAlign w:val="bottom"/>
            <w:gridSpan w:val="3"/>
            <w:shd w:val="clear" w:color="auto" w:fill="CCEEFF"/>
          </w:tcPr>
          <w:p>
            <w:pPr>
              <w:jc w:val="center"/>
              <w:ind w:right="300"/>
              <w:spacing w:after="0" w:line="114" w:lineRule="exact"/>
              <w:rPr>
                <w:sz w:val="20"/>
                <w:szCs w:val="20"/>
                <w:color w:val="auto"/>
              </w:rPr>
            </w:pPr>
            <w:r>
              <w:rPr>
                <w:rFonts w:ascii="Arial" w:cs="Arial" w:eastAsia="Arial" w:hAnsi="Arial"/>
                <w:sz w:val="11"/>
                <w:szCs w:val="11"/>
                <w:color w:val="auto"/>
                <w:w w:val="95"/>
              </w:rPr>
              <w:t>L+6.00%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5,735</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5,712</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5,748</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center"/>
              <w:ind w:right="280"/>
              <w:spacing w:after="0"/>
              <w:rPr>
                <w:sz w:val="20"/>
                <w:szCs w:val="20"/>
                <w:color w:val="auto"/>
              </w:rPr>
            </w:pPr>
            <w:r>
              <w:rPr>
                <w:rFonts w:ascii="Arial" w:cs="Arial" w:eastAsia="Arial" w:hAnsi="Arial"/>
                <w:sz w:val="11"/>
                <w:szCs w:val="11"/>
                <w:color w:val="auto"/>
                <w:w w:val="89"/>
              </w:rPr>
              <w:t>(Floor 1.00%)</w:t>
            </w: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Inventus Power, Inc.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Technology Products &amp; Components</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9"/>
              </w:rPr>
              <w:t>3/29/2024</w:t>
            </w:r>
          </w:p>
        </w:tc>
        <w:tc>
          <w:tcPr>
            <w:tcW w:w="80" w:type="dxa"/>
            <w:vAlign w:val="bottom"/>
          </w:tcPr>
          <w:p>
            <w:pPr>
              <w:spacing w:after="0"/>
              <w:rPr>
                <w:sz w:val="9"/>
                <w:szCs w:val="9"/>
                <w:color w:val="auto"/>
              </w:rPr>
            </w:pPr>
          </w:p>
        </w:tc>
        <w:tc>
          <w:tcPr>
            <w:tcW w:w="1280" w:type="dxa"/>
            <w:vAlign w:val="bottom"/>
            <w:gridSpan w:val="3"/>
          </w:tcPr>
          <w:p>
            <w:pPr>
              <w:jc w:val="center"/>
              <w:ind w:right="300"/>
              <w:spacing w:after="0" w:line="112" w:lineRule="exact"/>
              <w:rPr>
                <w:sz w:val="20"/>
                <w:szCs w:val="20"/>
                <w:color w:val="auto"/>
              </w:rPr>
            </w:pPr>
            <w:r>
              <w:rPr>
                <w:rFonts w:ascii="Arial" w:cs="Arial" w:eastAsia="Arial" w:hAnsi="Arial"/>
                <w:sz w:val="11"/>
                <w:szCs w:val="11"/>
                <w:color w:val="auto"/>
                <w:w w:val="95"/>
              </w:rPr>
              <w:t>L+5.00%</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7,000</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6,930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6,930</w:t>
            </w:r>
          </w:p>
        </w:tc>
        <w:tc>
          <w:tcPr>
            <w:tcW w:w="0" w:type="dxa"/>
            <w:vAlign w:val="bottom"/>
          </w:tcPr>
          <w:p>
            <w:pPr>
              <w:spacing w:after="0"/>
              <w:rPr>
                <w:sz w:val="1"/>
                <w:szCs w:val="1"/>
                <w:color w:val="auto"/>
              </w:rPr>
            </w:pPr>
          </w:p>
        </w:tc>
      </w:tr>
      <w:tr>
        <w:trPr>
          <w:trHeight w:val="136"/>
        </w:trPr>
        <w:tc>
          <w:tcPr>
            <w:tcW w:w="27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1"/>
                <w:szCs w:val="11"/>
                <w:color w:val="auto"/>
                <w:w w:val="89"/>
              </w:rPr>
              <w:t>(Floor 1.00%)</w:t>
            </w: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980"/>
          </w:cols>
          <w:pgMar w:left="300" w:top="140" w:right="619" w:bottom="1440" w:gutter="0" w:footer="0" w:header="0"/>
        </w:sectPr>
      </w:pPr>
    </w:p>
    <w:bookmarkStart w:id="65" w:name="page66"/>
    <w:bookmarkEnd w:id="65"/>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Current</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ind w:left="300"/>
              <w:spacing w:after="0"/>
              <w:rPr>
                <w:sz w:val="20"/>
                <w:szCs w:val="20"/>
                <w:color w:val="auto"/>
              </w:rPr>
            </w:pPr>
            <w:r>
              <w:rPr>
                <w:rFonts w:ascii="Arial" w:cs="Arial" w:eastAsia="Arial" w:hAnsi="Arial"/>
                <w:sz w:val="10"/>
                <w:szCs w:val="10"/>
                <w:b w:val="1"/>
                <w:bCs w:val="1"/>
                <w:color w:val="auto"/>
              </w:rPr>
              <w:t>Investment</w:t>
            </w:r>
          </w:p>
        </w:tc>
        <w:tc>
          <w:tcPr>
            <w:tcW w:w="9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Maturity</w:t>
            </w: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Interest</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p>
        </w:tc>
        <w:tc>
          <w:tcPr>
            <w:tcW w:w="8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0"/>
                <w:szCs w:val="10"/>
                <w:b w:val="1"/>
                <w:bCs w:val="1"/>
                <w:color w:val="auto"/>
              </w:rPr>
              <w:t>Industry</w:t>
            </w:r>
          </w:p>
        </w:tc>
        <w:tc>
          <w:tcPr>
            <w:tcW w:w="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Type</w:t>
            </w: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Date</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Rate</w:t>
            </w:r>
            <w:r>
              <w:rPr>
                <w:rFonts w:ascii="Arial" w:cs="Arial" w:eastAsia="Arial" w:hAnsi="Arial"/>
                <w:sz w:val="12"/>
                <w:szCs w:val="12"/>
                <w:b w:val="1"/>
                <w:bCs w:val="1"/>
                <w:color w:val="auto"/>
                <w:w w:val="84"/>
                <w:vertAlign w:val="superscript"/>
              </w:rPr>
              <w:t>1</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Principal</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26"/>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2</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3</w:t>
            </w:r>
          </w:p>
        </w:tc>
        <w:tc>
          <w:tcPr>
            <w:tcW w:w="0" w:type="dxa"/>
            <w:vAlign w:val="bottom"/>
          </w:tcPr>
          <w:p>
            <w:pPr>
              <w:spacing w:after="0"/>
              <w:rPr>
                <w:sz w:val="1"/>
                <w:szCs w:val="1"/>
                <w:color w:val="auto"/>
              </w:rPr>
            </w:pPr>
          </w:p>
        </w:tc>
      </w:tr>
      <w:tr>
        <w:trPr>
          <w:trHeight w:val="101"/>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Isagenix International, LLC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Consumer products &amp; retail</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6/14/2025</w:t>
            </w:r>
          </w:p>
        </w:tc>
        <w:tc>
          <w:tcPr>
            <w:tcW w:w="8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center"/>
              <w:ind w:right="100"/>
              <w:spacing w:after="0" w:line="101" w:lineRule="exact"/>
              <w:rPr>
                <w:sz w:val="20"/>
                <w:szCs w:val="20"/>
                <w:color w:val="auto"/>
              </w:rPr>
            </w:pPr>
            <w:r>
              <w:rPr>
                <w:rFonts w:ascii="Arial" w:cs="Arial" w:eastAsia="Arial" w:hAnsi="Arial"/>
                <w:sz w:val="11"/>
                <w:szCs w:val="11"/>
                <w:color w:val="auto"/>
                <w:w w:val="95"/>
              </w:rPr>
              <w:t>L+5.75%</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1,823</w:t>
            </w:r>
          </w:p>
        </w:tc>
        <w:tc>
          <w:tcPr>
            <w:tcW w:w="8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1,812</w:t>
            </w:r>
          </w:p>
        </w:tc>
        <w:tc>
          <w:tcPr>
            <w:tcW w:w="8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1,376</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gridSpan w:val="2"/>
          </w:tcPr>
          <w:p>
            <w:pPr>
              <w:spacing w:after="0"/>
              <w:rPr>
                <w:sz w:val="20"/>
                <w:szCs w:val="20"/>
                <w:color w:val="auto"/>
              </w:rPr>
            </w:pPr>
            <w:r>
              <w:rPr>
                <w:rFonts w:ascii="Arial" w:cs="Arial" w:eastAsia="Arial" w:hAnsi="Arial"/>
                <w:sz w:val="11"/>
                <w:szCs w:val="11"/>
                <w:color w:val="auto"/>
              </w:rPr>
              <w:t>KORE Wireless Group Inc.</w:t>
            </w:r>
          </w:p>
        </w:tc>
        <w:tc>
          <w:tcPr>
            <w:tcW w:w="1920" w:type="dxa"/>
            <w:vAlign w:val="bottom"/>
            <w:gridSpan w:val="2"/>
          </w:tcPr>
          <w:p>
            <w:pPr>
              <w:spacing w:after="0"/>
              <w:rPr>
                <w:sz w:val="20"/>
                <w:szCs w:val="20"/>
                <w:color w:val="auto"/>
              </w:rPr>
            </w:pPr>
            <w:r>
              <w:rPr>
                <w:rFonts w:ascii="Arial" w:cs="Arial" w:eastAsia="Arial" w:hAnsi="Arial"/>
                <w:sz w:val="11"/>
                <w:szCs w:val="11"/>
                <w:color w:val="auto"/>
              </w:rPr>
              <w:t>Telecommunications</w:t>
            </w: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tcPr>
          <w:p>
            <w:pPr>
              <w:jc w:val="center"/>
              <w:spacing w:after="0"/>
              <w:rPr>
                <w:sz w:val="20"/>
                <w:szCs w:val="20"/>
                <w:color w:val="auto"/>
              </w:rPr>
            </w:pPr>
            <w:r>
              <w:rPr>
                <w:rFonts w:ascii="Arial" w:cs="Arial" w:eastAsia="Arial" w:hAnsi="Arial"/>
                <w:sz w:val="11"/>
                <w:szCs w:val="11"/>
                <w:color w:val="auto"/>
                <w:w w:val="90"/>
              </w:rPr>
              <w:t>12/20/2024</w:t>
            </w: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91"/>
              </w:rPr>
              <w:t>L+5.50%</w:t>
            </w:r>
          </w:p>
        </w:tc>
        <w:tc>
          <w:tcPr>
            <w:tcW w:w="1000" w:type="dxa"/>
            <w:vAlign w:val="bottom"/>
          </w:tcPr>
          <w:p>
            <w:pPr>
              <w:jc w:val="right"/>
              <w:spacing w:after="0"/>
              <w:rPr>
                <w:sz w:val="20"/>
                <w:szCs w:val="20"/>
                <w:color w:val="auto"/>
              </w:rPr>
            </w:pPr>
            <w:r>
              <w:rPr>
                <w:rFonts w:ascii="Arial" w:cs="Arial" w:eastAsia="Arial" w:hAnsi="Arial"/>
                <w:sz w:val="11"/>
                <w:szCs w:val="11"/>
                <w:color w:val="auto"/>
              </w:rPr>
              <w:t>4,706</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4,680</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4,700</w:t>
            </w: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Lab Logistics, LLC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Healthcare services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9/25/2023</w:t>
            </w:r>
          </w:p>
        </w:tc>
        <w:tc>
          <w:tcPr>
            <w:tcW w:w="8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5"/>
              </w:rPr>
              <w:t>L+7.25%</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6,305</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6,255</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6,305</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Lift Brands, Inc.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Consumer services</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Tranche A</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9"/>
              </w:rPr>
              <w:t>6/29/2025</w:t>
            </w:r>
          </w:p>
        </w:tc>
        <w:tc>
          <w:tcPr>
            <w:tcW w:w="80" w:type="dxa"/>
            <w:vAlign w:val="bottom"/>
          </w:tcPr>
          <w:p>
            <w:pPr>
              <w:spacing w:after="0"/>
              <w:rPr>
                <w:sz w:val="9"/>
                <w:szCs w:val="9"/>
                <w:color w:val="auto"/>
              </w:rPr>
            </w:pP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0"/>
              </w:rPr>
              <w:t>L+7.5%</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2,521</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2,521</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2,370</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Tranche B</w:t>
            </w: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6/29/2025</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2"/>
              </w:rPr>
              <w:t>9.50% PIK</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Tranche C</w:t>
            </w:r>
          </w:p>
        </w:tc>
        <w:tc>
          <w:tcPr>
            <w:tcW w:w="860" w:type="dxa"/>
            <w:vAlign w:val="bottom"/>
          </w:tcPr>
          <w:p>
            <w:pPr>
              <w:jc w:val="center"/>
              <w:spacing w:after="0"/>
              <w:rPr>
                <w:sz w:val="20"/>
                <w:szCs w:val="20"/>
                <w:color w:val="auto"/>
              </w:rPr>
            </w:pPr>
            <w:r>
              <w:rPr>
                <w:rFonts w:ascii="Arial" w:cs="Arial" w:eastAsia="Arial" w:hAnsi="Arial"/>
                <w:sz w:val="11"/>
                <w:szCs w:val="11"/>
                <w:color w:val="auto"/>
                <w:w w:val="89"/>
              </w:rPr>
              <w:t>6/29/2025</w:t>
            </w: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565</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565</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452</w:t>
            </w:r>
          </w:p>
        </w:tc>
        <w:tc>
          <w:tcPr>
            <w:tcW w:w="0" w:type="dxa"/>
            <w:vAlign w:val="bottom"/>
          </w:tcPr>
          <w:p>
            <w:pPr>
              <w:spacing w:after="0"/>
              <w:rPr>
                <w:sz w:val="1"/>
                <w:szCs w:val="1"/>
                <w:color w:val="auto"/>
              </w:rPr>
            </w:pPr>
          </w:p>
        </w:tc>
      </w:tr>
      <w:tr>
        <w:trPr>
          <w:trHeight w:val="114"/>
        </w:trPr>
        <w:tc>
          <w:tcPr>
            <w:tcW w:w="2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1"/>
                <w:szCs w:val="11"/>
                <w:color w:val="auto"/>
                <w:w w:val="97"/>
              </w:rPr>
              <w:t>1,051 shares common</w:t>
            </w: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color w:val="auto"/>
                <w:w w:val="90"/>
              </w:rPr>
              <w:t>—</w:t>
            </w:r>
          </w:p>
        </w:tc>
        <w:tc>
          <w:tcPr>
            <w:tcW w:w="10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749</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749</w:t>
            </w:r>
          </w:p>
        </w:tc>
        <w:tc>
          <w:tcPr>
            <w:tcW w:w="0" w:type="dxa"/>
            <w:vAlign w:val="bottom"/>
          </w:tcPr>
          <w:p>
            <w:pPr>
              <w:spacing w:after="0"/>
              <w:rPr>
                <w:sz w:val="1"/>
                <w:szCs w:val="1"/>
                <w:color w:val="auto"/>
              </w:rPr>
            </w:pPr>
          </w:p>
        </w:tc>
      </w:tr>
      <w:tr>
        <w:trPr>
          <w:trHeight w:val="140"/>
        </w:trPr>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stock</w:t>
            </w:r>
          </w:p>
        </w:tc>
        <w:tc>
          <w:tcPr>
            <w:tcW w:w="940" w:type="dxa"/>
            <w:vAlign w:val="bottom"/>
            <w:gridSpan w:val="2"/>
            <w:vMerge w:val="continue"/>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gridSpan w:val="2"/>
          </w:tcPr>
          <w:p>
            <w:pPr>
              <w:spacing w:after="0"/>
              <w:rPr>
                <w:sz w:val="20"/>
                <w:szCs w:val="20"/>
                <w:color w:val="auto"/>
              </w:rPr>
            </w:pPr>
            <w:r>
              <w:rPr>
                <w:rFonts w:ascii="Arial" w:cs="Arial" w:eastAsia="Arial" w:hAnsi="Arial"/>
                <w:sz w:val="11"/>
                <w:szCs w:val="11"/>
                <w:color w:val="auto"/>
              </w:rPr>
              <w:t>Lightbox Intermediate, L.P.</w:t>
            </w:r>
          </w:p>
        </w:tc>
        <w:tc>
          <w:tcPr>
            <w:tcW w:w="1920" w:type="dxa"/>
            <w:vAlign w:val="bottom"/>
            <w:gridSpan w:val="2"/>
          </w:tcPr>
          <w:p>
            <w:pPr>
              <w:spacing w:after="0"/>
              <w:rPr>
                <w:sz w:val="20"/>
                <w:szCs w:val="20"/>
                <w:color w:val="auto"/>
              </w:rPr>
            </w:pPr>
            <w:r>
              <w:rPr>
                <w:rFonts w:ascii="Arial" w:cs="Arial" w:eastAsia="Arial" w:hAnsi="Arial"/>
                <w:sz w:val="11"/>
                <w:szCs w:val="11"/>
                <w:color w:val="auto"/>
              </w:rPr>
              <w:t>Software &amp; IT services</w:t>
            </w: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tcPr>
          <w:p>
            <w:pPr>
              <w:jc w:val="center"/>
              <w:spacing w:after="0"/>
              <w:rPr>
                <w:sz w:val="20"/>
                <w:szCs w:val="20"/>
                <w:color w:val="auto"/>
              </w:rPr>
            </w:pPr>
            <w:r>
              <w:rPr>
                <w:rFonts w:ascii="Arial" w:cs="Arial" w:eastAsia="Arial" w:hAnsi="Arial"/>
                <w:sz w:val="11"/>
                <w:szCs w:val="11"/>
                <w:color w:val="auto"/>
                <w:w w:val="88"/>
              </w:rPr>
              <w:t>5/9/2026</w:t>
            </w: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91"/>
              </w:rPr>
              <w:t>L+5.00%</w:t>
            </w:r>
          </w:p>
        </w:tc>
        <w:tc>
          <w:tcPr>
            <w:tcW w:w="1000" w:type="dxa"/>
            <w:vAlign w:val="bottom"/>
          </w:tcPr>
          <w:p>
            <w:pPr>
              <w:jc w:val="right"/>
              <w:spacing w:after="0"/>
              <w:rPr>
                <w:sz w:val="20"/>
                <w:szCs w:val="20"/>
                <w:color w:val="auto"/>
              </w:rPr>
            </w:pPr>
            <w:r>
              <w:rPr>
                <w:rFonts w:ascii="Arial" w:cs="Arial" w:eastAsia="Arial" w:hAnsi="Arial"/>
                <w:sz w:val="11"/>
                <w:szCs w:val="11"/>
                <w:color w:val="auto"/>
              </w:rPr>
              <w:t>3,453</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3,418</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3,419</w:t>
            </w: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LOGIX Holdings Company, LLC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Telecommunications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12/23/2024</w:t>
            </w:r>
          </w:p>
        </w:tc>
        <w:tc>
          <w:tcPr>
            <w:tcW w:w="8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5"/>
              </w:rPr>
              <w:t>L+5.75%</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5,890</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5,863</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5,683</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Lulu's Fashion Lounge, LLC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Consumer products &amp; retail</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9"/>
              </w:rPr>
              <w:t>8/26/2022</w:t>
            </w:r>
          </w:p>
        </w:tc>
        <w:tc>
          <w:tcPr>
            <w:tcW w:w="80" w:type="dxa"/>
            <w:vAlign w:val="bottom"/>
          </w:tcPr>
          <w:p>
            <w:pPr>
              <w:spacing w:after="0"/>
              <w:rPr>
                <w:sz w:val="9"/>
                <w:szCs w:val="9"/>
                <w:color w:val="auto"/>
              </w:rPr>
            </w:pP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2"/>
              </w:rPr>
              <w:t>L+7.00%, 2.50% PIK</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3,686</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3,633</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3,152</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Mills Fleet Farm Group LLC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Consumer products &amp; retail</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10/24/2024</w:t>
            </w:r>
          </w:p>
        </w:tc>
        <w:tc>
          <w:tcPr>
            <w:tcW w:w="8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5"/>
              </w:rPr>
              <w:t>L+6.00%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4,625</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4,570</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4,533</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NBG Acquisition, Inc.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Wholesale</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9"/>
              </w:rPr>
              <w:t>4/26/2024</w:t>
            </w:r>
          </w:p>
        </w:tc>
        <w:tc>
          <w:tcPr>
            <w:tcW w:w="80" w:type="dxa"/>
            <w:vAlign w:val="bottom"/>
          </w:tcPr>
          <w:p>
            <w:pPr>
              <w:spacing w:after="0"/>
              <w:rPr>
                <w:sz w:val="9"/>
                <w:szCs w:val="9"/>
                <w:color w:val="auto"/>
              </w:rPr>
            </w:pP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5"/>
              </w:rPr>
              <w:t>L+5.50%</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2,738</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2,714</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2,468</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Novetta Solutions, LLC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Software &amp; IT services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10/17/2022</w:t>
            </w:r>
          </w:p>
        </w:tc>
        <w:tc>
          <w:tcPr>
            <w:tcW w:w="8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5"/>
              </w:rPr>
              <w:t>L+5.00%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4,845</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4,795</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4,836</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PaySimple, Inc.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Software &amp; IT services</w:t>
            </w:r>
          </w:p>
        </w:tc>
        <w:tc>
          <w:tcPr>
            <w:tcW w:w="11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Delayed Draw Term</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9"/>
              </w:rPr>
              <w:t>8/23/2025</w:t>
            </w:r>
          </w:p>
        </w:tc>
        <w:tc>
          <w:tcPr>
            <w:tcW w:w="80" w:type="dxa"/>
            <w:vAlign w:val="bottom"/>
          </w:tcPr>
          <w:p>
            <w:pPr>
              <w:spacing w:after="0"/>
              <w:rPr>
                <w:sz w:val="9"/>
                <w:szCs w:val="9"/>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91"/>
              </w:rPr>
              <w:t>L+5.50%</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1,369</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1,346</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1,365</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Loan</w:t>
            </w: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8/23/2025</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1"/>
              </w:rPr>
              <w:t>L+5.50%</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4,220</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4,174</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4,209</w:t>
            </w: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Pet Supermarket, Inc.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Consumer products &amp; retail</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8"/>
              </w:rPr>
              <w:t>7/5/2022</w:t>
            </w:r>
          </w:p>
        </w:tc>
        <w:tc>
          <w:tcPr>
            <w:tcW w:w="80" w:type="dxa"/>
            <w:vAlign w:val="bottom"/>
          </w:tcPr>
          <w:p>
            <w:pPr>
              <w:spacing w:after="0"/>
              <w:rPr>
                <w:sz w:val="9"/>
                <w:szCs w:val="9"/>
                <w:color w:val="auto"/>
              </w:rPr>
            </w:pP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5"/>
              </w:rPr>
              <w:t>L+5.50%</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4,760</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4,750</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4,641</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PT Network, LLC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Healthcare products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11/30/2023</w:t>
            </w:r>
          </w:p>
        </w:tc>
        <w:tc>
          <w:tcPr>
            <w:tcW w:w="8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2"/>
              </w:rPr>
              <w:t>L+5.50%, 2.00% PIK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4,465</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4,465</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4,465</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Research Now Group, Inc.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Business Services</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90"/>
              </w:rPr>
              <w:t>12/20/2025</w:t>
            </w:r>
          </w:p>
        </w:tc>
        <w:tc>
          <w:tcPr>
            <w:tcW w:w="80" w:type="dxa"/>
            <w:vAlign w:val="bottom"/>
          </w:tcPr>
          <w:p>
            <w:pPr>
              <w:spacing w:after="0"/>
              <w:rPr>
                <w:sz w:val="9"/>
                <w:szCs w:val="9"/>
                <w:color w:val="auto"/>
              </w:rPr>
            </w:pP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5"/>
              </w:rPr>
              <w:t>L+5.50%</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4,987</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4,987</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4,950</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Signify Health, LLC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Healthcare services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12/23/2024</w:t>
            </w:r>
          </w:p>
        </w:tc>
        <w:tc>
          <w:tcPr>
            <w:tcW w:w="8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5"/>
              </w:rPr>
              <w:t>L+4.50%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5,044</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5,017</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5,064</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Tacala, LLC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Consumer products &amp; retail</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Second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8"/>
              </w:rPr>
              <w:t>2/7/2028</w:t>
            </w:r>
          </w:p>
        </w:tc>
        <w:tc>
          <w:tcPr>
            <w:tcW w:w="80" w:type="dxa"/>
            <w:vAlign w:val="bottom"/>
          </w:tcPr>
          <w:p>
            <w:pPr>
              <w:spacing w:after="0"/>
              <w:rPr>
                <w:sz w:val="9"/>
                <w:szCs w:val="9"/>
                <w:color w:val="auto"/>
              </w:rPr>
            </w:pP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5"/>
              </w:rPr>
              <w:t>L+7.50%</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5,000</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4,989</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5,002</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0.75%)</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TestEquity, LLC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Capital equipment</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4/28/2022</w:t>
            </w:r>
          </w:p>
        </w:tc>
        <w:tc>
          <w:tcPr>
            <w:tcW w:w="8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5"/>
              </w:rPr>
              <w:t>L+6.25%</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3,816</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3,808</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3,358</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980"/>
          </w:cols>
          <w:pgMar w:left="300" w:top="140" w:right="619" w:bottom="1440" w:gutter="0" w:footer="0" w:header="0"/>
        </w:sectPr>
      </w:pPr>
    </w:p>
    <w:bookmarkStart w:id="66" w:name="page67"/>
    <w:bookmarkEnd w:id="66"/>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Current</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ind w:left="300"/>
              <w:spacing w:after="0"/>
              <w:rPr>
                <w:sz w:val="20"/>
                <w:szCs w:val="20"/>
                <w:color w:val="auto"/>
              </w:rPr>
            </w:pPr>
            <w:r>
              <w:rPr>
                <w:rFonts w:ascii="Arial" w:cs="Arial" w:eastAsia="Arial" w:hAnsi="Arial"/>
                <w:sz w:val="10"/>
                <w:szCs w:val="10"/>
                <w:b w:val="1"/>
                <w:bCs w:val="1"/>
                <w:color w:val="auto"/>
              </w:rPr>
              <w:t>Investment</w:t>
            </w:r>
          </w:p>
        </w:tc>
        <w:tc>
          <w:tcPr>
            <w:tcW w:w="9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Maturity</w:t>
            </w: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Interest</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Portfolio Company</w:t>
            </w:r>
          </w:p>
        </w:tc>
        <w:tc>
          <w:tcPr>
            <w:tcW w:w="80" w:type="dxa"/>
            <w:vAlign w:val="bottom"/>
          </w:tcPr>
          <w:p>
            <w:pPr>
              <w:spacing w:after="0"/>
              <w:rPr>
                <w:sz w:val="13"/>
                <w:szCs w:val="13"/>
                <w:color w:val="auto"/>
              </w:rPr>
            </w:pPr>
          </w:p>
        </w:tc>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0"/>
                <w:szCs w:val="10"/>
                <w:b w:val="1"/>
                <w:bCs w:val="1"/>
                <w:color w:val="auto"/>
              </w:rPr>
              <w:t>Industry</w:t>
            </w:r>
          </w:p>
        </w:tc>
        <w:tc>
          <w:tcPr>
            <w:tcW w:w="60" w:type="dxa"/>
            <w:vAlign w:val="bottom"/>
          </w:tcPr>
          <w:p>
            <w:pPr>
              <w:spacing w:after="0"/>
              <w:rPr>
                <w:sz w:val="13"/>
                <w:szCs w:val="13"/>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Type</w:t>
            </w:r>
          </w:p>
        </w:tc>
        <w:tc>
          <w:tcPr>
            <w:tcW w:w="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Date</w:t>
            </w:r>
          </w:p>
        </w:tc>
        <w:tc>
          <w:tcPr>
            <w:tcW w:w="8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Rate</w:t>
            </w:r>
            <w:r>
              <w:rPr>
                <w:rFonts w:ascii="Arial" w:cs="Arial" w:eastAsia="Arial" w:hAnsi="Arial"/>
                <w:sz w:val="12"/>
                <w:szCs w:val="12"/>
                <w:b w:val="1"/>
                <w:bCs w:val="1"/>
                <w:color w:val="auto"/>
                <w:w w:val="84"/>
                <w:vertAlign w:val="superscript"/>
              </w:rPr>
              <w:t>1</w:t>
            </w:r>
          </w:p>
        </w:tc>
        <w:tc>
          <w:tcPr>
            <w:tcW w:w="80" w:type="dxa"/>
            <w:vAlign w:val="bottom"/>
          </w:tcPr>
          <w:p>
            <w:pPr>
              <w:spacing w:after="0"/>
              <w:rPr>
                <w:sz w:val="13"/>
                <w:szCs w:val="13"/>
                <w:color w:val="auto"/>
              </w:rPr>
            </w:pPr>
          </w:p>
        </w:tc>
        <w:tc>
          <w:tcPr>
            <w:tcW w:w="100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7"/>
              <w:spacing w:after="0"/>
              <w:rPr>
                <w:sz w:val="20"/>
                <w:szCs w:val="20"/>
                <w:color w:val="auto"/>
              </w:rPr>
            </w:pPr>
            <w:r>
              <w:rPr>
                <w:rFonts w:ascii="Arial" w:cs="Arial" w:eastAsia="Arial" w:hAnsi="Arial"/>
                <w:sz w:val="10"/>
                <w:szCs w:val="10"/>
                <w:b w:val="1"/>
                <w:bCs w:val="1"/>
                <w:color w:val="auto"/>
              </w:rPr>
              <w:t>Cost</w:t>
            </w:r>
            <w:r>
              <w:rPr>
                <w:rFonts w:ascii="Arial" w:cs="Arial" w:eastAsia="Arial" w:hAnsi="Arial"/>
                <w:sz w:val="12"/>
                <w:szCs w:val="12"/>
                <w:b w:val="1"/>
                <w:bCs w:val="1"/>
                <w:color w:val="auto"/>
                <w:vertAlign w:val="superscript"/>
              </w:rPr>
              <w:t>2</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7"/>
              <w:spacing w:after="0"/>
              <w:rPr>
                <w:sz w:val="20"/>
                <w:szCs w:val="20"/>
                <w:color w:val="auto"/>
              </w:rPr>
            </w:pPr>
            <w:r>
              <w:rPr>
                <w:rFonts w:ascii="Arial" w:cs="Arial" w:eastAsia="Arial" w:hAnsi="Arial"/>
                <w:sz w:val="10"/>
                <w:szCs w:val="10"/>
                <w:b w:val="1"/>
                <w:bCs w:val="1"/>
                <w:color w:val="auto"/>
              </w:rPr>
              <w:t>Fair Value</w:t>
            </w:r>
            <w:r>
              <w:rPr>
                <w:rFonts w:ascii="Arial" w:cs="Arial" w:eastAsia="Arial" w:hAnsi="Arial"/>
                <w:sz w:val="12"/>
                <w:szCs w:val="12"/>
                <w:b w:val="1"/>
                <w:bCs w:val="1"/>
                <w:color w:val="auto"/>
                <w:vertAlign w:val="superscript"/>
              </w:rPr>
              <w:t>3</w:t>
            </w:r>
          </w:p>
        </w:tc>
        <w:tc>
          <w:tcPr>
            <w:tcW w:w="0" w:type="dxa"/>
            <w:vAlign w:val="bottom"/>
          </w:tcPr>
          <w:p>
            <w:pPr>
              <w:spacing w:after="0"/>
              <w:rPr>
                <w:sz w:val="1"/>
                <w:szCs w:val="1"/>
                <w:color w:val="auto"/>
              </w:rPr>
            </w:pPr>
          </w:p>
        </w:tc>
      </w:tr>
      <w:tr>
        <w:trPr>
          <w:trHeight w:val="101"/>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ind w:left="20"/>
              <w:spacing w:after="0" w:line="101" w:lineRule="exact"/>
              <w:rPr>
                <w:sz w:val="20"/>
                <w:szCs w:val="20"/>
                <w:color w:val="auto"/>
              </w:rPr>
            </w:pPr>
            <w:r>
              <w:rPr>
                <w:rFonts w:ascii="Arial" w:cs="Arial" w:eastAsia="Arial" w:hAnsi="Arial"/>
                <w:sz w:val="11"/>
                <w:szCs w:val="11"/>
                <w:color w:val="auto"/>
                <w:w w:val="97"/>
              </w:rPr>
              <w:t>First Lien - Term Loan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9"/>
              </w:rPr>
              <w:t>4/28/2022</w:t>
            </w:r>
          </w:p>
        </w:tc>
        <w:tc>
          <w:tcPr>
            <w:tcW w:w="80" w:type="dxa"/>
            <w:vAlign w:val="bottom"/>
          </w:tcPr>
          <w:p>
            <w:pPr>
              <w:spacing w:after="0"/>
              <w:rPr>
                <w:sz w:val="8"/>
                <w:szCs w:val="8"/>
                <w:color w:val="auto"/>
              </w:rPr>
            </w:pPr>
          </w:p>
        </w:tc>
        <w:tc>
          <w:tcPr>
            <w:tcW w:w="1080" w:type="dxa"/>
            <w:vAlign w:val="bottom"/>
            <w:gridSpan w:val="2"/>
          </w:tcPr>
          <w:p>
            <w:pPr>
              <w:jc w:val="center"/>
              <w:ind w:right="100"/>
              <w:spacing w:after="0" w:line="101" w:lineRule="exact"/>
              <w:rPr>
                <w:sz w:val="20"/>
                <w:szCs w:val="20"/>
                <w:color w:val="auto"/>
              </w:rPr>
            </w:pPr>
            <w:r>
              <w:rPr>
                <w:rFonts w:ascii="Arial" w:cs="Arial" w:eastAsia="Arial" w:hAnsi="Arial"/>
                <w:sz w:val="11"/>
                <w:szCs w:val="11"/>
                <w:color w:val="auto"/>
                <w:w w:val="95"/>
              </w:rPr>
              <w:t>L+6.25%</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949</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947</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835</w:t>
            </w:r>
          </w:p>
        </w:tc>
        <w:tc>
          <w:tcPr>
            <w:tcW w:w="0" w:type="dxa"/>
            <w:vAlign w:val="bottom"/>
          </w:tcPr>
          <w:p>
            <w:pPr>
              <w:spacing w:after="0"/>
              <w:rPr>
                <w:sz w:val="1"/>
                <w:szCs w:val="1"/>
                <w:color w:val="auto"/>
              </w:rPr>
            </w:pPr>
          </w:p>
        </w:tc>
      </w:tr>
      <w:tr>
        <w:trPr>
          <w:trHeight w:val="138"/>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B</w:t>
            </w: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TGP Holdings III LLC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Durable consumer goods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Second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9/25/2025</w:t>
            </w:r>
          </w:p>
        </w:tc>
        <w:tc>
          <w:tcPr>
            <w:tcW w:w="8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5"/>
              </w:rPr>
              <w:t>L+8.50%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2,479</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2,483</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Time Manufacturing Acquisition</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Capital equipment</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8"/>
              </w:rPr>
              <w:t>2/3/2023</w:t>
            </w:r>
          </w:p>
        </w:tc>
        <w:tc>
          <w:tcPr>
            <w:tcW w:w="80" w:type="dxa"/>
            <w:vAlign w:val="bottom"/>
          </w:tcPr>
          <w:p>
            <w:pPr>
              <w:spacing w:after="0"/>
              <w:rPr>
                <w:sz w:val="9"/>
                <w:szCs w:val="9"/>
                <w:color w:val="auto"/>
              </w:rPr>
            </w:pP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5"/>
              </w:rPr>
              <w:t>L+5.00%</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5,802</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5,785</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5,824</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UniTek Global Services, Inc.</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Telecommunications</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8/20/2024</w:t>
            </w:r>
          </w:p>
        </w:tc>
        <w:tc>
          <w:tcPr>
            <w:tcW w:w="8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1"/>
                <w:szCs w:val="11"/>
                <w:color w:val="auto"/>
                <w:w w:val="92"/>
              </w:rPr>
              <w:t>L+5.50%, 1.00% PIK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2,736</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2,721</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2,480</w:t>
            </w:r>
          </w:p>
        </w:tc>
        <w:tc>
          <w:tcPr>
            <w:tcW w:w="0" w:type="dxa"/>
            <w:vAlign w:val="bottom"/>
          </w:tcPr>
          <w:p>
            <w:pPr>
              <w:spacing w:after="0"/>
              <w:rPr>
                <w:sz w:val="1"/>
                <w:szCs w:val="1"/>
                <w:color w:val="auto"/>
              </w:rPr>
            </w:pPr>
          </w:p>
        </w:tc>
      </w:tr>
      <w:tr>
        <w:trPr>
          <w:trHeight w:val="140"/>
        </w:trPr>
        <w:tc>
          <w:tcPr>
            <w:tcW w:w="2780" w:type="dxa"/>
            <w:vAlign w:val="bottom"/>
            <w:gridSpan w:val="2"/>
            <w:vMerge w:val="continue"/>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U.S. TelePacific Corp.</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Telecommunications</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8"/>
              </w:rPr>
              <w:t>5/2/2023</w:t>
            </w:r>
          </w:p>
        </w:tc>
        <w:tc>
          <w:tcPr>
            <w:tcW w:w="80" w:type="dxa"/>
            <w:vAlign w:val="bottom"/>
          </w:tcPr>
          <w:p>
            <w:pPr>
              <w:spacing w:after="0"/>
              <w:rPr>
                <w:sz w:val="9"/>
                <w:szCs w:val="9"/>
                <w:color w:val="auto"/>
              </w:rPr>
            </w:pP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5"/>
              </w:rPr>
              <w:t>L+5.50%</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5,200</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5,172</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4,829</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Vida Capital, Inc.</w:t>
            </w:r>
          </w:p>
        </w:tc>
        <w:tc>
          <w:tcPr>
            <w:tcW w:w="19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Financial services</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10/1/2026</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1"/>
              </w:rPr>
              <w:t>L+6.00%</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3,672</w:t>
            </w: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spacing w:after="0"/>
              <w:rPr>
                <w:sz w:val="20"/>
                <w:szCs w:val="20"/>
                <w:color w:val="auto"/>
              </w:rPr>
            </w:pPr>
            <w:r>
              <w:rPr>
                <w:rFonts w:ascii="Arial" w:cs="Arial" w:eastAsia="Arial" w:hAnsi="Arial"/>
                <w:sz w:val="11"/>
                <w:szCs w:val="11"/>
                <w:color w:val="auto"/>
              </w:rPr>
              <w:t>YS Garments, LLC</w:t>
            </w:r>
          </w:p>
        </w:tc>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Consumer products &amp; retail</w:t>
            </w: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auto"/>
                <w:w w:val="88"/>
              </w:rPr>
              <w:t>8/9/2024</w:t>
            </w:r>
          </w:p>
        </w:tc>
        <w:tc>
          <w:tcPr>
            <w:tcW w:w="80" w:type="dxa"/>
            <w:vAlign w:val="bottom"/>
          </w:tcPr>
          <w:p>
            <w:pPr>
              <w:spacing w:after="0"/>
              <w:rPr>
                <w:sz w:val="9"/>
                <w:szCs w:val="9"/>
                <w:color w:val="auto"/>
              </w:rPr>
            </w:pPr>
          </w:p>
        </w:tc>
        <w:tc>
          <w:tcPr>
            <w:tcW w:w="1080" w:type="dxa"/>
            <w:vAlign w:val="bottom"/>
            <w:gridSpan w:val="2"/>
          </w:tcPr>
          <w:p>
            <w:pPr>
              <w:jc w:val="center"/>
              <w:ind w:right="80"/>
              <w:spacing w:after="0" w:line="112" w:lineRule="exact"/>
              <w:rPr>
                <w:sz w:val="20"/>
                <w:szCs w:val="20"/>
                <w:color w:val="auto"/>
              </w:rPr>
            </w:pPr>
            <w:r>
              <w:rPr>
                <w:rFonts w:ascii="Arial" w:cs="Arial" w:eastAsia="Arial" w:hAnsi="Arial"/>
                <w:sz w:val="11"/>
                <w:szCs w:val="11"/>
                <w:color w:val="auto"/>
                <w:w w:val="91"/>
              </w:rPr>
              <w:t>L+6.00%</w:t>
            </w: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4,634</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4,608</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4,287</w:t>
            </w:r>
          </w:p>
        </w:tc>
        <w:tc>
          <w:tcPr>
            <w:tcW w:w="0" w:type="dxa"/>
            <w:vAlign w:val="bottom"/>
          </w:tcPr>
          <w:p>
            <w:pPr>
              <w:spacing w:after="0"/>
              <w:rPr>
                <w:sz w:val="1"/>
                <w:szCs w:val="1"/>
                <w:color w:val="auto"/>
              </w:rPr>
            </w:pPr>
          </w:p>
        </w:tc>
      </w:tr>
      <w:tr>
        <w:trPr>
          <w:trHeight w:val="138"/>
        </w:trPr>
        <w:tc>
          <w:tcPr>
            <w:tcW w:w="27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(Floor 1.00%)</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780" w:type="dxa"/>
            <w:vAlign w:val="bottom"/>
            <w:gridSpan w:val="2"/>
          </w:tcPr>
          <w:p>
            <w:pPr>
              <w:spacing w:after="0"/>
              <w:rPr>
                <w:sz w:val="20"/>
                <w:szCs w:val="20"/>
                <w:color w:val="auto"/>
              </w:rPr>
            </w:pPr>
            <w:r>
              <w:rPr>
                <w:rFonts w:ascii="Arial" w:cs="Arial" w:eastAsia="Arial" w:hAnsi="Arial"/>
                <w:sz w:val="11"/>
                <w:szCs w:val="11"/>
                <w:color w:val="auto"/>
              </w:rPr>
              <w:t>Total Investments</w:t>
            </w:r>
          </w:p>
        </w:tc>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170,791</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164,351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420" w:hanging="212"/>
        <w:spacing w:after="0" w:line="217" w:lineRule="auto"/>
        <w:tabs>
          <w:tab w:leader="none" w:pos="419" w:val="left"/>
        </w:tabs>
        <w:numPr>
          <w:ilvl w:val="0"/>
          <w:numId w:val="62"/>
        </w:numPr>
        <w:rPr>
          <w:rFonts w:ascii="Arial" w:cs="Arial" w:eastAsia="Arial" w:hAnsi="Arial"/>
          <w:sz w:val="14"/>
          <w:szCs w:val="14"/>
          <w:color w:val="auto"/>
          <w:vertAlign w:val="superscript"/>
        </w:rPr>
      </w:pPr>
      <w:r>
        <w:rPr>
          <w:rFonts w:ascii="Arial" w:cs="Arial" w:eastAsia="Arial" w:hAnsi="Arial"/>
          <w:sz w:val="11"/>
          <w:szCs w:val="11"/>
          <w:color w:val="auto"/>
        </w:rPr>
        <w:t>Represents the interest rate as of March 31, 2021. All interest rates are payable in cash, unless otherwise noted. The majority of investments bear interest at a rate that may be determined by reference to London Interbank Offered Rate (“LIBOR” or “L”) or Prime (“Prime”) which reset daily, monthly, quarterly, or semiannually. For each the Company has provided the spread over LIBOR or Prime in effect at March 31, 2021. Certain investments are subject to a LIBOR or Prime interest rate floor. Certain investments, as noted, accrue payment-in-kind ("PIK") interest.</w:t>
      </w:r>
    </w:p>
    <w:p>
      <w:pPr>
        <w:ind w:left="420" w:hanging="212"/>
        <w:spacing w:after="0" w:line="188" w:lineRule="auto"/>
        <w:tabs>
          <w:tab w:leader="none" w:pos="420" w:val="left"/>
        </w:tabs>
        <w:numPr>
          <w:ilvl w:val="0"/>
          <w:numId w:val="63"/>
        </w:numPr>
        <w:rPr>
          <w:rFonts w:ascii="Arial" w:cs="Arial" w:eastAsia="Arial" w:hAnsi="Arial"/>
          <w:sz w:val="14"/>
          <w:szCs w:val="14"/>
          <w:color w:val="auto"/>
          <w:vertAlign w:val="superscript"/>
        </w:rPr>
      </w:pPr>
      <w:r>
        <w:rPr>
          <w:rFonts w:ascii="Arial" w:cs="Arial" w:eastAsia="Arial" w:hAnsi="Arial"/>
          <w:sz w:val="11"/>
          <w:szCs w:val="11"/>
          <w:color w:val="auto"/>
        </w:rPr>
        <w:t>Represents amortized cost.</w:t>
      </w:r>
    </w:p>
    <w:p>
      <w:pPr>
        <w:spacing w:after="0" w:line="4" w:lineRule="exact"/>
        <w:rPr>
          <w:sz w:val="20"/>
          <w:szCs w:val="20"/>
          <w:color w:val="auto"/>
        </w:rPr>
      </w:pPr>
    </w:p>
    <w:p>
      <w:pPr>
        <w:ind w:left="420" w:hanging="212"/>
        <w:spacing w:after="0" w:line="218" w:lineRule="auto"/>
        <w:tabs>
          <w:tab w:leader="none" w:pos="419" w:val="left"/>
        </w:tabs>
        <w:numPr>
          <w:ilvl w:val="0"/>
          <w:numId w:val="64"/>
        </w:numPr>
        <w:rPr>
          <w:rFonts w:ascii="Arial" w:cs="Arial" w:eastAsia="Arial" w:hAnsi="Arial"/>
          <w:sz w:val="14"/>
          <w:szCs w:val="14"/>
          <w:color w:val="auto"/>
          <w:vertAlign w:val="superscript"/>
        </w:rPr>
      </w:pPr>
      <w:r>
        <w:rPr>
          <w:rFonts w:ascii="Arial" w:cs="Arial" w:eastAsia="Arial" w:hAnsi="Arial"/>
          <w:sz w:val="11"/>
          <w:szCs w:val="11"/>
          <w:color w:val="auto"/>
        </w:rPr>
        <w:t>Represents the fair value determined utilizing a similar process as the Company in accordance with ASC 820. However, the determination of such fair value is determined by the Board of Managers of the Joint Venture. It is not included in the Company’s Board of Directors’ valuation process described elsewhere herein.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300"/>
          </w:cols>
          <w:pgMar w:left="300" w:top="140" w:right="299" w:bottom="1440" w:gutter="0" w:footer="0" w:header="0"/>
        </w:sectPr>
      </w:pPr>
    </w:p>
    <w:bookmarkStart w:id="67" w:name="page68"/>
    <w:bookmarkEnd w:id="67"/>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1"/>
          <w:szCs w:val="11"/>
          <w:color w:val="auto"/>
        </w:rPr>
        <w:t>SUBSEQUENT EVENTS</w:t>
      </w:r>
    </w:p>
    <w:p>
      <w:pPr>
        <w:spacing w:after="0" w:line="16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On July 28, 2021, the Board of Directors declared a total dividend of $0.54 per share, comprised of a regular dividend of $0.44 and a supplemental dividend of $0.10, for the quarter ended September 30, 2021. The record date for the dividend is September 15, 2021. The payment date for the dividend is September 30, 2021.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300"/>
          </w:cols>
          <w:pgMar w:left="300" w:top="140" w:right="299" w:bottom="1440" w:gutter="0" w:footer="0" w:header="0"/>
        </w:sectPr>
      </w:pPr>
    </w:p>
    <w:bookmarkStart w:id="68" w:name="page69"/>
    <w:bookmarkEnd w:id="68"/>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Consolidated Schedule of Investments in and Advances to Affiliates (Unaudited)</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Three Months Ended June 30, 2021</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(amounts in thousands)</w:t>
      </w:r>
    </w:p>
    <w:tbl>
      <w:tblPr>
        <w:tblLayout w:type="fixed"/>
        <w:tblInd w:w="180" w:type="dxa"/>
        <w:tblCellMar>
          <w:top w:w="0" w:type="dxa"/>
          <w:left w:w="0" w:type="dxa"/>
          <w:bottom w:w="0" w:type="dxa"/>
          <w:right w:w="0" w:type="dxa"/>
        </w:tblCellMar>
      </w:tblPr>
      <w:tr>
        <w:trPr>
          <w:trHeight w:val="114"/>
        </w:trPr>
        <w:tc>
          <w:tcPr>
            <w:tcW w:w="15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8"/>
              </w:rPr>
              <w:t>Amount of Interest or</w:t>
            </w:r>
          </w:p>
        </w:tc>
        <w:tc>
          <w:tcPr>
            <w:tcW w:w="8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Fair Value at March</w:t>
            </w: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 of Realized</w:t>
            </w:r>
          </w:p>
        </w:tc>
        <w:tc>
          <w:tcPr>
            <w:tcW w:w="106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w w:val="87"/>
              </w:rPr>
              <w:t>Amount of Unrealized</w:t>
            </w:r>
          </w:p>
        </w:tc>
        <w:tc>
          <w:tcPr>
            <w:tcW w:w="9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9"/>
              </w:rPr>
              <w:t>Fair Value at June 30,</w:t>
            </w:r>
          </w:p>
        </w:tc>
        <w:tc>
          <w:tcPr>
            <w:tcW w:w="0" w:type="dxa"/>
            <w:vAlign w:val="bottom"/>
          </w:tcPr>
          <w:p>
            <w:pPr>
              <w:spacing w:after="0"/>
              <w:rPr>
                <w:sz w:val="1"/>
                <w:szCs w:val="1"/>
                <w:color w:val="auto"/>
              </w:rPr>
            </w:pPr>
          </w:p>
        </w:tc>
      </w:tr>
      <w:tr>
        <w:trPr>
          <w:trHeight w:val="90"/>
        </w:trPr>
        <w:tc>
          <w:tcPr>
            <w:tcW w:w="15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Portfolio Company</w:t>
            </w:r>
          </w:p>
        </w:tc>
        <w:tc>
          <w:tcPr>
            <w:tcW w:w="200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rPr>
              <w:t>Type of Investment (1)</w:t>
            </w:r>
          </w:p>
        </w:tc>
        <w:tc>
          <w:tcPr>
            <w:tcW w:w="1060" w:type="dxa"/>
            <w:vAlign w:val="bottom"/>
            <w:gridSpan w:val="3"/>
          </w:tcPr>
          <w:p>
            <w:pPr>
              <w:jc w:val="center"/>
              <w:ind w:right="80"/>
              <w:spacing w:after="0" w:line="90" w:lineRule="exact"/>
              <w:rPr>
                <w:sz w:val="20"/>
                <w:szCs w:val="20"/>
                <w:color w:val="auto"/>
              </w:rPr>
            </w:pPr>
            <w:r>
              <w:rPr>
                <w:rFonts w:ascii="Arial" w:cs="Arial" w:eastAsia="Arial" w:hAnsi="Arial"/>
                <w:sz w:val="10"/>
                <w:szCs w:val="10"/>
                <w:b w:val="1"/>
                <w:bCs w:val="1"/>
                <w:color w:val="auto"/>
                <w:w w:val="87"/>
              </w:rPr>
              <w:t>Dividends Credited in</w:t>
            </w:r>
          </w:p>
        </w:tc>
        <w:tc>
          <w:tcPr>
            <w:tcW w:w="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Gross Additions (3)</w:t>
            </w:r>
          </w:p>
        </w:tc>
        <w:tc>
          <w:tcPr>
            <w:tcW w:w="10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w w:val="96"/>
              </w:rPr>
              <w:t>Gross Reductions (4)</w:t>
            </w:r>
          </w:p>
        </w:tc>
        <w:tc>
          <w:tcPr>
            <w:tcW w:w="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80" w:type="dxa"/>
            <w:vAlign w:val="bottom"/>
            <w:vMerge w:val="continue"/>
          </w:tcPr>
          <w:p>
            <w:pPr>
              <w:spacing w:after="0"/>
              <w:rPr>
                <w:sz w:val="10"/>
                <w:szCs w:val="10"/>
                <w:color w:val="auto"/>
              </w:rPr>
            </w:pPr>
          </w:p>
        </w:tc>
        <w:tc>
          <w:tcPr>
            <w:tcW w:w="2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7"/>
              </w:rPr>
              <w:t>Income (2)</w:t>
            </w:r>
          </w:p>
        </w:tc>
        <w:tc>
          <w:tcPr>
            <w:tcW w:w="80" w:type="dxa"/>
            <w:vAlign w:val="bottom"/>
          </w:tcPr>
          <w:p>
            <w:pPr>
              <w:spacing w:after="0"/>
              <w:rPr>
                <w:sz w:val="10"/>
                <w:szCs w:val="10"/>
                <w:color w:val="auto"/>
              </w:rPr>
            </w:pPr>
          </w:p>
        </w:tc>
        <w:tc>
          <w:tcPr>
            <w:tcW w:w="880" w:type="dxa"/>
            <w:vAlign w:val="bottom"/>
          </w:tcPr>
          <w:p>
            <w:pPr>
              <w:jc w:val="right"/>
              <w:ind w:right="246"/>
              <w:spacing w:after="0"/>
              <w:rPr>
                <w:sz w:val="20"/>
                <w:szCs w:val="20"/>
                <w:color w:val="auto"/>
              </w:rPr>
            </w:pPr>
            <w:r>
              <w:rPr>
                <w:rFonts w:ascii="Arial" w:cs="Arial" w:eastAsia="Arial" w:hAnsi="Arial"/>
                <w:sz w:val="10"/>
                <w:szCs w:val="10"/>
                <w:b w:val="1"/>
                <w:bCs w:val="1"/>
                <w:color w:val="auto"/>
              </w:rPr>
              <w:t>31, 2021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ind w:left="100"/>
              <w:spacing w:after="0"/>
              <w:rPr>
                <w:sz w:val="20"/>
                <w:szCs w:val="20"/>
                <w:color w:val="auto"/>
              </w:rPr>
            </w:pPr>
            <w:r>
              <w:rPr>
                <w:rFonts w:ascii="Arial" w:cs="Arial" w:eastAsia="Arial" w:hAnsi="Arial"/>
                <w:sz w:val="10"/>
                <w:szCs w:val="10"/>
                <w:b w:val="1"/>
                <w:bCs w:val="1"/>
                <w:color w:val="auto"/>
              </w:rPr>
              <w:t>Gain/(Loss) (5)</w:t>
            </w:r>
          </w:p>
        </w:tc>
        <w:tc>
          <w:tcPr>
            <w:tcW w:w="16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3"/>
              </w:rPr>
              <w:t>Gain/(Loss)</w:t>
            </w:r>
          </w:p>
        </w:tc>
        <w:tc>
          <w:tcPr>
            <w:tcW w:w="240" w:type="dxa"/>
            <w:vAlign w:val="bottom"/>
          </w:tcPr>
          <w:p>
            <w:pPr>
              <w:spacing w:after="0"/>
              <w:rPr>
                <w:sz w:val="10"/>
                <w:szCs w:val="10"/>
                <w:color w:val="auto"/>
              </w:rPr>
            </w:pPr>
          </w:p>
        </w:tc>
        <w:tc>
          <w:tcPr>
            <w:tcW w:w="740" w:type="dxa"/>
            <w:vAlign w:val="bottom"/>
          </w:tcPr>
          <w:p>
            <w:pPr>
              <w:jc w:val="right"/>
              <w:ind w:right="346"/>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34"/>
        </w:trPr>
        <w:tc>
          <w:tcPr>
            <w:tcW w:w="1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Control Investments</w:t>
            </w:r>
          </w:p>
        </w:tc>
        <w:tc>
          <w:tcPr>
            <w:tcW w:w="1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tcPr>
          <w:p>
            <w:pPr>
              <w:ind w:left="100"/>
              <w:spacing w:after="0"/>
              <w:rPr>
                <w:sz w:val="20"/>
                <w:szCs w:val="20"/>
                <w:color w:val="auto"/>
              </w:rPr>
            </w:pPr>
            <w:r>
              <w:rPr>
                <w:rFonts w:ascii="Arial" w:cs="Arial" w:eastAsia="Arial" w:hAnsi="Arial"/>
                <w:sz w:val="11"/>
                <w:szCs w:val="11"/>
                <w:b w:val="1"/>
                <w:bCs w:val="1"/>
                <w:color w:val="auto"/>
              </w:rPr>
              <w:t>I-45 SLF LLC</w:t>
            </w:r>
          </w:p>
        </w:tc>
        <w:tc>
          <w:tcPr>
            <w:tcW w:w="2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80% LLC equity interest</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57,158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3,200</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ind w:left="7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28"/>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914</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8"/>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61,272</w:t>
            </w: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Total Control Investments</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57,158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3,200</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61,272</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Affiliate Investments</w:t>
            </w: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80" w:type="dxa"/>
            <w:vAlign w:val="bottom"/>
          </w:tcPr>
          <w:p>
            <w:pPr>
              <w:ind w:left="100"/>
              <w:spacing w:after="0"/>
              <w:rPr>
                <w:sz w:val="20"/>
                <w:szCs w:val="20"/>
                <w:color w:val="auto"/>
              </w:rPr>
            </w:pPr>
            <w:r>
              <w:rPr>
                <w:rFonts w:ascii="Arial" w:cs="Arial" w:eastAsia="Arial" w:hAnsi="Arial"/>
                <w:sz w:val="11"/>
                <w:szCs w:val="11"/>
                <w:b w:val="1"/>
                <w:bCs w:val="1"/>
                <w:color w:val="auto"/>
              </w:rPr>
              <w:t>Central Medical Supply LLC</w:t>
            </w: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Revolving Loan</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276</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8"/>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240" w:type="dxa"/>
            <w:vAlign w:val="bottom"/>
          </w:tcPr>
          <w:p>
            <w:pPr>
              <w:jc w:val="right"/>
              <w:ind w:right="108"/>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276</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First Lien</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6,908</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Delayed Draw Term Loan</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875,000 Preferred Units</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c>
          <w:tcPr>
            <w:tcW w:w="0" w:type="dxa"/>
            <w:vAlign w:val="bottom"/>
          </w:tcPr>
          <w:p>
            <w:pPr>
              <w:spacing w:after="0"/>
              <w:rPr>
                <w:sz w:val="1"/>
                <w:szCs w:val="1"/>
                <w:color w:val="auto"/>
              </w:rPr>
            </w:pPr>
          </w:p>
        </w:tc>
      </w:tr>
      <w:tr>
        <w:trPr>
          <w:trHeight w:val="112"/>
        </w:trPr>
        <w:tc>
          <w:tcPr>
            <w:tcW w:w="15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Chandler Signs, LLC</w:t>
            </w:r>
          </w:p>
        </w:tc>
        <w:tc>
          <w:tcPr>
            <w:tcW w:w="2000" w:type="dxa"/>
            <w:vAlign w:val="bottom"/>
            <w:gridSpan w:val="2"/>
          </w:tcPr>
          <w:p>
            <w:pPr>
              <w:ind w:left="100"/>
              <w:spacing w:after="0" w:line="112" w:lineRule="exact"/>
              <w:rPr>
                <w:sz w:val="20"/>
                <w:szCs w:val="20"/>
                <w:color w:val="auto"/>
              </w:rPr>
            </w:pPr>
            <w:r>
              <w:rPr>
                <w:rFonts w:ascii="Arial" w:cs="Arial" w:eastAsia="Arial" w:hAnsi="Arial"/>
                <w:sz w:val="11"/>
                <w:szCs w:val="11"/>
                <w:color w:val="auto"/>
              </w:rPr>
              <w:t>1,500,000 units of Class A-1 common</w:t>
            </w:r>
          </w:p>
        </w:tc>
        <w:tc>
          <w:tcPr>
            <w:tcW w:w="160" w:type="dxa"/>
            <w:vAlign w:val="bottom"/>
          </w:tcPr>
          <w:p>
            <w:pPr>
              <w:spacing w:after="0"/>
              <w:rPr>
                <w:sz w:val="9"/>
                <w:szCs w:val="9"/>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1,343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80" w:type="dxa"/>
            <w:vAlign w:val="bottom"/>
            <w:gridSpan w:val="2"/>
            <w:vMerge w:val="restart"/>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(575)</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768</w:t>
            </w:r>
          </w:p>
        </w:tc>
        <w:tc>
          <w:tcPr>
            <w:tcW w:w="0" w:type="dxa"/>
            <w:vAlign w:val="bottom"/>
          </w:tcPr>
          <w:p>
            <w:pPr>
              <w:spacing w:after="0"/>
              <w:rPr>
                <w:sz w:val="1"/>
                <w:szCs w:val="1"/>
                <w:color w:val="auto"/>
              </w:rPr>
            </w:pPr>
          </w:p>
        </w:tc>
      </w:tr>
      <w:tr>
        <w:trPr>
          <w:trHeight w:val="138"/>
        </w:trPr>
        <w:tc>
          <w:tcPr>
            <w:tcW w:w="1580" w:type="dxa"/>
            <w:vAlign w:val="bottom"/>
            <w:vMerge w:val="continue"/>
          </w:tcPr>
          <w:p>
            <w:pPr>
              <w:spacing w:after="0"/>
              <w:rPr>
                <w:sz w:val="12"/>
                <w:szCs w:val="12"/>
                <w:color w:val="auto"/>
              </w:rPr>
            </w:pP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80" w:type="dxa"/>
            <w:vAlign w:val="bottom"/>
            <w:shd w:val="clear" w:color="auto" w:fill="CCEEFF"/>
          </w:tcPr>
          <w:p>
            <w:pPr>
              <w:ind w:left="100"/>
              <w:spacing w:after="0" w:line="110" w:lineRule="exact"/>
              <w:rPr>
                <w:sz w:val="20"/>
                <w:szCs w:val="20"/>
                <w:color w:val="auto"/>
              </w:rPr>
            </w:pPr>
            <w:r>
              <w:rPr>
                <w:rFonts w:ascii="Arial" w:cs="Arial" w:eastAsia="Arial" w:hAnsi="Arial"/>
                <w:sz w:val="11"/>
                <w:szCs w:val="11"/>
                <w:b w:val="1"/>
                <w:bCs w:val="1"/>
                <w:color w:val="auto"/>
                <w:w w:val="96"/>
              </w:rPr>
              <w:t>Delphi Intermediate Healthco</w:t>
            </w:r>
          </w:p>
        </w:tc>
        <w:tc>
          <w:tcPr>
            <w:tcW w:w="200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color w:val="auto"/>
              </w:rPr>
              <w:t>First Lien</w:t>
            </w:r>
          </w:p>
        </w:tc>
        <w:tc>
          <w:tcPr>
            <w:tcW w:w="1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1,398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1,398</w:t>
            </w: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LLC</w:t>
            </w:r>
          </w:p>
        </w:tc>
        <w:tc>
          <w:tcPr>
            <w:tcW w:w="20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First Lien</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1,525</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1,681.04 Common Units</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3,836</w:t>
            </w:r>
          </w:p>
        </w:tc>
        <w:tc>
          <w:tcPr>
            <w:tcW w:w="0" w:type="dxa"/>
            <w:vAlign w:val="bottom"/>
          </w:tcPr>
          <w:p>
            <w:pPr>
              <w:spacing w:after="0"/>
              <w:rPr>
                <w:sz w:val="1"/>
                <w:szCs w:val="1"/>
                <w:color w:val="auto"/>
              </w:rPr>
            </w:pPr>
          </w:p>
        </w:tc>
      </w:tr>
      <w:tr>
        <w:trPr>
          <w:trHeight w:val="142"/>
        </w:trPr>
        <w:tc>
          <w:tcPr>
            <w:tcW w:w="1580" w:type="dxa"/>
            <w:vAlign w:val="bottom"/>
          </w:tcPr>
          <w:p>
            <w:pPr>
              <w:ind w:left="100"/>
              <w:spacing w:after="0"/>
              <w:rPr>
                <w:sz w:val="20"/>
                <w:szCs w:val="20"/>
                <w:color w:val="auto"/>
              </w:rPr>
            </w:pPr>
            <w:r>
              <w:rPr>
                <w:rFonts w:ascii="Arial" w:cs="Arial" w:eastAsia="Arial" w:hAnsi="Arial"/>
                <w:sz w:val="11"/>
                <w:szCs w:val="11"/>
                <w:b w:val="1"/>
                <w:bCs w:val="1"/>
                <w:color w:val="auto"/>
                <w:w w:val="99"/>
              </w:rPr>
              <w:t>Dynamic Communities, LLC</w:t>
            </w: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Revolving Loan</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First Lien</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10,161</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Senior subordinated debt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2,000,000 Preferred units</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1,274</w:t>
            </w:r>
          </w:p>
        </w:tc>
        <w:tc>
          <w:tcPr>
            <w:tcW w:w="0" w:type="dxa"/>
            <w:vAlign w:val="bottom"/>
          </w:tcPr>
          <w:p>
            <w:pPr>
              <w:spacing w:after="0"/>
              <w:rPr>
                <w:sz w:val="1"/>
                <w:szCs w:val="1"/>
                <w:color w:val="auto"/>
              </w:rPr>
            </w:pPr>
          </w:p>
        </w:tc>
      </w:tr>
      <w:tr>
        <w:trPr>
          <w:trHeight w:val="142"/>
        </w:trPr>
        <w:tc>
          <w:tcPr>
            <w:tcW w:w="1580" w:type="dxa"/>
            <w:vAlign w:val="bottom"/>
          </w:tcPr>
          <w:p>
            <w:pPr>
              <w:ind w:left="100"/>
              <w:spacing w:after="0"/>
              <w:rPr>
                <w:sz w:val="20"/>
                <w:szCs w:val="20"/>
                <w:color w:val="auto"/>
              </w:rPr>
            </w:pPr>
            <w:r>
              <w:rPr>
                <w:rFonts w:ascii="Arial" w:cs="Arial" w:eastAsia="Arial" w:hAnsi="Arial"/>
                <w:sz w:val="11"/>
                <w:szCs w:val="11"/>
                <w:b w:val="1"/>
                <w:bCs w:val="1"/>
                <w:color w:val="auto"/>
              </w:rPr>
              <w:t>GrammaTech, Inc.</w:t>
            </w: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Revolving Loan</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First Lien</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11,224</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1,000 Class A units</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1,005</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ITA Holdings Group, LLC</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Revolving loan</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First Lien - Term Loan</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10,061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10,061</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First Lien - Term Loan B</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5,101</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First Lien - PIK Note A</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95</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2,694</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First Lien - PIK Note B</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0" w:type="dxa"/>
            <w:vAlign w:val="bottom"/>
            <w:gridSpan w:val="2"/>
          </w:tcPr>
          <w:p>
            <w:pPr>
              <w:ind w:left="100"/>
              <w:spacing w:after="0"/>
              <w:rPr>
                <w:sz w:val="20"/>
                <w:szCs w:val="20"/>
                <w:color w:val="auto"/>
              </w:rPr>
            </w:pPr>
            <w:r>
              <w:rPr>
                <w:rFonts w:ascii="Arial" w:cs="Arial" w:eastAsia="Arial" w:hAnsi="Arial"/>
                <w:sz w:val="11"/>
                <w:szCs w:val="11"/>
                <w:color w:val="auto"/>
              </w:rPr>
              <w:t>Warrants</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2,968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307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3,275</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9.25% Class A membership interest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100"/>
          </w:cols>
          <w:pgMar w:left="300" w:top="140" w:right="499" w:bottom="1440" w:gutter="0" w:footer="0" w:header="0"/>
        </w:sectPr>
      </w:pPr>
    </w:p>
    <w:bookmarkStart w:id="69" w:name="page70"/>
    <w:bookmarkEnd w:id="69"/>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7" w:lineRule="exact"/>
        <w:rPr>
          <w:sz w:val="20"/>
          <w:szCs w:val="20"/>
          <w:color w:val="auto"/>
        </w:rPr>
      </w:pPr>
    </w:p>
    <w:tbl>
      <w:tblPr>
        <w:tblLayout w:type="fixed"/>
        <w:tblInd w:w="180" w:type="dxa"/>
        <w:tblCellMar>
          <w:top w:w="0" w:type="dxa"/>
          <w:left w:w="0" w:type="dxa"/>
          <w:bottom w:w="0" w:type="dxa"/>
          <w:right w:w="0" w:type="dxa"/>
        </w:tblCellMar>
      </w:tblPr>
      <w:tr>
        <w:trPr>
          <w:trHeight w:val="115"/>
        </w:trPr>
        <w:tc>
          <w:tcPr>
            <w:tcW w:w="15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8"/>
              </w:rPr>
              <w:t>Amount of Interest or</w:t>
            </w:r>
          </w:p>
        </w:tc>
        <w:tc>
          <w:tcPr>
            <w:tcW w:w="8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Fair Value at March</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 of Realized</w:t>
            </w:r>
          </w:p>
        </w:tc>
        <w:tc>
          <w:tcPr>
            <w:tcW w:w="106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w w:val="96"/>
              </w:rPr>
              <w:t>Amount of Unrealized</w:t>
            </w:r>
          </w:p>
        </w:tc>
        <w:tc>
          <w:tcPr>
            <w:tcW w:w="9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9"/>
              </w:rPr>
              <w:t>Fair Value at June 30,</w:t>
            </w:r>
          </w:p>
        </w:tc>
        <w:tc>
          <w:tcPr>
            <w:tcW w:w="0" w:type="dxa"/>
            <w:vAlign w:val="bottom"/>
          </w:tcPr>
          <w:p>
            <w:pPr>
              <w:spacing w:after="0"/>
              <w:rPr>
                <w:sz w:val="1"/>
                <w:szCs w:val="1"/>
                <w:color w:val="auto"/>
              </w:rPr>
            </w:pPr>
          </w:p>
        </w:tc>
      </w:tr>
      <w:tr>
        <w:trPr>
          <w:trHeight w:val="90"/>
        </w:trPr>
        <w:tc>
          <w:tcPr>
            <w:tcW w:w="15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Portfolio Company</w:t>
            </w:r>
          </w:p>
        </w:tc>
        <w:tc>
          <w:tcPr>
            <w:tcW w:w="2000" w:type="dxa"/>
            <w:vAlign w:val="bottom"/>
            <w:vMerge w:val="restart"/>
          </w:tcPr>
          <w:p>
            <w:pPr>
              <w:ind w:left="580"/>
              <w:spacing w:after="0"/>
              <w:rPr>
                <w:sz w:val="20"/>
                <w:szCs w:val="20"/>
                <w:color w:val="auto"/>
              </w:rPr>
            </w:pPr>
            <w:r>
              <w:rPr>
                <w:rFonts w:ascii="Arial" w:cs="Arial" w:eastAsia="Arial" w:hAnsi="Arial"/>
                <w:sz w:val="10"/>
                <w:szCs w:val="10"/>
                <w:b w:val="1"/>
                <w:bCs w:val="1"/>
                <w:color w:val="auto"/>
              </w:rPr>
              <w:t>Type of Investment (1)</w:t>
            </w:r>
          </w:p>
        </w:tc>
        <w:tc>
          <w:tcPr>
            <w:tcW w:w="80" w:type="dxa"/>
            <w:vAlign w:val="bottom"/>
            <w:vMerge w:val="restart"/>
          </w:tcPr>
          <w:p>
            <w:pPr>
              <w:spacing w:after="0"/>
              <w:rPr>
                <w:sz w:val="7"/>
                <w:szCs w:val="7"/>
                <w:color w:val="auto"/>
              </w:rPr>
            </w:pPr>
          </w:p>
        </w:tc>
        <w:tc>
          <w:tcPr>
            <w:tcW w:w="1060" w:type="dxa"/>
            <w:vAlign w:val="bottom"/>
            <w:gridSpan w:val="3"/>
          </w:tcPr>
          <w:p>
            <w:pPr>
              <w:jc w:val="center"/>
              <w:ind w:right="80"/>
              <w:spacing w:after="0" w:line="90" w:lineRule="exact"/>
              <w:rPr>
                <w:sz w:val="20"/>
                <w:szCs w:val="20"/>
                <w:color w:val="auto"/>
              </w:rPr>
            </w:pPr>
            <w:r>
              <w:rPr>
                <w:rFonts w:ascii="Arial" w:cs="Arial" w:eastAsia="Arial" w:hAnsi="Arial"/>
                <w:sz w:val="10"/>
                <w:szCs w:val="10"/>
                <w:b w:val="1"/>
                <w:bCs w:val="1"/>
                <w:color w:val="auto"/>
                <w:w w:val="87"/>
              </w:rPr>
              <w:t>Dividends Credited in</w:t>
            </w:r>
          </w:p>
        </w:tc>
        <w:tc>
          <w:tcPr>
            <w:tcW w:w="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0"/>
                <w:szCs w:val="10"/>
                <w:b w:val="1"/>
                <w:bCs w:val="1"/>
                <w:color w:val="auto"/>
                <w:w w:val="84"/>
              </w:rPr>
              <w:t>Gross Additions (3)</w:t>
            </w:r>
          </w:p>
        </w:tc>
        <w:tc>
          <w:tcPr>
            <w:tcW w:w="100" w:type="dxa"/>
            <w:vAlign w:val="bottom"/>
            <w:vMerge w:val="restart"/>
          </w:tcPr>
          <w:p>
            <w:pPr>
              <w:spacing w:after="0"/>
              <w:rPr>
                <w:sz w:val="7"/>
                <w:szCs w:val="7"/>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w w:val="96"/>
              </w:rPr>
              <w:t>Gross Reductions (4)</w:t>
            </w:r>
          </w:p>
        </w:tc>
        <w:tc>
          <w:tcPr>
            <w:tcW w:w="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500" w:type="dxa"/>
            <w:vAlign w:val="bottom"/>
            <w:tcBorders>
              <w:bottom w:val="single" w:sz="8" w:color="auto"/>
            </w:tcBorders>
            <w:vMerge w:val="continue"/>
          </w:tcPr>
          <w:p>
            <w:pPr>
              <w:spacing w:after="0"/>
              <w:rPr>
                <w:sz w:val="10"/>
                <w:szCs w:val="10"/>
                <w:color w:val="auto"/>
              </w:rPr>
            </w:pPr>
          </w:p>
        </w:tc>
        <w:tc>
          <w:tcPr>
            <w:tcW w:w="20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27"/>
              <w:spacing w:after="0"/>
              <w:rPr>
                <w:sz w:val="20"/>
                <w:szCs w:val="20"/>
                <w:color w:val="auto"/>
              </w:rPr>
            </w:pPr>
            <w:r>
              <w:rPr>
                <w:rFonts w:ascii="Arial" w:cs="Arial" w:eastAsia="Arial" w:hAnsi="Arial"/>
                <w:sz w:val="10"/>
                <w:szCs w:val="10"/>
                <w:b w:val="1"/>
                <w:bCs w:val="1"/>
                <w:color w:val="auto"/>
                <w:w w:val="87"/>
              </w:rPr>
              <w:t>Income (2)</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31, 2021</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6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Gain/(Loss) (5)</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07"/>
              <w:spacing w:after="0"/>
              <w:rPr>
                <w:sz w:val="20"/>
                <w:szCs w:val="20"/>
                <w:color w:val="auto"/>
              </w:rPr>
            </w:pPr>
            <w:r>
              <w:rPr>
                <w:rFonts w:ascii="Arial" w:cs="Arial" w:eastAsia="Arial" w:hAnsi="Arial"/>
                <w:sz w:val="10"/>
                <w:szCs w:val="10"/>
                <w:b w:val="1"/>
                <w:bCs w:val="1"/>
                <w:color w:val="auto"/>
                <w:w w:val="98"/>
              </w:rPr>
              <w:t>Gain/(Loss)</w:t>
            </w: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32"/>
        </w:trPr>
        <w:tc>
          <w:tcPr>
            <w:tcW w:w="1500" w:type="dxa"/>
            <w:vAlign w:val="bottom"/>
          </w:tcPr>
          <w:p>
            <w:pPr>
              <w:ind w:left="100"/>
              <w:spacing w:after="0"/>
              <w:rPr>
                <w:sz w:val="20"/>
                <w:szCs w:val="20"/>
                <w:color w:val="auto"/>
              </w:rPr>
            </w:pPr>
            <w:r>
              <w:rPr>
                <w:rFonts w:ascii="Arial" w:cs="Arial" w:eastAsia="Arial" w:hAnsi="Arial"/>
                <w:sz w:val="11"/>
                <w:szCs w:val="11"/>
                <w:b w:val="1"/>
                <w:bCs w:val="1"/>
                <w:color w:val="auto"/>
              </w:rPr>
              <w:t>SIMR, LLC</w:t>
            </w:r>
          </w:p>
        </w:tc>
        <w:tc>
          <w:tcPr>
            <w:tcW w:w="2080" w:type="dxa"/>
            <w:vAlign w:val="bottom"/>
            <w:gridSpan w:val="2"/>
          </w:tcPr>
          <w:p>
            <w:pPr>
              <w:ind w:left="180"/>
              <w:spacing w:after="0"/>
              <w:rPr>
                <w:sz w:val="20"/>
                <w:szCs w:val="20"/>
                <w:color w:val="auto"/>
              </w:rPr>
            </w:pPr>
            <w:r>
              <w:rPr>
                <w:rFonts w:ascii="Arial" w:cs="Arial" w:eastAsia="Arial" w:hAnsi="Arial"/>
                <w:sz w:val="11"/>
                <w:szCs w:val="11"/>
                <w:color w:val="auto"/>
              </w:rPr>
              <w:t>First lien</w:t>
            </w: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12,103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224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(442)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11,885</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9,374,510.2 Class B Common Units</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500" w:type="dxa"/>
            <w:vAlign w:val="bottom"/>
          </w:tcPr>
          <w:p>
            <w:pPr>
              <w:ind w:left="100"/>
              <w:spacing w:after="0"/>
              <w:rPr>
                <w:sz w:val="20"/>
                <w:szCs w:val="20"/>
                <w:color w:val="auto"/>
              </w:rPr>
            </w:pPr>
            <w:r>
              <w:rPr>
                <w:rFonts w:ascii="Arial" w:cs="Arial" w:eastAsia="Arial" w:hAnsi="Arial"/>
                <w:sz w:val="11"/>
                <w:szCs w:val="11"/>
                <w:b w:val="1"/>
                <w:bCs w:val="1"/>
                <w:color w:val="auto"/>
              </w:rPr>
              <w:t>Sonobi, Inc.</w:t>
            </w:r>
          </w:p>
        </w:tc>
        <w:tc>
          <w:tcPr>
            <w:tcW w:w="2080" w:type="dxa"/>
            <w:vAlign w:val="bottom"/>
            <w:gridSpan w:val="2"/>
          </w:tcPr>
          <w:p>
            <w:pPr>
              <w:ind w:left="180"/>
              <w:spacing w:after="0"/>
              <w:rPr>
                <w:sz w:val="20"/>
                <w:szCs w:val="20"/>
                <w:color w:val="auto"/>
              </w:rPr>
            </w:pPr>
            <w:r>
              <w:rPr>
                <w:rFonts w:ascii="Arial" w:cs="Arial" w:eastAsia="Arial" w:hAnsi="Arial"/>
                <w:sz w:val="11"/>
                <w:szCs w:val="11"/>
                <w:color w:val="auto"/>
              </w:rPr>
              <w:t>First Lien</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8,500</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500,000 Class A Common Units</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1,235</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1,690</w:t>
            </w:r>
          </w:p>
        </w:tc>
        <w:tc>
          <w:tcPr>
            <w:tcW w:w="0" w:type="dxa"/>
            <w:vAlign w:val="bottom"/>
          </w:tcPr>
          <w:p>
            <w:pPr>
              <w:spacing w:after="0"/>
              <w:rPr>
                <w:sz w:val="1"/>
                <w:szCs w:val="1"/>
                <w:color w:val="auto"/>
              </w:rPr>
            </w:pPr>
          </w:p>
        </w:tc>
      </w:tr>
      <w:tr>
        <w:trPr>
          <w:trHeight w:val="131"/>
        </w:trPr>
        <w:tc>
          <w:tcPr>
            <w:tcW w:w="1500" w:type="dxa"/>
            <w:vAlign w:val="bottom"/>
            <w:tcBorders>
              <w:bottom w:val="single" w:sz="8" w:color="CCEEFF"/>
            </w:tcBorders>
          </w:tcPr>
          <w:p>
            <w:pPr>
              <w:ind w:left="100"/>
              <w:spacing w:after="0"/>
              <w:rPr>
                <w:sz w:val="20"/>
                <w:szCs w:val="20"/>
                <w:color w:val="auto"/>
              </w:rPr>
            </w:pPr>
            <w:r>
              <w:rPr>
                <w:rFonts w:ascii="Arial" w:cs="Arial" w:eastAsia="Arial" w:hAnsi="Arial"/>
                <w:sz w:val="11"/>
                <w:szCs w:val="11"/>
                <w:b w:val="1"/>
                <w:bCs w:val="1"/>
                <w:color w:val="auto"/>
              </w:rPr>
              <w:t>Total Affiliate Investments</w:t>
            </w:r>
          </w:p>
        </w:tc>
        <w:tc>
          <w:tcPr>
            <w:tcW w:w="20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1,648</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85,246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647</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ind w:left="7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28"/>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(458)</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08"/>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85,435</w:t>
            </w:r>
          </w:p>
        </w:tc>
        <w:tc>
          <w:tcPr>
            <w:tcW w:w="0" w:type="dxa"/>
            <w:vAlign w:val="bottom"/>
          </w:tcPr>
          <w:p>
            <w:pPr>
              <w:spacing w:after="0"/>
              <w:rPr>
                <w:sz w:val="1"/>
                <w:szCs w:val="1"/>
                <w:color w:val="auto"/>
              </w:rPr>
            </w:pPr>
          </w:p>
        </w:tc>
      </w:tr>
      <w:tr>
        <w:trPr>
          <w:trHeight w:val="90"/>
        </w:trPr>
        <w:tc>
          <w:tcPr>
            <w:tcW w:w="1500" w:type="dxa"/>
            <w:vAlign w:val="bottom"/>
            <w:shd w:val="clear" w:color="auto" w:fill="CCEEFF"/>
          </w:tcPr>
          <w:p>
            <w:pPr>
              <w:ind w:left="100"/>
              <w:spacing w:after="0" w:line="90" w:lineRule="exact"/>
              <w:rPr>
                <w:sz w:val="20"/>
                <w:szCs w:val="20"/>
                <w:color w:val="auto"/>
              </w:rPr>
            </w:pPr>
            <w:r>
              <w:rPr>
                <w:rFonts w:ascii="Arial" w:cs="Arial" w:eastAsia="Arial" w:hAnsi="Arial"/>
                <w:sz w:val="10"/>
                <w:szCs w:val="10"/>
                <w:b w:val="1"/>
                <w:bCs w:val="1"/>
                <w:color w:val="auto"/>
              </w:rPr>
              <w:t>Total Control &amp; Affiliate</w:t>
            </w:r>
          </w:p>
        </w:tc>
        <w:tc>
          <w:tcPr>
            <w:tcW w:w="2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3,245</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142,404</w:t>
            </w:r>
          </w:p>
        </w:tc>
        <w:tc>
          <w:tcPr>
            <w:tcW w:w="10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3,847</w:t>
            </w:r>
          </w:p>
        </w:tc>
        <w:tc>
          <w:tcPr>
            <w:tcW w:w="10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vMerge w:val="restart"/>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7"/>
                <w:szCs w:val="7"/>
                <w:color w:val="auto"/>
              </w:rPr>
            </w:pPr>
          </w:p>
        </w:tc>
        <w:tc>
          <w:tcPr>
            <w:tcW w:w="160" w:type="dxa"/>
            <w:vAlign w:val="bottom"/>
            <w:vMerge w:val="restart"/>
            <w:shd w:val="clear" w:color="auto" w:fill="CCEEFF"/>
          </w:tcPr>
          <w:p>
            <w:pPr>
              <w:jc w:val="right"/>
              <w:ind w:right="28"/>
              <w:spacing w:after="0"/>
              <w:rPr>
                <w:sz w:val="20"/>
                <w:szCs w:val="20"/>
                <w:color w:val="auto"/>
              </w:rPr>
            </w:pPr>
            <w:r>
              <w:rPr>
                <w:rFonts w:ascii="Arial" w:cs="Arial" w:eastAsia="Arial" w:hAnsi="Arial"/>
                <w:sz w:val="11"/>
                <w:szCs w:val="11"/>
                <w:color w:val="auto"/>
                <w:w w:val="97"/>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456</w:t>
            </w:r>
          </w:p>
        </w:tc>
        <w:tc>
          <w:tcPr>
            <w:tcW w:w="80" w:type="dxa"/>
            <w:vAlign w:val="bottom"/>
            <w:shd w:val="clear" w:color="auto" w:fill="CCEEFF"/>
          </w:tcPr>
          <w:p>
            <w:pPr>
              <w:spacing w:after="0"/>
              <w:rPr>
                <w:sz w:val="7"/>
                <w:szCs w:val="7"/>
                <w:color w:val="auto"/>
              </w:rPr>
            </w:pPr>
          </w:p>
        </w:tc>
        <w:tc>
          <w:tcPr>
            <w:tcW w:w="240" w:type="dxa"/>
            <w:vAlign w:val="bottom"/>
            <w:vMerge w:val="restart"/>
            <w:shd w:val="clear" w:color="auto" w:fill="CCEEFF"/>
          </w:tcPr>
          <w:p>
            <w:pPr>
              <w:jc w:val="right"/>
              <w:ind w:right="108"/>
              <w:spacing w:after="0"/>
              <w:rPr>
                <w:sz w:val="20"/>
                <w:szCs w:val="20"/>
                <w:color w:val="auto"/>
              </w:rPr>
            </w:pPr>
            <w:r>
              <w:rPr>
                <w:rFonts w:ascii="Arial" w:cs="Arial" w:eastAsia="Arial" w:hAnsi="Arial"/>
                <w:sz w:val="11"/>
                <w:szCs w:val="11"/>
                <w:color w:val="auto"/>
                <w:w w:val="97"/>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146,707</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b w:val="1"/>
                <w:bCs w:val="1"/>
                <w:color w:val="auto"/>
              </w:rPr>
              <w:t>Investments</w:t>
            </w:r>
          </w:p>
        </w:tc>
        <w:tc>
          <w:tcPr>
            <w:tcW w:w="20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8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620" w:type="dxa"/>
            <w:vAlign w:val="bottom"/>
            <w:tcBorders>
              <w:bottom w:val="single" w:sz="8" w:color="auto"/>
            </w:tcBorders>
            <w:gridSpan w:val="2"/>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9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8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0" w:hanging="212"/>
        <w:spacing w:after="0"/>
        <w:tabs>
          <w:tab w:leader="none" w:pos="420"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 principal amount and ownership detail as shown in the Consolidated Schedules of Investments.</w:t>
      </w:r>
    </w:p>
    <w:p>
      <w:pPr>
        <w:spacing w:after="0" w:line="7" w:lineRule="exact"/>
        <w:rPr>
          <w:rFonts w:ascii="Arial" w:cs="Arial" w:eastAsia="Arial" w:hAnsi="Arial"/>
          <w:sz w:val="11"/>
          <w:szCs w:val="11"/>
          <w:color w:val="auto"/>
        </w:rPr>
      </w:pPr>
    </w:p>
    <w:p>
      <w:pPr>
        <w:ind w:left="420" w:hanging="212"/>
        <w:spacing w:after="0"/>
        <w:tabs>
          <w:tab w:leader="none" w:pos="420" w:val="left"/>
        </w:tabs>
        <w:numPr>
          <w:ilvl w:val="0"/>
          <w:numId w:val="65"/>
        </w:numPr>
        <w:rPr>
          <w:rFonts w:ascii="Arial" w:cs="Arial" w:eastAsia="Arial" w:hAnsi="Arial"/>
          <w:sz w:val="11"/>
          <w:szCs w:val="11"/>
          <w:color w:val="auto"/>
        </w:rPr>
      </w:pPr>
      <w:r>
        <w:rPr>
          <w:rFonts w:ascii="Arial" w:cs="Arial" w:eastAsia="Arial" w:hAnsi="Arial"/>
          <w:sz w:val="11"/>
          <w:szCs w:val="11"/>
          <w:color w:val="auto"/>
        </w:rPr>
        <w:t>Represents the total amount of interest or dividends credited to income for the portion of the year an investment was included in the Control or Affiliate categories, respectively.</w:t>
      </w:r>
    </w:p>
    <w:p>
      <w:pPr>
        <w:ind w:left="420" w:right="100" w:hanging="212"/>
        <w:spacing w:after="0" w:line="239" w:lineRule="auto"/>
        <w:tabs>
          <w:tab w:leader="none" w:pos="420" w:val="left"/>
        </w:tabs>
        <w:numPr>
          <w:ilvl w:val="0"/>
          <w:numId w:val="65"/>
        </w:numPr>
        <w:rPr>
          <w:rFonts w:ascii="Arial" w:cs="Arial" w:eastAsia="Arial" w:hAnsi="Arial"/>
          <w:sz w:val="11"/>
          <w:szCs w:val="11"/>
          <w:color w:val="auto"/>
        </w:rPr>
      </w:pPr>
      <w:r>
        <w:rPr>
          <w:rFonts w:ascii="Arial" w:cs="Arial" w:eastAsia="Arial" w:hAnsi="Arial"/>
          <w:sz w:val="11"/>
          <w:szCs w:val="11"/>
          <w:color w:val="auto"/>
        </w:rPr>
        <w:t>Gross additions include increases in the cost basis of investments resulting from new portfolio investments, follow-on investments, accrued PIK interest, and accretion of OID. Gross additions also include movement of an existing portfolio company into this category and out of a different category.</w:t>
      </w:r>
    </w:p>
    <w:p>
      <w:pPr>
        <w:ind w:left="420" w:hanging="212"/>
        <w:spacing w:after="0" w:line="239" w:lineRule="auto"/>
        <w:tabs>
          <w:tab w:leader="none" w:pos="420" w:val="left"/>
        </w:tabs>
        <w:numPr>
          <w:ilvl w:val="0"/>
          <w:numId w:val="65"/>
        </w:numPr>
        <w:rPr>
          <w:rFonts w:ascii="Arial" w:cs="Arial" w:eastAsia="Arial" w:hAnsi="Arial"/>
          <w:sz w:val="11"/>
          <w:szCs w:val="11"/>
          <w:color w:val="auto"/>
        </w:rPr>
      </w:pPr>
      <w:r>
        <w:rPr>
          <w:rFonts w:ascii="Arial" w:cs="Arial" w:eastAsia="Arial" w:hAnsi="Arial"/>
          <w:sz w:val="11"/>
          <w:szCs w:val="11"/>
          <w:color w:val="auto"/>
        </w:rPr>
        <w:t>Gross reductions include decreases in the cost basis of investments resulting from principal repayments or sales and the exchange of one or more existing securities for one or more new securities. Gross reductions also include movement of an existing portfolio company out of this category and into a different category.</w:t>
      </w:r>
    </w:p>
    <w:p>
      <w:pPr>
        <w:ind w:left="420" w:right="340" w:hanging="212"/>
        <w:spacing w:after="0" w:line="242" w:lineRule="auto"/>
        <w:tabs>
          <w:tab w:leader="none" w:pos="420"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260"/>
          </w:cols>
          <w:pgMar w:left="300" w:top="140" w:right="339" w:bottom="1440" w:gutter="0" w:footer="0" w:header="0"/>
        </w:sectPr>
      </w:pPr>
    </w:p>
    <w:bookmarkStart w:id="70" w:name="page71"/>
    <w:bookmarkEnd w:id="70"/>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The following discussion should be read in conjunction with our consolidated financial statements and the notes thereto appearing elsewhere in this Quarterly Report on Form 10-Q.</w:t>
      </w:r>
    </w:p>
    <w:p>
      <w:pPr>
        <w:spacing w:after="0" w:line="16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1"/>
          <w:szCs w:val="11"/>
          <w:i w:val="1"/>
          <w:iCs w:val="1"/>
          <w:color w:val="auto"/>
        </w:rPr>
        <w:t>The information contained herein may contain “forward-looking statements” based on our current expectations, assumptions and estimates about us and our industry. These forward-looking statements involve risks and uncertainties. Words such as “may,” “predict,” “will,” “continue,” “likely,” “would,” “could,” “should,” “expect,” “anticipate,” “potential,” “estimate,” “indicate,” “seek,” “believe,” “target,” “intend,” “plan,” or “project” and other similar expressions identify forward-looking statements. These risks include risks related to changes in the markets in which the Company invests; changes in the financial and lending markets; regulatory changes; tax treatment and general economic and business conditions; and uncertainties associated with the impact from the COVID-19 pandemic, including its impact on the global and U.S. capital markets and the global and U.S. economy, the length and duration of the COVID-19 outbreak in the United States as well as worldwide and the magnitude of the economic impact of that outbreak; the effect of the COVID-19 pandemic on our business prospects and the operational and financial performance of our portfolio companies, including our ability and their ability to achieve their respective objectives, and the effects of the disruptions caused by the COVID-19 pandemic on our ability to continue to effectively manage our business. In addition, any statements that refer to expectations, projections or other characterizations of future events or circumstances are forward-looking statements that are subject to risks, uncertainties and assumptions. Our actual results could differ materially from those we express in the forward-looking statements as a result of several factors more fully described in “Risk Factors” and elsewhere in our Form 10-K for the fiscal year ended March 31, 2021 and in this Form 10-Q. The forward-looking statements made in this Form 10-Q relate only to events as of the date on which the statements are made. You should read the following discussion in conjunction with the consolidated financial statements and related footnotes and other financial information included in our Form 10-K for the fiscal year ended March 31, 2021. We undertake no obligation to update publicly any forward-looking statements for any reason, whether as a result of new information, future events or otherwise, except as required by law.</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are an internally managed closed-end, non-diversified management investment company that has elected to be regulated as a BDC under the 1940 Act. We specialize in providing customized debt and equity financing to LMM companies and debt capital to UMM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 management teams and financial sponsors to provide flexible financing solutions to fund growth, changes of control, or other corporate events. We invest primarily in senior debt securities, secured by security interests in portfolio company assets. We also invest in equity interests in our portfolio companies alongside our debt securities.</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focus on investing in companies with histories of generating revenues and positive cash flow, established market positions and proven management teams with strong operating discipline. We primarily target senior debt and equity investments in LMM companies, as well as first and second lien loans in UMM companies. Our target LMM companies typically have annual EBITDA between $3.0 million and $20.0 million, and our LMM investments generally range in size from $10.0 million to $25.0 million. Our UMM investments generally include first and second lien loans in companies with EBITDA generally greater than $20.0 million, and our UMM investments typically range in size from $5.0 million to $15.0 million.</w:t>
      </w:r>
    </w:p>
    <w:p>
      <w:pPr>
        <w:spacing w:after="0" w:line="14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and equity participations.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Our LMM debt investments typically have a term of between five and seven years from the original investment date. We also often seek to invest in the equity securities of our LMM portfolio companies.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300"/>
          </w:cols>
          <w:pgMar w:left="300" w:top="140" w:right="299" w:bottom="1440" w:gutter="0" w:footer="0" w:header="0"/>
        </w:sectPr>
      </w:pPr>
    </w:p>
    <w:bookmarkStart w:id="71" w:name="page72"/>
    <w:bookmarkEnd w:id="71"/>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investments in UMM companies primarily consist of direct investments in or secondary purchases of interest bearing debt securities in privately held companies that are generally larger in size than the LMM companies included in our portfolio. Our UMM debt investments are generally secured by either a first or second priority lien on the assets of the portfolio company and typically have an expected duration of between three and seven years from the original investment date.</w:t>
      </w:r>
    </w:p>
    <w:p>
      <w:pPr>
        <w:spacing w:after="0" w:line="14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Because we are internally managed, we do not pay any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that are externally managed, and our internally managed structure allows us the opportunity to leverage our non-interest operating expenses as we grow our investment portfolio. For the three months ended June 30, 2021 and 2020, the ratio of our last twelve months ("LTM") operating expenses, excluding interest expense, as a percentage of our LTM average total assets was 2.32% and 2.59%,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COVID-19 Developments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outbreak of COVID-19 has severely impacted global economic activity and caused significant volatility and negative pressure in financial markets. The global impact of the COVID-19 outbreak has been rapidly evolving and has led to, and for an unknown period of time will continue to lead to, disruptions in local, regional, national and global markets and economies affected thereby, including the United States.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14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have been closely monitoring, and will continue to monitor, the impact of the COVID-19 pandemic and its impact on all aspects of our business, including how it will impact our portfolio companies, employees, due diligence and underwriting processes, and financial markets. Given the fluidity of the pandemic, we cannot estimate the long-term impact of COVID-19 on our business, future results of operations, financial position or cash flows at this time. Further, the operational and financial performance of the portfolio companies in which we make investments may be significantly impacted by COVID-19, which may in turn impact the valuation of our investments. We believe our portfolio companies have taken, and continue to take, immediate actions to effectively and efficiently respond to the challenges posed by COVID-19 and related orders imposed by state and local governments, including developing liquidity plans supported by internal cash reserves, and shareholder support. The extent to which our operations may be impacted by the COVID-19 pandemic will depend largely on future developments, which are highly uncertain and cannot be accurately predicted, including guidance from U.S. and international authorities, including federal, state and local public health authorities. Furthermore, the impacts of a potential worsening of global economic conditions and the continued disruptions to and volatility in the financial markets remain unknown.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USE OF ESTIMATES</w:t>
      </w:r>
    </w:p>
    <w:p>
      <w:pPr>
        <w:spacing w:after="0" w:line="17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 preparation of our consolidated financial statements in accordance with U.S. GAAP requires management to make certain estimates and assumptions that affect the reported amounts of assets and liabilities at the date of the consolidated financial statements and the reported amounts of revenues and expenses for the periods covered by the consolidated financial statements. We have identified investment valuation and revenue recognition as our most critical accounting estimates. On an on-going basis, we evaluate our estimates, including those related to the matters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of Investments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The most significant determination inherent in the preparation of our consolidated financial statements is the valuation of our investment portfolio and the related amounts of unrealized appreciation and depreciation. As of June 30, 2021 and March 31, 2021, our investment portfolio at fair value represented approximately 95.5% and 93.6% of our total assets, respectively. We are required to report our investments at fair value. We follow the provisions of Accounting Standards Codification, or ASC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xml:space="preserve"> ("ASC 820"). ASC 820 defines fair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300"/>
          </w:cols>
          <w:pgMar w:left="300" w:top="140" w:right="299" w:bottom="1440" w:gutter="0" w:footer="0" w:header="0"/>
        </w:sectPr>
      </w:pPr>
    </w:p>
    <w:bookmarkStart w:id="72" w:name="page73"/>
    <w:bookmarkEnd w:id="72"/>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value, establishes a framework for measuring fair value, establishes a fair value hierarchy based on the quality of inputs used to measure fair value, and enhances disclosure requirements for fair value measurements. ASC 820 requires us to assume that the portfolio investment is to be sold in the principal market to independent market participants, which may be a hypothetical market. See Note 4 — “Fair Value Measurements” in the notes to consolidated financial statements for a detailed discussion of our investment portfolio valuation process and procedures.</w:t>
      </w:r>
    </w:p>
    <w:p>
      <w:pPr>
        <w:spacing w:after="0" w:line="14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Due to the inherent uncertainty in the valuation process, our determination of fair value for our investment portfolio may differ materially from the values that would have been determined had a ready market for the securities actually existed. In addition, changes in the market environment, portfolio company performance, and other events may occur over the lives of the investments that may cause the gains or losses ultimately realized on these investments to be materially different than the valuations currently assigned. We determine the fair value of each individual investment and record changes in fair value as unrealized appreciation or depreciation.</w:t>
      </w:r>
    </w:p>
    <w:p>
      <w:pPr>
        <w:spacing w:after="0" w:line="12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Our Board of Directors is responsible for determining, in good faith, the fair value for our investment portfolio and our valuation procedures, consistent with 1940 Act requirements. Our Board of Directors believes that our investment portfolio as of June 30, 2021 and March 31, 2021 reflects the fair value as of those dates based on the markets in which we operate and other conditions in existence on those reporting dates.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and Dividend Income</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Interest and dividend income is recorded on an accrual basis to the extent amounts are expected to be collected. Dividend income is recognized on the date dividends are declared by the portfolio company or at the point an obligation exists for the portfolio company to make a distribution. Discounts/premiums received to par on loans purchased are capitalized and accreted or amortized into income over the life of the loan using the effective interest method. In accordance with our valuation policy, accrued interest and dividend income is evaluated quarterly for collectability. When we do not expect the debtor to be able to service all of its debt or other obligations, we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 If a loan or debt security’s status significantly improves regarding its ability to service debt or other obligations, it will be restored to accrual basis. As of June 30, 2021, we had two investments on non-accrual status, which represent approximately 1.8% of our total investment portfolio's fair value and approximately 2.4% of its cost. As of March 31, 2021, we did not have any investments on non-accrual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300"/>
          </w:cols>
          <w:pgMar w:left="300" w:top="140" w:right="299" w:bottom="1440" w:gutter="0" w:footer="0" w:header="0"/>
        </w:sectPr>
      </w:pPr>
    </w:p>
    <w:bookmarkStart w:id="73" w:name="page74"/>
    <w:bookmarkEnd w:id="73"/>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Standards</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March 2020, the FASB issued ASU 2020-04, "Reference rate reform (Topic 848)—Facilitation of the effects of reference rate reform on financial reporting." The amendments in this update provide optional expedients and exceptions for applying U.S. GAAP to certain contracts and hedging relationships that reference LIBOR or another reference rate expected to be discontinued due to reference rate reform and became effective upon issuance for all entities. The Company has agreements that have LIBOR as a reference rate with certain portfolio companies and certain lenders. Many of these agreements include language for choosing an alternative successor rate when LIBOR reference is no longer considered to be appropriate. With respect to other agreements, the Company intends to work with its portfolio companies and lenders to modify agreements to choose an alternative successor rate. Contract modifications are required to be evaluated in determining whether the modifications result in the establishment of new contracts or the continuation of existing contracts. The standard is effective as of March 12, 2020 through December 31, 2022 and the Company plans to apply the amendments in this update to account for contract modifications due to changes in reference rates. The Company does not believe that it will have a material impact on its consolidated financial statements or its disclosures.</w:t>
      </w:r>
    </w:p>
    <w:p>
      <w:pPr>
        <w:spacing w:after="0" w:line="14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November 2020, the SEC issued a final rule that modernized and simplifies Management's Discussion and Analysis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is currently evaluating the impact of the Amendments on its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PORTFOLIO COMPOSITION</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LMM investments consist of secured debt, equity warrants and direct equity investments in privately held, LMM companies generally based in the United States. Our LMM portfolio companies generally have annual EBITDA between $3.0 million and $20.0 million, and our LMM investments typically range in size from $5.0 million to $25.0 million. The LMM debt investments are typically secured by either a first or second priority lien on the assets of the portfolio company, generally bear interest at floating rates, and generally have a term of between five and seven years from the original investment date.</w:t>
      </w:r>
    </w:p>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UMM investments consist of direct investments in or secondary purchases of interest-bearing debt securities in privately held companies based in the United States that are generally larger in size than the LMM companies included in our portfolio with EBITDA generally greater than $20.0 million. Our UMM investments typically range in size from $5.0 million to $15.0 million. Our UMM debt investments are generally secured by ether a first or second priority lien on the assets of the portfolio company and typically have a term of between three and seven years from the original investment date.</w:t>
      </w:r>
    </w:p>
    <w:p>
      <w:pPr>
        <w:spacing w:after="0" w:line="14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total value of our investment portfolio was $798.6 million as of June 30, 2021, as compared to $688.4 million as of March 31, 2021. As of June 30, 2021, we had investments in 62 portfolio companies with an aggregate cost of $806.3 million. As of March 31, 2021, we had investments in 55 portfolio companies with an aggregate cost of $703.6 million.</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June 30, 2021 and March 31, 2021, approximately $644.4 million, or 96.0%, and $546.6 million, or 95.5%, respectively, of our debt investment portfolio (at fair value) bore interest at floating rates, of which 100.0% were subject to contractual minimum interest rates. As of June 30, 2021 and March 31, 2021, the weighted average contractual minimum interest rate is 1.27% and 1.30%, respectively. As of June 30, 2021 and March 31, 2021, approximately $26.8 million, or 4.0%, and $26.0 million, or 4.5%, respectively, of our debt investment portfolio (at fair value) bore interest at fixed rates.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300"/>
          </w:cols>
          <w:pgMar w:left="300" w:top="140" w:right="299" w:bottom="1440" w:gutter="0" w:footer="0" w:header="0"/>
        </w:sectPr>
      </w:pPr>
    </w:p>
    <w:bookmarkStart w:id="74" w:name="page75"/>
    <w:bookmarkEnd w:id="74"/>
    <w:p>
      <w:pPr>
        <w:ind w:left="40"/>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tables provide a summary of our investments in LMM and UMM companies as of June 30, 2021 and March 31, 2021 (excluding our investment in I-45 SLF LLC):</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79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As of June 30, 2021</w:t>
            </w:r>
          </w:p>
        </w:tc>
        <w:tc>
          <w:tcPr>
            <w:tcW w:w="960" w:type="dxa"/>
            <w:vAlign w:val="bottom"/>
            <w:tcBorders>
              <w:bottom w:val="single" w:sz="8" w:color="auto"/>
            </w:tcBorders>
          </w:tcPr>
          <w:p>
            <w:pPr>
              <w:spacing w:after="0"/>
              <w:rPr>
                <w:sz w:val="11"/>
                <w:szCs w:val="11"/>
                <w:color w:val="auto"/>
              </w:rPr>
            </w:pPr>
          </w:p>
        </w:tc>
      </w:tr>
      <w:tr>
        <w:trPr>
          <w:trHeight w:val="118"/>
        </w:trPr>
        <w:tc>
          <w:tcPr>
            <w:tcW w:w="7920" w:type="dxa"/>
            <w:vAlign w:val="bottom"/>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LMM (a)</w:t>
            </w: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UMM</w:t>
            </w:r>
          </w:p>
        </w:tc>
      </w:tr>
      <w:tr>
        <w:trPr>
          <w:trHeight w:val="115"/>
        </w:trPr>
        <w:tc>
          <w:tcPr>
            <w:tcW w:w="7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7"/>
              </w:rPr>
              <w:t>(dollars in thousands)</w:t>
            </w:r>
          </w:p>
        </w:tc>
        <w:tc>
          <w:tcPr>
            <w:tcW w:w="960" w:type="dxa"/>
            <w:vAlign w:val="bottom"/>
          </w:tcPr>
          <w:p>
            <w:pPr>
              <w:spacing w:after="0"/>
              <w:rPr>
                <w:sz w:val="10"/>
                <w:szCs w:val="10"/>
                <w:color w:val="auto"/>
              </w:rPr>
            </w:pPr>
          </w:p>
        </w:tc>
      </w:tr>
      <w:tr>
        <w:trPr>
          <w:trHeight w:val="154"/>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Number of portfolio companies</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Fair value</w:t>
            </w:r>
          </w:p>
        </w:tc>
        <w:tc>
          <w:tcPr>
            <w:tcW w:w="920" w:type="dxa"/>
            <w:vAlign w:val="bottom"/>
          </w:tcPr>
          <w:p>
            <w:pPr>
              <w:jc w:val="right"/>
              <w:ind w:right="81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42"/>
              <w:spacing w:after="0"/>
              <w:rPr>
                <w:sz w:val="20"/>
                <w:szCs w:val="20"/>
                <w:color w:val="auto"/>
              </w:rPr>
            </w:pPr>
            <w:r>
              <w:rPr>
                <w:rFonts w:ascii="Arial" w:cs="Arial" w:eastAsia="Arial" w:hAnsi="Arial"/>
                <w:sz w:val="12"/>
                <w:szCs w:val="12"/>
                <w:color w:val="auto"/>
                <w:w w:val="87"/>
              </w:rPr>
              <w:t>641,940</w:t>
            </w:r>
          </w:p>
        </w:tc>
        <w:tc>
          <w:tcPr>
            <w:tcW w:w="56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95,435</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Cost</w:t>
            </w: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7"/>
              </w:rPr>
              <w:t>635,315</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94,971</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 of portfolio at cost - debt</w:t>
            </w:r>
          </w:p>
        </w:tc>
        <w:tc>
          <w:tcPr>
            <w:tcW w:w="92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92.9 %</w:t>
            </w:r>
          </w:p>
        </w:tc>
        <w:tc>
          <w:tcPr>
            <w:tcW w:w="5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93.2 %</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 of portfolio at cost - equity</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7.1 %</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6.8 %</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 of debt investments at cost secured by first lien</w:t>
            </w:r>
          </w:p>
        </w:tc>
        <w:tc>
          <w:tcPr>
            <w:tcW w:w="92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84.7 %</w:t>
            </w:r>
          </w:p>
        </w:tc>
        <w:tc>
          <w:tcPr>
            <w:tcW w:w="5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78.6 %</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annual effective yield (b)</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10.1 %</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9.2 %</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Weighted average EBITDA (c)</w:t>
            </w:r>
          </w:p>
        </w:tc>
        <w:tc>
          <w:tcPr>
            <w:tcW w:w="920" w:type="dxa"/>
            <w:vAlign w:val="bottom"/>
          </w:tcPr>
          <w:p>
            <w:pPr>
              <w:jc w:val="right"/>
              <w:ind w:right="81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42"/>
              <w:spacing w:after="0"/>
              <w:rPr>
                <w:sz w:val="20"/>
                <w:szCs w:val="20"/>
                <w:color w:val="auto"/>
              </w:rPr>
            </w:pPr>
            <w:r>
              <w:rPr>
                <w:rFonts w:ascii="Arial" w:cs="Arial" w:eastAsia="Arial" w:hAnsi="Arial"/>
                <w:sz w:val="12"/>
                <w:szCs w:val="12"/>
                <w:color w:val="auto"/>
              </w:rPr>
              <w:t>10,598</w:t>
            </w:r>
          </w:p>
        </w:tc>
        <w:tc>
          <w:tcPr>
            <w:tcW w:w="56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61,841</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leverage through CSWC security (d)</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4.2x</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4.0x</w:t>
            </w:r>
          </w:p>
        </w:tc>
      </w:tr>
    </w:tbl>
    <w:p>
      <w:pPr>
        <w:spacing w:after="0" w:line="220" w:lineRule="exact"/>
        <w:rPr>
          <w:sz w:val="20"/>
          <w:szCs w:val="20"/>
          <w:color w:val="auto"/>
        </w:rPr>
      </w:pPr>
    </w:p>
    <w:p>
      <w:pPr>
        <w:ind w:left="240" w:hanging="208"/>
        <w:spacing w:after="0"/>
        <w:tabs>
          <w:tab w:leader="none" w:pos="240" w:val="left"/>
        </w:tabs>
        <w:numPr>
          <w:ilvl w:val="0"/>
          <w:numId w:val="66"/>
        </w:numPr>
        <w:rPr>
          <w:rFonts w:ascii="Arial" w:cs="Arial" w:eastAsia="Arial" w:hAnsi="Arial"/>
          <w:sz w:val="11"/>
          <w:szCs w:val="11"/>
          <w:color w:val="auto"/>
        </w:rPr>
      </w:pPr>
      <w:r>
        <w:rPr>
          <w:rFonts w:ascii="Arial" w:cs="Arial" w:eastAsia="Arial" w:hAnsi="Arial"/>
          <w:sz w:val="11"/>
          <w:szCs w:val="11"/>
          <w:color w:val="auto"/>
        </w:rPr>
        <w:t>At June 30, 2021, we had equity ownership in approximately 57.1% of our LMM investments.</w:t>
      </w:r>
    </w:p>
    <w:p>
      <w:pPr>
        <w:spacing w:after="0" w:line="89" w:lineRule="exact"/>
        <w:rPr>
          <w:rFonts w:ascii="Arial" w:cs="Arial" w:eastAsia="Arial" w:hAnsi="Arial"/>
          <w:sz w:val="11"/>
          <w:szCs w:val="11"/>
          <w:color w:val="auto"/>
        </w:rPr>
      </w:pPr>
    </w:p>
    <w:p>
      <w:pPr>
        <w:jc w:val="both"/>
        <w:ind w:left="240" w:hanging="208"/>
        <w:spacing w:after="0" w:line="248" w:lineRule="auto"/>
        <w:tabs>
          <w:tab w:leader="none" w:pos="240" w:val="left"/>
        </w:tabs>
        <w:numPr>
          <w:ilvl w:val="0"/>
          <w:numId w:val="66"/>
        </w:numPr>
        <w:rPr>
          <w:rFonts w:ascii="Arial" w:cs="Arial" w:eastAsia="Arial" w:hAnsi="Arial"/>
          <w:sz w:val="11"/>
          <w:szCs w:val="11"/>
          <w:color w:val="auto"/>
        </w:rPr>
      </w:pPr>
      <w:r>
        <w:rPr>
          <w:rFonts w:ascii="Arial" w:cs="Arial" w:eastAsia="Arial" w:hAnsi="Arial"/>
          <w:sz w:val="11"/>
          <w:szCs w:val="11"/>
          <w:color w:val="auto"/>
        </w:rPr>
        <w:t>The weighted-average annual effective yields were computed using the effective interest rates during the quarter for all debt investments at cost as of June 30, 2021, including accretion of original issue discount but excluding fees payable upon repayment of the debt instruments. As of June 30, 2021, there were two investments on non-accrual status. Weighted-average annual effective yield is not a return to shareholders and is higher than what an investor in shares in our common stock will realize on its investment because it does not reflect our expenses or any sales load paid by an investor.</w:t>
      </w:r>
    </w:p>
    <w:p>
      <w:pPr>
        <w:spacing w:after="0" w:line="84" w:lineRule="exact"/>
        <w:rPr>
          <w:rFonts w:ascii="Arial" w:cs="Arial" w:eastAsia="Arial" w:hAnsi="Arial"/>
          <w:sz w:val="11"/>
          <w:szCs w:val="11"/>
          <w:color w:val="auto"/>
        </w:rPr>
      </w:pPr>
    </w:p>
    <w:p>
      <w:pPr>
        <w:ind w:left="240" w:hanging="208"/>
        <w:spacing w:after="0" w:line="257" w:lineRule="auto"/>
        <w:tabs>
          <w:tab w:leader="none" w:pos="234" w:val="left"/>
        </w:tabs>
        <w:numPr>
          <w:ilvl w:val="0"/>
          <w:numId w:val="66"/>
        </w:numPr>
        <w:rPr>
          <w:rFonts w:ascii="Arial" w:cs="Arial" w:eastAsia="Arial" w:hAnsi="Arial"/>
          <w:sz w:val="11"/>
          <w:szCs w:val="11"/>
          <w:color w:val="auto"/>
        </w:rPr>
      </w:pPr>
      <w:r>
        <w:rPr>
          <w:rFonts w:ascii="Arial" w:cs="Arial" w:eastAsia="Arial" w:hAnsi="Arial"/>
          <w:sz w:val="11"/>
          <w:szCs w:val="11"/>
          <w:color w:val="auto"/>
        </w:rPr>
        <w:t>Weighted average EBITDA metric is calculated using investment cost basis weighting. For the quarter ended June 30, 2021, three LMM portfolio companies and one UMM portfolio company are excluded from this calculation due to a reported debt to adjusted EBITDA ratio that was not meaningful.</w:t>
      </w:r>
    </w:p>
    <w:p>
      <w:pPr>
        <w:spacing w:after="0" w:line="80" w:lineRule="exact"/>
        <w:rPr>
          <w:rFonts w:ascii="Arial" w:cs="Arial" w:eastAsia="Arial" w:hAnsi="Arial"/>
          <w:sz w:val="11"/>
          <w:szCs w:val="11"/>
          <w:color w:val="auto"/>
        </w:rPr>
      </w:pPr>
    </w:p>
    <w:p>
      <w:pPr>
        <w:jc w:val="both"/>
        <w:ind w:left="240" w:hanging="208"/>
        <w:spacing w:after="0" w:line="285" w:lineRule="auto"/>
        <w:tabs>
          <w:tab w:leader="none" w:pos="240" w:val="left"/>
        </w:tabs>
        <w:numPr>
          <w:ilvl w:val="0"/>
          <w:numId w:val="66"/>
        </w:numPr>
        <w:rPr>
          <w:rFonts w:ascii="Arial" w:cs="Arial" w:eastAsia="Arial" w:hAnsi="Arial"/>
          <w:sz w:val="10"/>
          <w:szCs w:val="10"/>
          <w:color w:val="auto"/>
        </w:rPr>
      </w:pPr>
      <w:r>
        <w:rPr>
          <w:rFonts w:ascii="Arial" w:cs="Arial" w:eastAsia="Arial" w:hAnsi="Arial"/>
          <w:sz w:val="10"/>
          <w:szCs w:val="10"/>
          <w:color w:val="auto"/>
        </w:rPr>
        <w:t>Includes CSWC debt investments only. Calculated as the amount of each portfolio company’s debt (including CSWC’s position and debt senior or pari passu to CSWC’s position, but excluding debt subordinated to CSWC’s position) in the capital structure divided by each portfolio company’s adjusted EBITDA. Weighted average leverage is calculated using investment cost basis weighting. Management uses this metric as a guide to evaluate relative risk of its position in each portfolio debt investment. For the quarter ended June 30, 2021, three LMM portfolio companies and one UMM portfolio company are excluded from this calculation due to a reported debt to adjusted EBITDA ratio that was not meaningful.</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90"/>
              </w:rPr>
              <w:t>As of March 31, 2021</w:t>
            </w:r>
          </w:p>
        </w:tc>
        <w:tc>
          <w:tcPr>
            <w:tcW w:w="1000" w:type="dxa"/>
            <w:vAlign w:val="bottom"/>
            <w:tcBorders>
              <w:bottom w:val="single" w:sz="8" w:color="auto"/>
            </w:tcBorders>
          </w:tcPr>
          <w:p>
            <w:pPr>
              <w:spacing w:after="0"/>
              <w:rPr>
                <w:sz w:val="11"/>
                <w:szCs w:val="11"/>
                <w:color w:val="auto"/>
              </w:rPr>
            </w:pPr>
          </w:p>
        </w:tc>
      </w:tr>
      <w:tr>
        <w:trPr>
          <w:trHeight w:val="118"/>
        </w:trPr>
        <w:tc>
          <w:tcPr>
            <w:tcW w:w="2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LMM (a)</w:t>
            </w:r>
          </w:p>
        </w:tc>
        <w:tc>
          <w:tcPr>
            <w:tcW w:w="10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rPr>
              <w:t>UMM</w:t>
            </w:r>
          </w:p>
        </w:tc>
      </w:tr>
      <w:tr>
        <w:trPr>
          <w:trHeight w:val="114"/>
        </w:trPr>
        <w:tc>
          <w:tcPr>
            <w:tcW w:w="2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jc w:val="right"/>
              <w:ind w:right="22"/>
              <w:spacing w:after="0" w:line="114" w:lineRule="exact"/>
              <w:rPr>
                <w:sz w:val="20"/>
                <w:szCs w:val="20"/>
                <w:color w:val="auto"/>
              </w:rPr>
            </w:pPr>
            <w:r>
              <w:rPr>
                <w:rFonts w:ascii="Arial" w:cs="Arial" w:eastAsia="Arial" w:hAnsi="Arial"/>
                <w:sz w:val="10"/>
                <w:szCs w:val="10"/>
                <w:b w:val="1"/>
                <w:bCs w:val="1"/>
                <w:color w:val="auto"/>
                <w:w w:val="88"/>
              </w:rPr>
              <w:t>(dollars in thousands)</w:t>
            </w:r>
          </w:p>
        </w:tc>
        <w:tc>
          <w:tcPr>
            <w:tcW w:w="1000" w:type="dxa"/>
            <w:vAlign w:val="bottom"/>
          </w:tcPr>
          <w:p>
            <w:pPr>
              <w:spacing w:after="0"/>
              <w:rPr>
                <w:sz w:val="9"/>
                <w:szCs w:val="9"/>
                <w:color w:val="auto"/>
              </w:rPr>
            </w:pPr>
          </w:p>
        </w:tc>
      </w:tr>
      <w:tr>
        <w:trPr>
          <w:trHeight w:val="156"/>
        </w:trPr>
        <w:tc>
          <w:tcPr>
            <w:tcW w:w="5280" w:type="dxa"/>
            <w:vAlign w:val="bottom"/>
            <w:gridSpan w:val="2"/>
          </w:tcPr>
          <w:p>
            <w:pPr>
              <w:spacing w:after="0"/>
              <w:rPr>
                <w:sz w:val="20"/>
                <w:szCs w:val="20"/>
                <w:color w:val="auto"/>
              </w:rPr>
            </w:pPr>
            <w:r>
              <w:rPr>
                <w:rFonts w:ascii="Arial" w:cs="Arial" w:eastAsia="Arial" w:hAnsi="Arial"/>
                <w:sz w:val="12"/>
                <w:szCs w:val="12"/>
                <w:color w:val="auto"/>
              </w:rPr>
              <w:t>Number of portfolio companies</w:t>
            </w:r>
          </w:p>
        </w:tc>
        <w:tc>
          <w:tcPr>
            <w:tcW w:w="2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jc w:val="right"/>
              <w:ind w:right="422"/>
              <w:spacing w:after="0"/>
              <w:rPr>
                <w:sz w:val="20"/>
                <w:szCs w:val="20"/>
                <w:color w:val="auto"/>
              </w:rPr>
            </w:pPr>
            <w:r>
              <w:rPr>
                <w:rFonts w:ascii="Arial" w:cs="Arial" w:eastAsia="Arial" w:hAnsi="Arial"/>
                <w:sz w:val="12"/>
                <w:szCs w:val="12"/>
                <w:color w:val="auto"/>
              </w:rPr>
              <w:t>44</w:t>
            </w:r>
          </w:p>
        </w:tc>
        <w:tc>
          <w:tcPr>
            <w:tcW w:w="10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53"/>
        </w:trPr>
        <w:tc>
          <w:tcPr>
            <w:tcW w:w="5280" w:type="dxa"/>
            <w:vAlign w:val="bottom"/>
            <w:gridSpan w:val="2"/>
          </w:tcPr>
          <w:p>
            <w:pPr>
              <w:spacing w:after="0"/>
              <w:rPr>
                <w:sz w:val="20"/>
                <w:szCs w:val="20"/>
                <w:color w:val="auto"/>
              </w:rPr>
            </w:pPr>
            <w:r>
              <w:rPr>
                <w:rFonts w:ascii="Arial" w:cs="Arial" w:eastAsia="Arial" w:hAnsi="Arial"/>
                <w:sz w:val="12"/>
                <w:szCs w:val="12"/>
                <w:color w:val="auto"/>
              </w:rPr>
              <w:t>Fair value</w:t>
            </w:r>
          </w:p>
        </w:tc>
        <w:tc>
          <w:tcPr>
            <w:tcW w:w="28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1020" w:type="dxa"/>
            <w:vAlign w:val="bottom"/>
          </w:tcPr>
          <w:p>
            <w:pPr>
              <w:jc w:val="right"/>
              <w:ind w:right="462"/>
              <w:spacing w:after="0"/>
              <w:rPr>
                <w:sz w:val="20"/>
                <w:szCs w:val="20"/>
                <w:color w:val="auto"/>
              </w:rPr>
            </w:pPr>
            <w:r>
              <w:rPr>
                <w:rFonts w:ascii="Arial" w:cs="Arial" w:eastAsia="Arial" w:hAnsi="Arial"/>
                <w:sz w:val="12"/>
                <w:szCs w:val="12"/>
                <w:color w:val="auto"/>
                <w:w w:val="95"/>
              </w:rPr>
              <w:t>554,199$</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77,075</w:t>
            </w:r>
          </w:p>
        </w:tc>
      </w:tr>
      <w:tr>
        <w:trPr>
          <w:trHeight w:val="153"/>
        </w:trPr>
        <w:tc>
          <w:tcPr>
            <w:tcW w:w="200" w:type="dxa"/>
            <w:vAlign w:val="bottom"/>
          </w:tcPr>
          <w:p>
            <w:pPr>
              <w:spacing w:after="0"/>
              <w:rPr>
                <w:sz w:val="20"/>
                <w:szCs w:val="20"/>
                <w:color w:val="auto"/>
              </w:rPr>
            </w:pPr>
            <w:r>
              <w:rPr>
                <w:rFonts w:ascii="Arial" w:cs="Arial" w:eastAsia="Arial" w:hAnsi="Arial"/>
                <w:sz w:val="12"/>
                <w:szCs w:val="12"/>
                <w:color w:val="auto"/>
                <w:w w:val="72"/>
              </w:rPr>
              <w:t>Cost</w:t>
            </w:r>
          </w:p>
        </w:tc>
        <w:tc>
          <w:tcPr>
            <w:tcW w:w="5080" w:type="dxa"/>
            <w:vAlign w:val="bottom"/>
            <w:shd w:val="clear" w:color="auto" w:fill="CCEEFF"/>
          </w:tcPr>
          <w:p>
            <w:pPr>
              <w:spacing w:after="0"/>
              <w:rPr>
                <w:sz w:val="13"/>
                <w:szCs w:val="13"/>
                <w:color w:val="auto"/>
              </w:rPr>
            </w:pPr>
          </w:p>
        </w:tc>
        <w:tc>
          <w:tcPr>
            <w:tcW w:w="28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62"/>
              <w:spacing w:after="0"/>
              <w:rPr>
                <w:sz w:val="20"/>
                <w:szCs w:val="20"/>
                <w:color w:val="auto"/>
              </w:rPr>
            </w:pPr>
            <w:r>
              <w:rPr>
                <w:rFonts w:ascii="Arial" w:cs="Arial" w:eastAsia="Arial" w:hAnsi="Arial"/>
                <w:sz w:val="12"/>
                <w:szCs w:val="12"/>
                <w:color w:val="auto"/>
                <w:w w:val="95"/>
              </w:rPr>
              <w:t>551,144$</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79,613</w:t>
            </w:r>
          </w:p>
        </w:tc>
      </w:tr>
      <w:tr>
        <w:trPr>
          <w:trHeight w:val="153"/>
        </w:trPr>
        <w:tc>
          <w:tcPr>
            <w:tcW w:w="5280" w:type="dxa"/>
            <w:vAlign w:val="bottom"/>
            <w:gridSpan w:val="2"/>
          </w:tcPr>
          <w:p>
            <w:pPr>
              <w:spacing w:after="0"/>
              <w:rPr>
                <w:sz w:val="20"/>
                <w:szCs w:val="20"/>
                <w:color w:val="auto"/>
              </w:rPr>
            </w:pPr>
            <w:r>
              <w:rPr>
                <w:rFonts w:ascii="Arial" w:cs="Arial" w:eastAsia="Arial" w:hAnsi="Arial"/>
                <w:sz w:val="12"/>
                <w:szCs w:val="12"/>
                <w:color w:val="auto"/>
              </w:rPr>
              <w:t>% of portfolio at cost - debt</w:t>
            </w:r>
          </w:p>
        </w:tc>
        <w:tc>
          <w:tcPr>
            <w:tcW w:w="2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jc w:val="right"/>
              <w:ind w:right="422"/>
              <w:spacing w:after="0"/>
              <w:rPr>
                <w:sz w:val="20"/>
                <w:szCs w:val="20"/>
                <w:color w:val="auto"/>
              </w:rPr>
            </w:pPr>
            <w:r>
              <w:rPr>
                <w:rFonts w:ascii="Arial" w:cs="Arial" w:eastAsia="Arial" w:hAnsi="Arial"/>
                <w:sz w:val="12"/>
                <w:szCs w:val="12"/>
                <w:color w:val="auto"/>
              </w:rPr>
              <w:t>92.%4</w:t>
            </w:r>
          </w:p>
        </w:tc>
        <w:tc>
          <w:tcPr>
            <w:tcW w:w="1000" w:type="dxa"/>
            <w:vAlign w:val="bottom"/>
          </w:tcPr>
          <w:p>
            <w:pPr>
              <w:jc w:val="right"/>
              <w:spacing w:after="0"/>
              <w:rPr>
                <w:sz w:val="20"/>
                <w:szCs w:val="20"/>
                <w:color w:val="auto"/>
              </w:rPr>
            </w:pPr>
            <w:r>
              <w:rPr>
                <w:rFonts w:ascii="Arial" w:cs="Arial" w:eastAsia="Arial" w:hAnsi="Arial"/>
                <w:sz w:val="12"/>
                <w:szCs w:val="12"/>
                <w:color w:val="auto"/>
              </w:rPr>
              <w:t>91.8%</w:t>
            </w:r>
          </w:p>
        </w:tc>
      </w:tr>
      <w:tr>
        <w:trPr>
          <w:trHeight w:val="153"/>
        </w:trPr>
        <w:tc>
          <w:tcPr>
            <w:tcW w:w="200" w:type="dxa"/>
            <w:vAlign w:val="bottom"/>
          </w:tcPr>
          <w:p>
            <w:pPr>
              <w:spacing w:after="0"/>
              <w:rPr>
                <w:sz w:val="20"/>
                <w:szCs w:val="20"/>
                <w:color w:val="auto"/>
              </w:rPr>
            </w:pPr>
            <w:r>
              <w:rPr>
                <w:rFonts w:ascii="Arial" w:cs="Arial" w:eastAsia="Arial" w:hAnsi="Arial"/>
                <w:sz w:val="12"/>
                <w:szCs w:val="12"/>
                <w:color w:val="auto"/>
                <w:w w:val="74"/>
              </w:rPr>
              <w:t>% of</w:t>
            </w:r>
          </w:p>
        </w:tc>
        <w:tc>
          <w:tcPr>
            <w:tcW w:w="5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portfolio at cost - equity</w:t>
            </w:r>
          </w:p>
        </w:tc>
        <w:tc>
          <w:tcPr>
            <w:tcW w:w="28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22"/>
              <w:spacing w:after="0"/>
              <w:rPr>
                <w:sz w:val="20"/>
                <w:szCs w:val="20"/>
                <w:color w:val="auto"/>
              </w:rPr>
            </w:pPr>
            <w:r>
              <w:rPr>
                <w:rFonts w:ascii="Arial" w:cs="Arial" w:eastAsia="Arial" w:hAnsi="Arial"/>
                <w:sz w:val="12"/>
                <w:szCs w:val="12"/>
                <w:color w:val="auto"/>
              </w:rPr>
              <w:t>7.%6</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r>
      <w:tr>
        <w:trPr>
          <w:trHeight w:val="153"/>
        </w:trPr>
        <w:tc>
          <w:tcPr>
            <w:tcW w:w="5280" w:type="dxa"/>
            <w:vAlign w:val="bottom"/>
            <w:gridSpan w:val="2"/>
          </w:tcPr>
          <w:p>
            <w:pPr>
              <w:spacing w:after="0"/>
              <w:rPr>
                <w:sz w:val="20"/>
                <w:szCs w:val="20"/>
                <w:color w:val="auto"/>
              </w:rPr>
            </w:pPr>
            <w:r>
              <w:rPr>
                <w:rFonts w:ascii="Arial" w:cs="Arial" w:eastAsia="Arial" w:hAnsi="Arial"/>
                <w:sz w:val="12"/>
                <w:szCs w:val="12"/>
                <w:color w:val="auto"/>
              </w:rPr>
              <w:t>% of debt investments at cost secured by first lien</w:t>
            </w:r>
          </w:p>
        </w:tc>
        <w:tc>
          <w:tcPr>
            <w:tcW w:w="2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jc w:val="right"/>
              <w:ind w:right="422"/>
              <w:spacing w:after="0"/>
              <w:rPr>
                <w:sz w:val="20"/>
                <w:szCs w:val="20"/>
                <w:color w:val="auto"/>
              </w:rPr>
            </w:pPr>
            <w:r>
              <w:rPr>
                <w:rFonts w:ascii="Arial" w:cs="Arial" w:eastAsia="Arial" w:hAnsi="Arial"/>
                <w:sz w:val="12"/>
                <w:szCs w:val="12"/>
                <w:color w:val="auto"/>
              </w:rPr>
              <w:t>85.%9</w:t>
            </w:r>
          </w:p>
        </w:tc>
        <w:tc>
          <w:tcPr>
            <w:tcW w:w="1000" w:type="dxa"/>
            <w:vAlign w:val="bottom"/>
          </w:tcPr>
          <w:p>
            <w:pPr>
              <w:jc w:val="right"/>
              <w:spacing w:after="0"/>
              <w:rPr>
                <w:sz w:val="20"/>
                <w:szCs w:val="20"/>
                <w:color w:val="auto"/>
              </w:rPr>
            </w:pPr>
            <w:r>
              <w:rPr>
                <w:rFonts w:ascii="Arial" w:cs="Arial" w:eastAsia="Arial" w:hAnsi="Arial"/>
                <w:sz w:val="12"/>
                <w:szCs w:val="12"/>
                <w:color w:val="auto"/>
              </w:rPr>
              <w:t>71.6%</w:t>
            </w:r>
          </w:p>
        </w:tc>
      </w:tr>
      <w:tr>
        <w:trPr>
          <w:trHeight w:val="153"/>
        </w:trPr>
        <w:tc>
          <w:tcPr>
            <w:tcW w:w="5280" w:type="dxa"/>
            <w:vAlign w:val="bottom"/>
            <w:gridSpan w:val="2"/>
          </w:tcPr>
          <w:p>
            <w:pPr>
              <w:spacing w:after="0"/>
              <w:rPr>
                <w:sz w:val="20"/>
                <w:szCs w:val="20"/>
                <w:color w:val="auto"/>
              </w:rPr>
            </w:pPr>
            <w:r>
              <w:rPr>
                <w:rFonts w:ascii="Arial" w:cs="Arial" w:eastAsia="Arial" w:hAnsi="Arial"/>
                <w:sz w:val="12"/>
                <w:szCs w:val="12"/>
                <w:color w:val="auto"/>
              </w:rPr>
              <w:t>Weighted average annual effective yield (b)</w:t>
            </w:r>
          </w:p>
        </w:tc>
        <w:tc>
          <w:tcPr>
            <w:tcW w:w="2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jc w:val="right"/>
              <w:ind w:right="422"/>
              <w:spacing w:after="0"/>
              <w:rPr>
                <w:sz w:val="20"/>
                <w:szCs w:val="20"/>
                <w:color w:val="auto"/>
              </w:rPr>
            </w:pPr>
            <w:r>
              <w:rPr>
                <w:rFonts w:ascii="Arial" w:cs="Arial" w:eastAsia="Arial" w:hAnsi="Arial"/>
                <w:sz w:val="12"/>
                <w:szCs w:val="12"/>
                <w:color w:val="auto"/>
              </w:rPr>
              <w:t>10.%8</w:t>
            </w:r>
          </w:p>
        </w:tc>
        <w:tc>
          <w:tcPr>
            <w:tcW w:w="100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153"/>
        </w:trPr>
        <w:tc>
          <w:tcPr>
            <w:tcW w:w="5280" w:type="dxa"/>
            <w:vAlign w:val="bottom"/>
            <w:gridSpan w:val="2"/>
          </w:tcPr>
          <w:p>
            <w:pPr>
              <w:spacing w:after="0"/>
              <w:rPr>
                <w:sz w:val="20"/>
                <w:szCs w:val="20"/>
                <w:color w:val="auto"/>
              </w:rPr>
            </w:pPr>
            <w:r>
              <w:rPr>
                <w:rFonts w:ascii="Arial" w:cs="Arial" w:eastAsia="Arial" w:hAnsi="Arial"/>
                <w:sz w:val="12"/>
                <w:szCs w:val="12"/>
                <w:color w:val="auto"/>
              </w:rPr>
              <w:t>Weighted average EBITDA (c)</w:t>
            </w:r>
          </w:p>
        </w:tc>
        <w:tc>
          <w:tcPr>
            <w:tcW w:w="28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1020" w:type="dxa"/>
            <w:vAlign w:val="bottom"/>
          </w:tcPr>
          <w:p>
            <w:pPr>
              <w:jc w:val="right"/>
              <w:ind w:right="462"/>
              <w:spacing w:after="0"/>
              <w:rPr>
                <w:sz w:val="20"/>
                <w:szCs w:val="20"/>
                <w:color w:val="auto"/>
              </w:rPr>
            </w:pPr>
            <w:r>
              <w:rPr>
                <w:rFonts w:ascii="Arial" w:cs="Arial" w:eastAsia="Arial" w:hAnsi="Arial"/>
                <w:sz w:val="12"/>
                <w:szCs w:val="12"/>
                <w:color w:val="auto"/>
              </w:rPr>
              <w:t>9,883$</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69,988</w:t>
            </w:r>
          </w:p>
        </w:tc>
      </w:tr>
      <w:tr>
        <w:trPr>
          <w:trHeight w:val="153"/>
        </w:trPr>
        <w:tc>
          <w:tcPr>
            <w:tcW w:w="5280" w:type="dxa"/>
            <w:vAlign w:val="bottom"/>
            <w:gridSpan w:val="2"/>
          </w:tcPr>
          <w:p>
            <w:pPr>
              <w:spacing w:after="0"/>
              <w:rPr>
                <w:sz w:val="20"/>
                <w:szCs w:val="20"/>
                <w:color w:val="auto"/>
              </w:rPr>
            </w:pPr>
            <w:r>
              <w:rPr>
                <w:rFonts w:ascii="Arial" w:cs="Arial" w:eastAsia="Arial" w:hAnsi="Arial"/>
                <w:sz w:val="12"/>
                <w:szCs w:val="12"/>
                <w:color w:val="auto"/>
              </w:rPr>
              <w:t>Weighted average leverage through CSWC security (d)</w:t>
            </w:r>
          </w:p>
        </w:tc>
        <w:tc>
          <w:tcPr>
            <w:tcW w:w="2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jc w:val="right"/>
              <w:ind w:right="422"/>
              <w:spacing w:after="0"/>
              <w:rPr>
                <w:sz w:val="20"/>
                <w:szCs w:val="20"/>
                <w:color w:val="auto"/>
              </w:rPr>
            </w:pPr>
            <w:r>
              <w:rPr>
                <w:rFonts w:ascii="Arial" w:cs="Arial" w:eastAsia="Arial" w:hAnsi="Arial"/>
                <w:sz w:val="12"/>
                <w:szCs w:val="12"/>
                <w:color w:val="auto"/>
              </w:rPr>
              <w:t>4.2x</w:t>
            </w:r>
          </w:p>
        </w:tc>
        <w:tc>
          <w:tcPr>
            <w:tcW w:w="1000" w:type="dxa"/>
            <w:vAlign w:val="bottom"/>
          </w:tcPr>
          <w:p>
            <w:pPr>
              <w:jc w:val="right"/>
              <w:spacing w:after="0"/>
              <w:rPr>
                <w:sz w:val="20"/>
                <w:szCs w:val="20"/>
                <w:color w:val="auto"/>
              </w:rPr>
            </w:pPr>
            <w:r>
              <w:rPr>
                <w:rFonts w:ascii="Arial" w:cs="Arial" w:eastAsia="Arial" w:hAnsi="Arial"/>
                <w:sz w:val="12"/>
                <w:szCs w:val="12"/>
                <w:color w:val="auto"/>
              </w:rPr>
              <w:t>4.0x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-873760</wp:posOffset>
            </wp:positionV>
            <wp:extent cx="6829425"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9425" cy="971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-290830</wp:posOffset>
            </wp:positionV>
            <wp:extent cx="6829425"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29425" cy="971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-96520</wp:posOffset>
            </wp:positionV>
            <wp:extent cx="6829425"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9425" cy="97155"/>
                    </a:xfrm>
                    <a:prstGeom prst="rect">
                      <a:avLst/>
                    </a:prstGeom>
                    <a:noFill/>
                  </pic:spPr>
                </pic:pic>
              </a:graphicData>
            </a:graphic>
          </wp:anchor>
        </w:drawing>
      </w:r>
    </w:p>
    <w:p>
      <w:pPr>
        <w:spacing w:after="0" w:line="236" w:lineRule="exact"/>
        <w:rPr>
          <w:sz w:val="20"/>
          <w:szCs w:val="20"/>
          <w:color w:val="auto"/>
        </w:rPr>
      </w:pPr>
    </w:p>
    <w:p>
      <w:pPr>
        <w:ind w:left="240" w:hanging="208"/>
        <w:spacing w:after="0"/>
        <w:tabs>
          <w:tab w:leader="none" w:pos="240" w:val="left"/>
        </w:tabs>
        <w:numPr>
          <w:ilvl w:val="0"/>
          <w:numId w:val="67"/>
        </w:numPr>
        <w:rPr>
          <w:rFonts w:ascii="Arial" w:cs="Arial" w:eastAsia="Arial" w:hAnsi="Arial"/>
          <w:sz w:val="11"/>
          <w:szCs w:val="11"/>
          <w:color w:val="auto"/>
        </w:rPr>
      </w:pPr>
      <w:r>
        <w:rPr>
          <w:rFonts w:ascii="Arial" w:cs="Arial" w:eastAsia="Arial" w:hAnsi="Arial"/>
          <w:sz w:val="11"/>
          <w:szCs w:val="11"/>
          <w:color w:val="auto"/>
        </w:rPr>
        <w:t>At March 31, 2021, we had equity ownership in approximately 59.1% of our LMM investments and 30.0% of our UMM investments.</w:t>
      </w:r>
    </w:p>
    <w:p>
      <w:pPr>
        <w:spacing w:after="0" w:line="98" w:lineRule="exact"/>
        <w:rPr>
          <w:rFonts w:ascii="Arial" w:cs="Arial" w:eastAsia="Arial" w:hAnsi="Arial"/>
          <w:sz w:val="11"/>
          <w:szCs w:val="11"/>
          <w:color w:val="auto"/>
        </w:rPr>
      </w:pPr>
    </w:p>
    <w:p>
      <w:pPr>
        <w:ind w:left="240" w:hanging="208"/>
        <w:spacing w:after="0" w:line="257" w:lineRule="auto"/>
        <w:tabs>
          <w:tab w:leader="none" w:pos="24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weighted-average annual effective yields were computed using the effective interest rates during the quarter for all debt investments at cost as of March 31, 2021, including accretion of original issue discount but excluding fees payable upon repayment of the debt instruments. As of March 31, 2021, there were no investments on non-accrual status. Weighted-average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340"/>
          </w:cols>
          <w:pgMar w:left="260" w:top="140" w:right="299" w:bottom="1440" w:gutter="0" w:footer="0" w:header="0"/>
        </w:sectPr>
      </w:pPr>
    </w:p>
    <w:bookmarkStart w:id="75" w:name="page76"/>
    <w:bookmarkEnd w:id="75"/>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9" w:lineRule="exact"/>
        <w:rPr>
          <w:sz w:val="20"/>
          <w:szCs w:val="20"/>
          <w:color w:val="auto"/>
        </w:rPr>
      </w:pPr>
    </w:p>
    <w:p>
      <w:pPr>
        <w:ind w:left="208"/>
        <w:spacing w:after="0"/>
        <w:rPr>
          <w:sz w:val="20"/>
          <w:szCs w:val="20"/>
          <w:color w:val="auto"/>
        </w:rPr>
      </w:pPr>
      <w:r>
        <w:rPr>
          <w:rFonts w:ascii="Arial" w:cs="Arial" w:eastAsia="Arial" w:hAnsi="Arial"/>
          <w:sz w:val="11"/>
          <w:szCs w:val="11"/>
          <w:color w:val="auto"/>
        </w:rPr>
        <w:t>annual effective yield is not a return to shareholders and is higher than what an investor in shares in our common stock will realize on its investment because it does not reflect our expenses or any sales load paid by an investor.</w:t>
      </w:r>
    </w:p>
    <w:p>
      <w:pPr>
        <w:spacing w:after="0" w:line="99" w:lineRule="exact"/>
        <w:rPr>
          <w:sz w:val="20"/>
          <w:szCs w:val="20"/>
          <w:color w:val="auto"/>
        </w:rPr>
      </w:pPr>
    </w:p>
    <w:p>
      <w:pPr>
        <w:ind w:left="208" w:hanging="208"/>
        <w:spacing w:after="0" w:line="257" w:lineRule="auto"/>
        <w:tabs>
          <w:tab w:leader="none" w:pos="202" w:val="left"/>
        </w:tabs>
        <w:numPr>
          <w:ilvl w:val="0"/>
          <w:numId w:val="68"/>
        </w:numPr>
        <w:rPr>
          <w:rFonts w:ascii="Arial" w:cs="Arial" w:eastAsia="Arial" w:hAnsi="Arial"/>
          <w:sz w:val="11"/>
          <w:szCs w:val="11"/>
          <w:color w:val="auto"/>
        </w:rPr>
      </w:pPr>
      <w:r>
        <w:rPr>
          <w:rFonts w:ascii="Arial" w:cs="Arial" w:eastAsia="Arial" w:hAnsi="Arial"/>
          <w:sz w:val="11"/>
          <w:szCs w:val="11"/>
          <w:color w:val="auto"/>
        </w:rPr>
        <w:t>Weighted average EBITDA metric is calculated using investment cost basis weighting. For the year ended March 31, 2021, two UMM portfolio companies and four LMM portfolio companies are excluded from this calculation due to a reported debt to adjusted EBITDA ratio that was not meaningful.</w:t>
      </w:r>
    </w:p>
    <w:p>
      <w:pPr>
        <w:spacing w:after="0" w:line="71" w:lineRule="exact"/>
        <w:rPr>
          <w:rFonts w:ascii="Arial" w:cs="Arial" w:eastAsia="Arial" w:hAnsi="Arial"/>
          <w:sz w:val="11"/>
          <w:szCs w:val="11"/>
          <w:color w:val="auto"/>
        </w:rPr>
      </w:pPr>
    </w:p>
    <w:p>
      <w:pPr>
        <w:jc w:val="both"/>
        <w:ind w:left="208" w:hanging="208"/>
        <w:spacing w:after="0" w:line="285" w:lineRule="auto"/>
        <w:tabs>
          <w:tab w:leader="none" w:pos="208" w:val="left"/>
        </w:tabs>
        <w:numPr>
          <w:ilvl w:val="0"/>
          <w:numId w:val="68"/>
        </w:numPr>
        <w:rPr>
          <w:rFonts w:ascii="Arial" w:cs="Arial" w:eastAsia="Arial" w:hAnsi="Arial"/>
          <w:sz w:val="10"/>
          <w:szCs w:val="10"/>
          <w:color w:val="auto"/>
        </w:rPr>
      </w:pPr>
      <w:r>
        <w:rPr>
          <w:rFonts w:ascii="Arial" w:cs="Arial" w:eastAsia="Arial" w:hAnsi="Arial"/>
          <w:sz w:val="10"/>
          <w:szCs w:val="10"/>
          <w:color w:val="auto"/>
        </w:rPr>
        <w:t>Includes CSWC debt investments only. Calculated as the amount of each portfolio company’s debt (including CSWC’s position and debt senior or pari passu to CSWC’s position, but excluding debt subordinated to CSWC’s position) in the capital structure divided by each portfolio company’s adjusted EBITDA. Weighted average leverage is calculated using investment cost basis weighting. Management uses this metric as a guide to evaluate relative risk of its position in each portfolio debt investment. For the year ended March 31, 2021, two UMM portfolio companies and four LMM portfolio companies are excluded from this calculation due to a reported debt to adjusted EBITDA ratio that was not meaningful.</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Portfolio Asset Quality</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utilize an internally developed investment rating system to rate the performance and monitor the expected level of returns for each debt investment in our portfolio. The investment rating system takes into account both quantitative and qualitative factors of the portfolio company and the investments held therein, including each investment's expected level of returns and the collectability of our debt investments, comparisons to competitors and other industry participants and the portfolio company's future outlook. The ratings are not intended to reflect the performance or expected level of returns of our equity investments.</w:t>
      </w:r>
    </w:p>
    <w:p>
      <w:pPr>
        <w:spacing w:after="0" w:line="140" w:lineRule="exact"/>
        <w:rPr>
          <w:sz w:val="20"/>
          <w:szCs w:val="20"/>
          <w:color w:val="auto"/>
        </w:rPr>
      </w:pPr>
    </w:p>
    <w:p>
      <w:pPr>
        <w:ind w:left="428" w:hanging="212"/>
        <w:spacing w:after="0" w:line="276" w:lineRule="auto"/>
        <w:tabs>
          <w:tab w:leader="none" w:pos="425"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Investment Rating 1 represents the least amount of risk in our portfolio. The investment is performing materially above underwriting expectations and the trends and risk factors are generally favorable. The investment generally has a higher probability of being prepaid in part or in full.</w:t>
      </w:r>
    </w:p>
    <w:p>
      <w:pPr>
        <w:spacing w:after="0" w:line="87" w:lineRule="exact"/>
        <w:rPr>
          <w:rFonts w:ascii="Arial" w:cs="Arial" w:eastAsia="Arial" w:hAnsi="Arial"/>
          <w:sz w:val="12"/>
          <w:szCs w:val="12"/>
          <w:color w:val="auto"/>
        </w:rPr>
      </w:pPr>
    </w:p>
    <w:p>
      <w:pPr>
        <w:ind w:left="428" w:hanging="212"/>
        <w:spacing w:after="0"/>
        <w:tabs>
          <w:tab w:leader="none" w:pos="428"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Investment Rating 2 indicates the investment is performing as expected at the time of underwriting and the trends and risk factors are generally favorable to neutral.</w:t>
      </w:r>
    </w:p>
    <w:p>
      <w:pPr>
        <w:spacing w:after="0" w:line="132" w:lineRule="exact"/>
        <w:rPr>
          <w:rFonts w:ascii="Arial" w:cs="Arial" w:eastAsia="Arial" w:hAnsi="Arial"/>
          <w:sz w:val="12"/>
          <w:szCs w:val="12"/>
          <w:color w:val="auto"/>
        </w:rPr>
      </w:pPr>
    </w:p>
    <w:p>
      <w:pPr>
        <w:ind w:left="428" w:right="20" w:hanging="212"/>
        <w:spacing w:after="0" w:line="276" w:lineRule="auto"/>
        <w:tabs>
          <w:tab w:leader="none" w:pos="425"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Investment Rating 3 involves an investment performing below underwriting expectations and the trends and risk factors are generally neutral to negative. The investment may be out of compliance with financial covenants and interest payments may be impaired, however principal payments are generally not past due.</w:t>
      </w:r>
    </w:p>
    <w:p>
      <w:pPr>
        <w:spacing w:after="0" w:line="87" w:lineRule="exact"/>
        <w:rPr>
          <w:rFonts w:ascii="Arial" w:cs="Arial" w:eastAsia="Arial" w:hAnsi="Arial"/>
          <w:sz w:val="12"/>
          <w:szCs w:val="12"/>
          <w:color w:val="auto"/>
        </w:rPr>
      </w:pPr>
    </w:p>
    <w:p>
      <w:pPr>
        <w:ind w:left="428" w:right="20" w:hanging="212"/>
        <w:spacing w:after="0" w:line="276" w:lineRule="auto"/>
        <w:tabs>
          <w:tab w:leader="none" w:pos="425"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Investment Rating 4 indicates that the investment is performing materially below underwriting expectations, the trends and risk factors are generally negative and the risk of the investment has increased substantially. Interest and principal payments on our investment are likely to be impaired.</w:t>
      </w:r>
    </w:p>
    <w:p>
      <w:pPr>
        <w:spacing w:after="0" w:line="169"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As the COVID-19 pandemic continues to evolve, we are maintaining close communications with our portfolio companies to proactively assess and manage potential risks across our debt investment portfolio. We have also increased oversight and analysis of credits in vulnerable industries in an attempt to improve loan performance and reduce credit risk.</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shows the distribution of our debt portfolio investments on the 1 to 4 investment rating scale at fair value as of June 30, 2021 and March 31, 2021:</w:t>
      </w:r>
    </w:p>
    <w:p>
      <w:pPr>
        <w:spacing w:after="0" w:line="27" w:lineRule="exact"/>
        <w:rPr>
          <w:sz w:val="20"/>
          <w:szCs w:val="20"/>
          <w:color w:val="auto"/>
        </w:rPr>
      </w:pPr>
    </w:p>
    <w:tbl>
      <w:tblPr>
        <w:tblLayout w:type="fixed"/>
        <w:tblInd w:w="1008" w:type="dxa"/>
        <w:tblCellMar>
          <w:top w:w="0" w:type="dxa"/>
          <w:left w:w="0" w:type="dxa"/>
          <w:bottom w:w="0" w:type="dxa"/>
          <w:right w:w="0" w:type="dxa"/>
        </w:tblCellMar>
      </w:tblPr>
      <w:tr>
        <w:trPr>
          <w:trHeight w:val="123"/>
        </w:trPr>
        <w:tc>
          <w:tcPr>
            <w:tcW w:w="2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gridSpan w:val="3"/>
          </w:tcPr>
          <w:p>
            <w:pPr>
              <w:jc w:val="right"/>
              <w:ind w:right="1162"/>
              <w:spacing w:after="0"/>
              <w:rPr>
                <w:sz w:val="20"/>
                <w:szCs w:val="20"/>
                <w:color w:val="auto"/>
              </w:rPr>
            </w:pPr>
            <w:r>
              <w:rPr>
                <w:rFonts w:ascii="Arial" w:cs="Arial" w:eastAsia="Arial" w:hAnsi="Arial"/>
                <w:sz w:val="10"/>
                <w:szCs w:val="10"/>
                <w:b w:val="1"/>
                <w:bCs w:val="1"/>
                <w:color w:val="auto"/>
              </w:rPr>
              <w:t>As of June 30, 2021</w:t>
            </w:r>
          </w:p>
        </w:tc>
      </w:tr>
      <w:tr>
        <w:trPr>
          <w:trHeight w:val="122"/>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Investment Rating</w:t>
            </w:r>
          </w:p>
        </w:tc>
        <w:tc>
          <w:tcPr>
            <w:tcW w:w="3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Debt Investments at Fair Value</w:t>
            </w:r>
          </w:p>
        </w:tc>
        <w:tc>
          <w:tcPr>
            <w:tcW w:w="160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Percentage of Debt Portfolio</w:t>
            </w:r>
          </w:p>
        </w:tc>
      </w:tr>
      <w:tr>
        <w:trPr>
          <w:trHeight w:val="115"/>
        </w:trPr>
        <w:tc>
          <w:tcPr>
            <w:tcW w:w="2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20" w:type="dxa"/>
            <w:vAlign w:val="bottom"/>
            <w:gridSpan w:val="3"/>
          </w:tcPr>
          <w:p>
            <w:pPr>
              <w:jc w:val="right"/>
              <w:ind w:right="1102"/>
              <w:spacing w:after="0"/>
              <w:rPr>
                <w:sz w:val="20"/>
                <w:szCs w:val="20"/>
                <w:color w:val="auto"/>
              </w:rPr>
            </w:pPr>
            <w:r>
              <w:rPr>
                <w:rFonts w:ascii="Arial" w:cs="Arial" w:eastAsia="Arial" w:hAnsi="Arial"/>
                <w:sz w:val="10"/>
                <w:szCs w:val="10"/>
                <w:b w:val="1"/>
                <w:bCs w:val="1"/>
                <w:color w:val="auto"/>
              </w:rPr>
              <w:t>(dollars in thousands)</w:t>
            </w:r>
          </w:p>
        </w:tc>
      </w:tr>
      <w:tr>
        <w:trPr>
          <w:trHeight w:val="154"/>
        </w:trPr>
        <w:tc>
          <w:tcPr>
            <w:tcW w:w="2680" w:type="dxa"/>
            <w:vAlign w:val="bottom"/>
            <w:shd w:val="clear" w:color="auto" w:fill="CCEEFF"/>
          </w:tcPr>
          <w:p>
            <w:pPr>
              <w:jc w:val="center"/>
              <w:ind w:right="2362"/>
              <w:spacing w:after="0"/>
              <w:rPr>
                <w:sz w:val="20"/>
                <w:szCs w:val="20"/>
                <w:color w:val="auto"/>
              </w:rPr>
            </w:pPr>
            <w:r>
              <w:rPr>
                <w:rFonts w:ascii="Arial" w:cs="Arial" w:eastAsia="Arial" w:hAnsi="Arial"/>
                <w:sz w:val="12"/>
                <w:szCs w:val="12"/>
                <w:color w:val="auto"/>
                <w:w w:val="89"/>
              </w:rPr>
              <w:t>1</w:t>
            </w:r>
          </w:p>
        </w:tc>
        <w:tc>
          <w:tcPr>
            <w:tcW w:w="3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90,704</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13.5 %</w:t>
            </w:r>
          </w:p>
        </w:tc>
      </w:tr>
      <w:tr>
        <w:trPr>
          <w:trHeight w:val="153"/>
        </w:trPr>
        <w:tc>
          <w:tcPr>
            <w:tcW w:w="2680" w:type="dxa"/>
            <w:vAlign w:val="bottom"/>
          </w:tcPr>
          <w:p>
            <w:pPr>
              <w:jc w:val="center"/>
              <w:ind w:right="2362"/>
              <w:spacing w:after="0"/>
              <w:rPr>
                <w:sz w:val="20"/>
                <w:szCs w:val="20"/>
                <w:color w:val="auto"/>
              </w:rPr>
            </w:pPr>
            <w:r>
              <w:rPr>
                <w:rFonts w:ascii="Arial" w:cs="Arial" w:eastAsia="Arial" w:hAnsi="Arial"/>
                <w:sz w:val="12"/>
                <w:szCs w:val="12"/>
                <w:color w:val="auto"/>
                <w:w w:val="89"/>
              </w:rPr>
              <w:t>2</w:t>
            </w:r>
          </w:p>
        </w:tc>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5"/>
              <w:spacing w:after="0"/>
              <w:rPr>
                <w:sz w:val="20"/>
                <w:szCs w:val="20"/>
                <w:color w:val="auto"/>
              </w:rPr>
            </w:pPr>
            <w:r>
              <w:rPr>
                <w:rFonts w:ascii="Arial" w:cs="Arial" w:eastAsia="Arial" w:hAnsi="Arial"/>
                <w:sz w:val="12"/>
                <w:szCs w:val="12"/>
                <w:color w:val="auto"/>
              </w:rPr>
              <w:t>528,019</w:t>
            </w:r>
          </w:p>
        </w:tc>
        <w:tc>
          <w:tcPr>
            <w:tcW w:w="100" w:type="dxa"/>
            <w:vAlign w:val="bottom"/>
          </w:tcPr>
          <w:p>
            <w:pPr>
              <w:spacing w:after="0"/>
              <w:rPr>
                <w:sz w:val="13"/>
                <w:szCs w:val="13"/>
                <w:color w:val="auto"/>
              </w:rPr>
            </w:pPr>
          </w:p>
        </w:tc>
        <w:tc>
          <w:tcPr>
            <w:tcW w:w="1600" w:type="dxa"/>
            <w:vAlign w:val="bottom"/>
          </w:tcPr>
          <w:p>
            <w:pPr>
              <w:jc w:val="right"/>
              <w:ind w:right="82"/>
              <w:spacing w:after="0"/>
              <w:rPr>
                <w:sz w:val="20"/>
                <w:szCs w:val="20"/>
                <w:color w:val="auto"/>
              </w:rPr>
            </w:pPr>
            <w:r>
              <w:rPr>
                <w:rFonts w:ascii="Arial" w:cs="Arial" w:eastAsia="Arial" w:hAnsi="Arial"/>
                <w:sz w:val="12"/>
                <w:szCs w:val="12"/>
                <w:color w:val="auto"/>
              </w:rPr>
              <w:t>78.7</w:t>
            </w:r>
          </w:p>
        </w:tc>
      </w:tr>
      <w:tr>
        <w:trPr>
          <w:trHeight w:val="153"/>
        </w:trPr>
        <w:tc>
          <w:tcPr>
            <w:tcW w:w="2680" w:type="dxa"/>
            <w:vAlign w:val="bottom"/>
            <w:shd w:val="clear" w:color="auto" w:fill="CCEEFF"/>
          </w:tcPr>
          <w:p>
            <w:pPr>
              <w:jc w:val="center"/>
              <w:ind w:right="2362"/>
              <w:spacing w:after="0"/>
              <w:rPr>
                <w:sz w:val="20"/>
                <w:szCs w:val="20"/>
                <w:color w:val="auto"/>
              </w:rPr>
            </w:pPr>
            <w:r>
              <w:rPr>
                <w:rFonts w:ascii="Arial" w:cs="Arial" w:eastAsia="Arial" w:hAnsi="Arial"/>
                <w:sz w:val="12"/>
                <w:szCs w:val="12"/>
                <w:color w:val="auto"/>
                <w:w w:val="89"/>
              </w:rPr>
              <w:t>3</w:t>
            </w:r>
          </w:p>
        </w:tc>
        <w:tc>
          <w:tcPr>
            <w:tcW w:w="3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52,534</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7.8</w:t>
            </w:r>
          </w:p>
        </w:tc>
      </w:tr>
      <w:tr>
        <w:trPr>
          <w:trHeight w:val="153"/>
        </w:trPr>
        <w:tc>
          <w:tcPr>
            <w:tcW w:w="2680" w:type="dxa"/>
            <w:vAlign w:val="bottom"/>
            <w:tcBorders>
              <w:bottom w:val="single" w:sz="8" w:color="CCEEFF"/>
            </w:tcBorders>
          </w:tcPr>
          <w:p>
            <w:pPr>
              <w:jc w:val="center"/>
              <w:ind w:right="2362"/>
              <w:spacing w:after="0"/>
              <w:rPr>
                <w:sz w:val="20"/>
                <w:szCs w:val="20"/>
                <w:color w:val="auto"/>
              </w:rPr>
            </w:pPr>
            <w:r>
              <w:rPr>
                <w:rFonts w:ascii="Arial" w:cs="Arial" w:eastAsia="Arial" w:hAnsi="Arial"/>
                <w:sz w:val="12"/>
                <w:szCs w:val="12"/>
                <w:color w:val="auto"/>
                <w:w w:val="89"/>
              </w:rPr>
              <w:t>4</w:t>
            </w:r>
          </w:p>
        </w:tc>
        <w:tc>
          <w:tcPr>
            <w:tcW w:w="3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r>
      <w:tr>
        <w:trPr>
          <w:trHeight w:val="162"/>
        </w:trPr>
        <w:tc>
          <w:tcPr>
            <w:tcW w:w="2680" w:type="dxa"/>
            <w:vAlign w:val="bottom"/>
            <w:shd w:val="clear" w:color="auto" w:fill="CCEEFF"/>
          </w:tcPr>
          <w:p>
            <w:pPr>
              <w:jc w:val="center"/>
              <w:ind w:right="2342"/>
              <w:spacing w:after="0"/>
              <w:rPr>
                <w:sz w:val="20"/>
                <w:szCs w:val="20"/>
                <w:color w:val="auto"/>
              </w:rPr>
            </w:pPr>
            <w:r>
              <w:rPr>
                <w:rFonts w:ascii="Arial" w:cs="Arial" w:eastAsia="Arial" w:hAnsi="Arial"/>
                <w:sz w:val="12"/>
                <w:szCs w:val="12"/>
                <w:color w:val="auto"/>
                <w:w w:val="89"/>
              </w:rPr>
              <w:t>Total</w:t>
            </w:r>
          </w:p>
        </w:tc>
        <w:tc>
          <w:tcPr>
            <w:tcW w:w="3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671,257</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716"/>
        </w:trPr>
        <w:tc>
          <w:tcPr>
            <w:tcW w:w="2680" w:type="dxa"/>
            <w:vAlign w:val="bottom"/>
            <w:tcBorders>
              <w:top w:val="single" w:sz="8" w:color="CCEEFF"/>
            </w:tcBorders>
          </w:tcPr>
          <w:p>
            <w:pPr>
              <w:spacing w:after="0"/>
              <w:rPr>
                <w:sz w:val="24"/>
                <w:szCs w:val="24"/>
                <w:color w:val="auto"/>
              </w:rPr>
            </w:pPr>
          </w:p>
        </w:tc>
        <w:tc>
          <w:tcPr>
            <w:tcW w:w="3380" w:type="dxa"/>
            <w:vAlign w:val="bottom"/>
            <w:tcBorders>
              <w:top w:val="single" w:sz="8" w:color="CCEEFF"/>
            </w:tcBorders>
          </w:tcPr>
          <w:p>
            <w:pPr>
              <w:jc w:val="right"/>
              <w:ind w:right="1300"/>
              <w:spacing w:after="0"/>
              <w:rPr>
                <w:sz w:val="20"/>
                <w:szCs w:val="20"/>
                <w:color w:val="auto"/>
              </w:rPr>
            </w:pPr>
            <w:r>
              <w:rPr>
                <w:rFonts w:ascii="Arial" w:cs="Arial" w:eastAsia="Arial" w:hAnsi="Arial"/>
                <w:sz w:val="12"/>
                <w:szCs w:val="12"/>
                <w:color w:val="auto"/>
              </w:rPr>
              <w:t>76</w:t>
            </w:r>
          </w:p>
        </w:tc>
        <w:tc>
          <w:tcPr>
            <w:tcW w:w="1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bl>
    <w:p>
      <w:pPr>
        <w:sectPr>
          <w:pgSz w:w="11900" w:h="16838" w:orient="portrait"/>
          <w:cols w:equalWidth="0" w:num="1">
            <w:col w:w="11308"/>
          </w:cols>
          <w:pgMar w:left="292" w:top="140" w:right="299" w:bottom="1440" w:gutter="0" w:footer="0" w:header="0"/>
        </w:sectPr>
      </w:pPr>
    </w:p>
    <w:bookmarkStart w:id="76" w:name="page77"/>
    <w:bookmarkEnd w:id="76"/>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1000" w:type="dxa"/>
        <w:tblCellMar>
          <w:top w:w="0" w:type="dxa"/>
          <w:left w:w="0" w:type="dxa"/>
          <w:bottom w:w="0" w:type="dxa"/>
          <w:right w:w="0" w:type="dxa"/>
        </w:tblCellMar>
      </w:tblPr>
      <w:tr>
        <w:trPr>
          <w:trHeight w:val="123"/>
        </w:trPr>
        <w:tc>
          <w:tcPr>
            <w:tcW w:w="60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gridSpan w:val="3"/>
          </w:tcPr>
          <w:p>
            <w:pPr>
              <w:jc w:val="right"/>
              <w:ind w:right="1122"/>
              <w:spacing w:after="0"/>
              <w:rPr>
                <w:sz w:val="20"/>
                <w:szCs w:val="20"/>
                <w:color w:val="auto"/>
              </w:rPr>
            </w:pPr>
            <w:r>
              <w:rPr>
                <w:rFonts w:ascii="Arial" w:cs="Arial" w:eastAsia="Arial" w:hAnsi="Arial"/>
                <w:sz w:val="10"/>
                <w:szCs w:val="10"/>
                <w:b w:val="1"/>
                <w:bCs w:val="1"/>
                <w:color w:val="auto"/>
              </w:rPr>
              <w:t>As of March 31, 2021</w:t>
            </w:r>
          </w:p>
        </w:tc>
      </w:tr>
      <w:tr>
        <w:trPr>
          <w:trHeight w:val="122"/>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Investment Rating</w:t>
            </w: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Debt Investments at Fair Value</w:t>
            </w:r>
          </w:p>
        </w:tc>
        <w:tc>
          <w:tcPr>
            <w:tcW w:w="160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Percentage of Debt Portfolio</w:t>
            </w:r>
          </w:p>
        </w:tc>
      </w:tr>
      <w:tr>
        <w:trPr>
          <w:trHeight w:val="115"/>
        </w:trPr>
        <w:tc>
          <w:tcPr>
            <w:tcW w:w="6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20" w:type="dxa"/>
            <w:vAlign w:val="bottom"/>
            <w:gridSpan w:val="3"/>
          </w:tcPr>
          <w:p>
            <w:pPr>
              <w:jc w:val="right"/>
              <w:ind w:right="1102"/>
              <w:spacing w:after="0"/>
              <w:rPr>
                <w:sz w:val="20"/>
                <w:szCs w:val="20"/>
                <w:color w:val="auto"/>
              </w:rPr>
            </w:pPr>
            <w:r>
              <w:rPr>
                <w:rFonts w:ascii="Arial" w:cs="Arial" w:eastAsia="Arial" w:hAnsi="Arial"/>
                <w:sz w:val="10"/>
                <w:szCs w:val="10"/>
                <w:b w:val="1"/>
                <w:bCs w:val="1"/>
                <w:color w:val="auto"/>
              </w:rPr>
              <w:t>(dollars in thousands)</w:t>
            </w:r>
          </w:p>
        </w:tc>
      </w:tr>
      <w:tr>
        <w:trPr>
          <w:trHeight w:val="154"/>
        </w:trPr>
        <w:tc>
          <w:tcPr>
            <w:tcW w:w="6060" w:type="dxa"/>
            <w:vAlign w:val="bottom"/>
            <w:shd w:val="clear" w:color="auto" w:fill="CCEEFF"/>
          </w:tcPr>
          <w:p>
            <w:pPr>
              <w:jc w:val="center"/>
              <w:ind w:right="5742"/>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58,466</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10.2 %</w:t>
            </w:r>
          </w:p>
        </w:tc>
      </w:tr>
      <w:tr>
        <w:trPr>
          <w:trHeight w:val="153"/>
        </w:trPr>
        <w:tc>
          <w:tcPr>
            <w:tcW w:w="6060" w:type="dxa"/>
            <w:vAlign w:val="bottom"/>
          </w:tcPr>
          <w:p>
            <w:pPr>
              <w:jc w:val="center"/>
              <w:ind w:right="5742"/>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3"/>
                <w:szCs w:val="13"/>
                <w:color w:val="auto"/>
              </w:rPr>
            </w:pPr>
          </w:p>
        </w:tc>
        <w:tc>
          <w:tcPr>
            <w:tcW w:w="1420" w:type="dxa"/>
            <w:vAlign w:val="bottom"/>
          </w:tcPr>
          <w:p>
            <w:pPr>
              <w:jc w:val="right"/>
              <w:ind w:right="5"/>
              <w:spacing w:after="0"/>
              <w:rPr>
                <w:sz w:val="20"/>
                <w:szCs w:val="20"/>
                <w:color w:val="auto"/>
              </w:rPr>
            </w:pPr>
            <w:r>
              <w:rPr>
                <w:rFonts w:ascii="Arial" w:cs="Arial" w:eastAsia="Arial" w:hAnsi="Arial"/>
                <w:sz w:val="12"/>
                <w:szCs w:val="12"/>
                <w:color w:val="auto"/>
              </w:rPr>
              <w:t>461,239</w:t>
            </w:r>
          </w:p>
        </w:tc>
        <w:tc>
          <w:tcPr>
            <w:tcW w:w="100" w:type="dxa"/>
            <w:vAlign w:val="bottom"/>
          </w:tcPr>
          <w:p>
            <w:pPr>
              <w:spacing w:after="0"/>
              <w:rPr>
                <w:sz w:val="13"/>
                <w:szCs w:val="13"/>
                <w:color w:val="auto"/>
              </w:rPr>
            </w:pPr>
          </w:p>
        </w:tc>
        <w:tc>
          <w:tcPr>
            <w:tcW w:w="1600" w:type="dxa"/>
            <w:vAlign w:val="bottom"/>
          </w:tcPr>
          <w:p>
            <w:pPr>
              <w:jc w:val="right"/>
              <w:ind w:right="82"/>
              <w:spacing w:after="0"/>
              <w:rPr>
                <w:sz w:val="20"/>
                <w:szCs w:val="20"/>
                <w:color w:val="auto"/>
              </w:rPr>
            </w:pPr>
            <w:r>
              <w:rPr>
                <w:rFonts w:ascii="Arial" w:cs="Arial" w:eastAsia="Arial" w:hAnsi="Arial"/>
                <w:sz w:val="12"/>
                <w:szCs w:val="12"/>
                <w:color w:val="auto"/>
              </w:rPr>
              <w:t>80.6</w:t>
            </w:r>
          </w:p>
        </w:tc>
      </w:tr>
      <w:tr>
        <w:trPr>
          <w:trHeight w:val="153"/>
        </w:trPr>
        <w:tc>
          <w:tcPr>
            <w:tcW w:w="6060" w:type="dxa"/>
            <w:vAlign w:val="bottom"/>
            <w:shd w:val="clear" w:color="auto" w:fill="CCEEFF"/>
          </w:tcPr>
          <w:p>
            <w:pPr>
              <w:jc w:val="center"/>
              <w:ind w:right="5742"/>
              <w:spacing w:after="0"/>
              <w:rPr>
                <w:sz w:val="20"/>
                <w:szCs w:val="20"/>
                <w:color w:val="auto"/>
              </w:rPr>
            </w:pPr>
            <w:r>
              <w:rPr>
                <w:rFonts w:ascii="Arial" w:cs="Arial" w:eastAsia="Arial" w:hAnsi="Arial"/>
                <w:sz w:val="12"/>
                <w:szCs w:val="12"/>
                <w:color w:val="auto"/>
                <w:w w:val="89"/>
              </w:rPr>
              <w:t>3</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52,909</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9.2</w:t>
            </w:r>
          </w:p>
        </w:tc>
      </w:tr>
      <w:tr>
        <w:trPr>
          <w:trHeight w:val="153"/>
        </w:trPr>
        <w:tc>
          <w:tcPr>
            <w:tcW w:w="6060" w:type="dxa"/>
            <w:vAlign w:val="bottom"/>
          </w:tcPr>
          <w:p>
            <w:pPr>
              <w:jc w:val="center"/>
              <w:ind w:right="5742"/>
              <w:spacing w:after="0"/>
              <w:rPr>
                <w:sz w:val="20"/>
                <w:szCs w:val="20"/>
                <w:color w:val="auto"/>
              </w:rPr>
            </w:pPr>
            <w:r>
              <w:rPr>
                <w:rFonts w:ascii="Arial" w:cs="Arial" w:eastAsia="Arial" w:hAnsi="Arial"/>
                <w:sz w:val="12"/>
                <w:szCs w:val="12"/>
                <w:color w:val="auto"/>
                <w:w w:val="89"/>
              </w:rPr>
              <w:t>4</w:t>
            </w:r>
          </w:p>
        </w:tc>
        <w:tc>
          <w:tcPr>
            <w:tcW w:w="100" w:type="dxa"/>
            <w:vAlign w:val="bottom"/>
          </w:tcPr>
          <w:p>
            <w:pPr>
              <w:spacing w:after="0"/>
              <w:rPr>
                <w:sz w:val="13"/>
                <w:szCs w:val="1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158"/>
        </w:trPr>
        <w:tc>
          <w:tcPr>
            <w:tcW w:w="6060" w:type="dxa"/>
            <w:vAlign w:val="bottom"/>
            <w:tcBorders>
              <w:top w:val="single" w:sz="8" w:color="CCEEFF"/>
              <w:bottom w:val="single" w:sz="8" w:color="CCEEFF"/>
            </w:tcBorders>
            <w:shd w:val="clear" w:color="auto" w:fill="CCEEFF"/>
          </w:tcPr>
          <w:p>
            <w:pPr>
              <w:jc w:val="center"/>
              <w:ind w:right="5722"/>
              <w:spacing w:after="0"/>
              <w:rPr>
                <w:sz w:val="20"/>
                <w:szCs w:val="20"/>
                <w:color w:val="auto"/>
              </w:rPr>
            </w:pPr>
            <w:r>
              <w:rPr>
                <w:rFonts w:ascii="Arial" w:cs="Arial" w:eastAsia="Arial" w:hAnsi="Arial"/>
                <w:sz w:val="12"/>
                <w:szCs w:val="12"/>
                <w:color w:val="auto"/>
                <w:w w:val="89"/>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572,614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bl>
    <w:p>
      <w:pPr>
        <w:spacing w:after="0" w:line="216"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Interest and dividend income is recorded on an accrual basis to the extent amounts are expected to be collected. When we do not expect the debtor to be able to service all of its debt or other obligations, we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w:t>
      </w:r>
    </w:p>
    <w:p>
      <w:pPr>
        <w:spacing w:after="0" w:line="14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June 30, 2021, we had two debt investments on non-accrual status, which represent approximately 1.8% of our total investment portfolio's fair value and approximately 2.4% of its cost. As of March 31, 2021, we did not have any investments on non-accrual status.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Activity</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During the three months ended June 30, 2021, we made new debt investments in eight portfolio companies totaling $96.6 million, follow-on debt investments in three portfolio companies totaling $3.4 million, and equity investments in three new portfolio companies totaling $3.8 million. We also funded $3.2 million on our existing equity commitment to I-45 SLF LLC. We received contractual principal repayments totaling approximately $3.8 million. We funded $0.3 million on revolving loans and received $0.3 million in repayments on revolving loans. In addition, we received proceeds from sales of investments totaling $1.7 million.</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the three months ended June 30, 2020, we made new debt investments in two portfolio companies totaling $16.1 million, follow-on debt investments in four portfolio companies totaling $4.9 million, and equity investments in one existing and one new portfolio companies totaling $1.3 million. We also funded $12.8 million on our existing equity commitment to I-45 SLF LLC. We received contractual principal repayments totaling approximately $3.5 million. We funded $2.7 million on revolving loans and received $4.1 million in repayments on revolving loans.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300"/>
          </w:cols>
          <w:pgMar w:left="300" w:top="140" w:right="299" w:bottom="1440" w:gutter="0" w:footer="0" w:header="0"/>
        </w:sectPr>
      </w:pPr>
    </w:p>
    <w:bookmarkStart w:id="77" w:name="page78"/>
    <w:bookmarkEnd w:id="77"/>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Total portfolio investment activity for the three months ended June 30, 2021 and 2020 was as follows (dollars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vMerge w:val="restart"/>
          </w:tcPr>
          <w:p>
            <w:pPr>
              <w:spacing w:after="0"/>
              <w:rPr>
                <w:sz w:val="20"/>
                <w:szCs w:val="20"/>
                <w:color w:val="auto"/>
              </w:rPr>
            </w:pPr>
            <w:r>
              <w:rPr>
                <w:rFonts w:ascii="Arial" w:cs="Arial" w:eastAsia="Arial" w:hAnsi="Arial"/>
                <w:sz w:val="10"/>
                <w:szCs w:val="10"/>
                <w:b w:val="1"/>
                <w:bCs w:val="1"/>
                <w:color w:val="auto"/>
              </w:rPr>
              <w:t>Three months ended June 30, 2021</w:t>
            </w:r>
          </w:p>
        </w:tc>
        <w:tc>
          <w:tcPr>
            <w:tcW w:w="120" w:type="dxa"/>
            <w:vAlign w:val="bottom"/>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First Lien Loans</w:t>
            </w:r>
          </w:p>
        </w:tc>
        <w:tc>
          <w:tcPr>
            <w:tcW w:w="10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restart"/>
          </w:tcPr>
          <w:p>
            <w:pPr>
              <w:jc w:val="right"/>
              <w:ind w:right="21"/>
              <w:spacing w:after="0"/>
              <w:rPr>
                <w:sz w:val="20"/>
                <w:szCs w:val="20"/>
                <w:color w:val="auto"/>
              </w:rPr>
            </w:pPr>
            <w:r>
              <w:rPr>
                <w:rFonts w:ascii="Arial" w:cs="Arial" w:eastAsia="Arial" w:hAnsi="Arial"/>
                <w:sz w:val="10"/>
                <w:szCs w:val="10"/>
                <w:b w:val="1"/>
                <w:bCs w:val="1"/>
                <w:color w:val="auto"/>
                <w:w w:val="82"/>
              </w:rPr>
              <w:t>Second Lien Loans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161"/>
              <w:spacing w:after="0"/>
              <w:rPr>
                <w:sz w:val="20"/>
                <w:szCs w:val="20"/>
                <w:color w:val="auto"/>
              </w:rPr>
            </w:pPr>
            <w:r>
              <w:rPr>
                <w:rFonts w:ascii="Arial" w:cs="Arial" w:eastAsia="Arial" w:hAnsi="Arial"/>
                <w:sz w:val="10"/>
                <w:szCs w:val="10"/>
                <w:b w:val="1"/>
                <w:bCs w:val="1"/>
                <w:color w:val="auto"/>
                <w:w w:val="93"/>
              </w:rPr>
              <w:t>Subordinated Debt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Preferred</w:t>
            </w:r>
          </w:p>
        </w:tc>
        <w:tc>
          <w:tcPr>
            <w:tcW w:w="120" w:type="dxa"/>
            <w:vAlign w:val="bottom"/>
          </w:tcPr>
          <w:p>
            <w:pPr>
              <w:spacing w:after="0"/>
              <w:rPr>
                <w:sz w:val="10"/>
                <w:szCs w:val="10"/>
                <w:color w:val="auto"/>
              </w:rPr>
            </w:pPr>
          </w:p>
        </w:tc>
        <w:tc>
          <w:tcPr>
            <w:tcW w:w="800" w:type="dxa"/>
            <w:vAlign w:val="bottom"/>
            <w:vMerge w:val="restart"/>
          </w:tcPr>
          <w:p>
            <w:pPr>
              <w:jc w:val="right"/>
              <w:ind w:right="101"/>
              <w:spacing w:after="0"/>
              <w:rPr>
                <w:sz w:val="20"/>
                <w:szCs w:val="20"/>
                <w:color w:val="auto"/>
              </w:rPr>
            </w:pPr>
            <w:r>
              <w:rPr>
                <w:rFonts w:ascii="Arial" w:cs="Arial" w:eastAsia="Arial" w:hAnsi="Arial"/>
                <w:sz w:val="10"/>
                <w:szCs w:val="10"/>
                <w:b w:val="1"/>
                <w:bCs w:val="1"/>
                <w:color w:val="auto"/>
                <w:w w:val="96"/>
              </w:rPr>
              <w:t>I-45 SLF, LLC</w:t>
            </w:r>
          </w:p>
        </w:tc>
        <w:tc>
          <w:tcPr>
            <w:tcW w:w="10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ind w:right="52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22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&amp; Common Equity</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Fair value, beginning of period</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524,161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11,534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57,158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688,432</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New investments</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84,889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15,435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3,761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3,200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107,285</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sales of investments</w:t>
            </w:r>
          </w:p>
        </w:tc>
        <w:tc>
          <w:tcPr>
            <w:tcW w:w="1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(1,685)</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Principal repayments received</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(4,045)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(4,108)</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PIK interest earned</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1,761</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Accretion of loan discounts</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633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688</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Realized (loss) gain</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(1,212)</w:t>
            </w:r>
          </w:p>
        </w:tc>
        <w:tc>
          <w:tcPr>
            <w:tcW w:w="0" w:type="dxa"/>
            <w:vAlign w:val="bottom"/>
          </w:tcPr>
          <w:p>
            <w:pPr>
              <w:spacing w:after="0"/>
              <w:rPr>
                <w:sz w:val="1"/>
                <w:szCs w:val="1"/>
                <w:color w:val="auto"/>
              </w:rPr>
            </w:pPr>
          </w:p>
        </w:tc>
      </w:tr>
      <w:tr>
        <w:trPr>
          <w:trHeight w:val="153"/>
        </w:trPr>
        <w:tc>
          <w:tcPr>
            <w:tcW w:w="4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Unrealized gain (loss)</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(416)</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4,238</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7,486</w:t>
            </w:r>
          </w:p>
        </w:tc>
        <w:tc>
          <w:tcPr>
            <w:tcW w:w="0" w:type="dxa"/>
            <w:vAlign w:val="bottom"/>
          </w:tcPr>
          <w:p>
            <w:pPr>
              <w:spacing w:after="0"/>
              <w:rPr>
                <w:sz w:val="1"/>
                <w:szCs w:val="1"/>
                <w:color w:val="auto"/>
              </w:rPr>
            </w:pPr>
          </w:p>
        </w:tc>
      </w:tr>
      <w:tr>
        <w:trPr>
          <w:trHeight w:val="158"/>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Fair value, end of period</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606,159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53,009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12,089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66,118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61,272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798,647</w:t>
            </w:r>
          </w:p>
        </w:tc>
        <w:tc>
          <w:tcPr>
            <w:tcW w:w="0" w:type="dxa"/>
            <w:vAlign w:val="bottom"/>
          </w:tcPr>
          <w:p>
            <w:pPr>
              <w:spacing w:after="0"/>
              <w:rPr>
                <w:sz w:val="1"/>
                <w:szCs w:val="1"/>
                <w:color w:val="auto"/>
              </w:rPr>
            </w:pPr>
          </w:p>
        </w:tc>
      </w:tr>
      <w:tr>
        <w:trPr>
          <w:trHeight w:val="169"/>
        </w:trPr>
        <w:tc>
          <w:tcPr>
            <w:tcW w:w="42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2"/>
                <w:szCs w:val="12"/>
                <w:color w:val="auto"/>
              </w:rPr>
              <w:t>Weighted average yield on debt investments at end of period</w:t>
            </w:r>
          </w:p>
        </w:tc>
        <w:tc>
          <w:tcPr>
            <w:tcW w:w="120" w:type="dxa"/>
            <w:vAlign w:val="bottom"/>
            <w:tcBorders>
              <w:top w:val="single" w:sz="8" w:color="auto"/>
              <w:bottom w:val="single" w:sz="8" w:color="CCEEFF"/>
            </w:tcBorders>
          </w:tcPr>
          <w:p>
            <w:pPr>
              <w:spacing w:after="0"/>
              <w:rPr>
                <w:sz w:val="14"/>
                <w:szCs w:val="14"/>
                <w:color w:val="auto"/>
              </w:rPr>
            </w:pPr>
          </w:p>
        </w:tc>
        <w:tc>
          <w:tcPr>
            <w:tcW w:w="92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CCEEFF"/>
            </w:tcBorders>
          </w:tcPr>
          <w:p>
            <w:pPr>
              <w:spacing w:after="0"/>
              <w:rPr>
                <w:sz w:val="14"/>
                <w:szCs w:val="14"/>
                <w:color w:val="auto"/>
              </w:rPr>
            </w:pPr>
          </w:p>
        </w:tc>
        <w:tc>
          <w:tcPr>
            <w:tcW w:w="10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80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10.04 %</w:t>
            </w:r>
          </w:p>
        </w:tc>
        <w:tc>
          <w:tcPr>
            <w:tcW w:w="0" w:type="dxa"/>
            <w:vAlign w:val="bottom"/>
          </w:tcPr>
          <w:p>
            <w:pPr>
              <w:spacing w:after="0"/>
              <w:rPr>
                <w:sz w:val="1"/>
                <w:szCs w:val="1"/>
                <w:color w:val="auto"/>
              </w:rPr>
            </w:pPr>
          </w:p>
        </w:tc>
      </w:tr>
      <w:tr>
        <w:trPr>
          <w:trHeight w:val="17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yield on total investments at end of period</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10.12 %</w:t>
            </w:r>
          </w:p>
        </w:tc>
        <w:tc>
          <w:tcPr>
            <w:tcW w:w="0" w:type="dxa"/>
            <w:vAlign w:val="bottom"/>
          </w:tcPr>
          <w:p>
            <w:pPr>
              <w:spacing w:after="0"/>
              <w:rPr>
                <w:sz w:val="1"/>
                <w:szCs w:val="1"/>
                <w:color w:val="auto"/>
              </w:rPr>
            </w:pPr>
          </w:p>
        </w:tc>
      </w:tr>
      <w:tr>
        <w:trPr>
          <w:trHeight w:val="167"/>
        </w:trPr>
        <w:tc>
          <w:tcPr>
            <w:tcW w:w="4220" w:type="dxa"/>
            <w:vAlign w:val="bottom"/>
            <w:vMerge w:val="restart"/>
          </w:tcPr>
          <w:p>
            <w:pPr>
              <w:spacing w:after="0"/>
              <w:rPr>
                <w:sz w:val="20"/>
                <w:szCs w:val="20"/>
                <w:color w:val="auto"/>
              </w:rPr>
            </w:pPr>
            <w:r>
              <w:rPr>
                <w:rFonts w:ascii="Arial" w:cs="Arial" w:eastAsia="Arial" w:hAnsi="Arial"/>
                <w:sz w:val="10"/>
                <w:szCs w:val="10"/>
                <w:b w:val="1"/>
                <w:bCs w:val="1"/>
                <w:color w:val="auto"/>
              </w:rPr>
              <w:t>Three months ended June 30, 2020</w:t>
            </w:r>
          </w:p>
        </w:tc>
        <w:tc>
          <w:tcPr>
            <w:tcW w:w="12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First Lien Loans</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vMerge w:val="restart"/>
          </w:tcPr>
          <w:p>
            <w:pPr>
              <w:jc w:val="right"/>
              <w:ind w:right="21"/>
              <w:spacing w:after="0"/>
              <w:rPr>
                <w:sz w:val="20"/>
                <w:szCs w:val="20"/>
                <w:color w:val="auto"/>
              </w:rPr>
            </w:pPr>
            <w:r>
              <w:rPr>
                <w:rFonts w:ascii="Arial" w:cs="Arial" w:eastAsia="Arial" w:hAnsi="Arial"/>
                <w:sz w:val="10"/>
                <w:szCs w:val="10"/>
                <w:b w:val="1"/>
                <w:bCs w:val="1"/>
                <w:color w:val="auto"/>
                <w:w w:val="89"/>
              </w:rPr>
              <w:t>Second Lien Loans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w w:val="91"/>
              </w:rPr>
              <w:t>Subordinated Debt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Preferred</w:t>
            </w:r>
          </w:p>
        </w:tc>
        <w:tc>
          <w:tcPr>
            <w:tcW w:w="120" w:type="dxa"/>
            <w:vAlign w:val="bottom"/>
          </w:tcPr>
          <w:p>
            <w:pPr>
              <w:spacing w:after="0"/>
              <w:rPr>
                <w:sz w:val="14"/>
                <w:szCs w:val="14"/>
                <w:color w:val="auto"/>
              </w:rPr>
            </w:pPr>
          </w:p>
        </w:tc>
        <w:tc>
          <w:tcPr>
            <w:tcW w:w="800" w:type="dxa"/>
            <w:vAlign w:val="bottom"/>
            <w:vMerge w:val="restart"/>
          </w:tcPr>
          <w:p>
            <w:pPr>
              <w:jc w:val="right"/>
              <w:ind w:right="101"/>
              <w:spacing w:after="0"/>
              <w:rPr>
                <w:sz w:val="20"/>
                <w:szCs w:val="20"/>
                <w:color w:val="auto"/>
              </w:rPr>
            </w:pPr>
            <w:r>
              <w:rPr>
                <w:rFonts w:ascii="Arial" w:cs="Arial" w:eastAsia="Arial" w:hAnsi="Arial"/>
                <w:sz w:val="10"/>
                <w:szCs w:val="10"/>
                <w:b w:val="1"/>
                <w:bCs w:val="1"/>
                <w:color w:val="auto"/>
                <w:w w:val="96"/>
              </w:rPr>
              <w:t>I-45 SLF, LLC</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52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22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&amp; Common Equity</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Fair value,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427,447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37,139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9,747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39,760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553,072</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New investments</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23,685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1,272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12,800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37,757</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sales of investments</w:t>
            </w:r>
          </w:p>
        </w:tc>
        <w:tc>
          <w:tcPr>
            <w:tcW w:w="1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Principal repayments received</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(7,576)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(7,638)</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PIK interest earned</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899</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Accretion of loan discounts</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519</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Realized gain</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(5,560)</w:t>
            </w:r>
          </w:p>
        </w:tc>
        <w:tc>
          <w:tcPr>
            <w:tcW w:w="0" w:type="dxa"/>
            <w:vAlign w:val="bottom"/>
          </w:tcPr>
          <w:p>
            <w:pPr>
              <w:spacing w:after="0"/>
              <w:rPr>
                <w:sz w:val="1"/>
                <w:szCs w:val="1"/>
                <w:color w:val="auto"/>
              </w:rPr>
            </w:pPr>
          </w:p>
        </w:tc>
      </w:tr>
      <w:tr>
        <w:trPr>
          <w:trHeight w:val="153"/>
        </w:trPr>
        <w:tc>
          <w:tcPr>
            <w:tcW w:w="4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Unrealized gain (loss)</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(634)</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4,191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8,129</w:t>
            </w:r>
          </w:p>
        </w:tc>
        <w:tc>
          <w:tcPr>
            <w:tcW w:w="0" w:type="dxa"/>
            <w:vAlign w:val="bottom"/>
          </w:tcPr>
          <w:p>
            <w:pPr>
              <w:spacing w:after="0"/>
              <w:rPr>
                <w:sz w:val="1"/>
                <w:szCs w:val="1"/>
                <w:color w:val="auto"/>
              </w:rPr>
            </w:pPr>
          </w:p>
        </w:tc>
      </w:tr>
      <w:tr>
        <w:trPr>
          <w:trHeight w:val="158"/>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Fair value,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439,944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37,504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9,747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43,232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56,751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587,178</w:t>
            </w:r>
          </w:p>
        </w:tc>
        <w:tc>
          <w:tcPr>
            <w:tcW w:w="0" w:type="dxa"/>
            <w:vAlign w:val="bottom"/>
          </w:tcPr>
          <w:p>
            <w:pPr>
              <w:spacing w:after="0"/>
              <w:rPr>
                <w:sz w:val="1"/>
                <w:szCs w:val="1"/>
                <w:color w:val="auto"/>
              </w:rPr>
            </w:pPr>
          </w:p>
        </w:tc>
      </w:tr>
      <w:tr>
        <w:trPr>
          <w:trHeight w:val="169"/>
        </w:trPr>
        <w:tc>
          <w:tcPr>
            <w:tcW w:w="42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2"/>
                <w:szCs w:val="12"/>
                <w:color w:val="auto"/>
              </w:rPr>
              <w:t>Weighted average yield on debt investments at end of period</w:t>
            </w:r>
          </w:p>
        </w:tc>
        <w:tc>
          <w:tcPr>
            <w:tcW w:w="120" w:type="dxa"/>
            <w:vAlign w:val="bottom"/>
            <w:tcBorders>
              <w:top w:val="single" w:sz="8" w:color="auto"/>
              <w:bottom w:val="single" w:sz="8" w:color="CCEEFF"/>
            </w:tcBorders>
          </w:tcPr>
          <w:p>
            <w:pPr>
              <w:spacing w:after="0"/>
              <w:rPr>
                <w:sz w:val="14"/>
                <w:szCs w:val="14"/>
                <w:color w:val="auto"/>
              </w:rPr>
            </w:pPr>
          </w:p>
        </w:tc>
        <w:tc>
          <w:tcPr>
            <w:tcW w:w="92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CCEEFF"/>
            </w:tcBorders>
          </w:tcPr>
          <w:p>
            <w:pPr>
              <w:spacing w:after="0"/>
              <w:rPr>
                <w:sz w:val="14"/>
                <w:szCs w:val="14"/>
                <w:color w:val="auto"/>
              </w:rPr>
            </w:pPr>
          </w:p>
        </w:tc>
        <w:tc>
          <w:tcPr>
            <w:tcW w:w="10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80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10.08 %</w:t>
            </w:r>
          </w:p>
        </w:tc>
        <w:tc>
          <w:tcPr>
            <w:tcW w:w="0" w:type="dxa"/>
            <w:vAlign w:val="bottom"/>
          </w:tcPr>
          <w:p>
            <w:pPr>
              <w:spacing w:after="0"/>
              <w:rPr>
                <w:sz w:val="1"/>
                <w:szCs w:val="1"/>
                <w:color w:val="auto"/>
              </w:rPr>
            </w:pPr>
          </w:p>
        </w:tc>
      </w:tr>
      <w:tr>
        <w:trPr>
          <w:trHeight w:val="17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yield on total investments at end of period</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10.36 %</w:t>
            </w:r>
          </w:p>
        </w:tc>
        <w:tc>
          <w:tcPr>
            <w:tcW w:w="0" w:type="dxa"/>
            <w:vAlign w:val="bottom"/>
          </w:tcPr>
          <w:p>
            <w:pPr>
              <w:spacing w:after="0"/>
              <w:rPr>
                <w:sz w:val="1"/>
                <w:szCs w:val="1"/>
                <w:color w:val="auto"/>
              </w:rPr>
            </w:pPr>
          </w:p>
        </w:tc>
      </w:tr>
      <w:tr>
        <w:trPr>
          <w:trHeight w:val="716"/>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ind w:right="541"/>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40" w:right="299" w:bottom="1440" w:gutter="0" w:footer="0" w:header="0"/>
        </w:sectPr>
      </w:pPr>
    </w:p>
    <w:bookmarkStart w:id="78" w:name="page79"/>
    <w:bookmarkEnd w:id="78"/>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1"/>
          <w:szCs w:val="11"/>
          <w:color w:val="auto"/>
        </w:rPr>
        <w:t>The composite measure of our financial performance in the Consolidated Statements of Operations is captioned “Net increase in net assets from operations” and consists of three elements. The first is “Net investment income,” which is the difference between income from interest, dividends and fees and our combined operating and interest expenses, net of applicable income taxes. The second element is “Net realized (loss) gain on investments before income tax,” which is the difference between the proceeds received from the disposition of portfolio securities and their stated cost. The third element is the “Net unrealized appreciation (depreciation) on investments, net of tax,” which is the net change in the market or fair value of our investment portfolio, compared with stated cost. The “Net realized (loss) gain on investments before income tax” and “Net unrealized appreciation (depreciation) on investments, net of tax” are directly related in that when an appreciated portfolio security is sold to realize a gain, a corresponding decrease in net unrealized appreciation occurs by transferring the gain associated with the transaction from being “unrealized” to being “realized.” Conversely, when a loss is realized on a depreciated portfolio security, an increase in net unrealized appreciation occurs.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three months ended June 30, 2021 and June 30,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3"/>
          </w:tcPr>
          <w:p>
            <w:pPr>
              <w:jc w:val="center"/>
              <w:spacing w:after="0"/>
              <w:rPr>
                <w:sz w:val="20"/>
                <w:szCs w:val="20"/>
                <w:color w:val="auto"/>
              </w:rPr>
            </w:pPr>
            <w:r>
              <w:rPr>
                <w:rFonts w:ascii="Arial" w:cs="Arial" w:eastAsia="Arial" w:hAnsi="Arial"/>
                <w:sz w:val="10"/>
                <w:szCs w:val="10"/>
                <w:b w:val="1"/>
                <w:bCs w:val="1"/>
                <w:color w:val="auto"/>
                <w:w w:val="86"/>
              </w:rPr>
              <w:t>Three Months Ended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0"/>
        </w:trPr>
        <w:tc>
          <w:tcPr>
            <w:tcW w:w="62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4"/>
              </w:rPr>
              <w:t>June 30,</w:t>
            </w: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Net Change</w:t>
            </w:r>
          </w:p>
        </w:tc>
        <w:tc>
          <w:tcPr>
            <w:tcW w:w="860" w:type="dxa"/>
            <w:vAlign w:val="bottom"/>
            <w:tcBorders>
              <w:bottom w:val="single" w:sz="8" w:color="auto"/>
            </w:tcBorders>
          </w:tcPr>
          <w:p>
            <w:pPr>
              <w:spacing w:after="0"/>
              <w:rPr>
                <w:sz w:val="11"/>
                <w:szCs w:val="11"/>
                <w:color w:val="auto"/>
              </w:rPr>
            </w:pPr>
          </w:p>
        </w:tc>
      </w:tr>
      <w:tr>
        <w:trPr>
          <w:trHeight w:val="118"/>
        </w:trPr>
        <w:tc>
          <w:tcPr>
            <w:tcW w:w="62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jc w:val="right"/>
              <w:ind w:right="421"/>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tcPr>
          <w:p>
            <w:pPr>
              <w:ind w:left="160"/>
              <w:spacing w:after="0"/>
              <w:rPr>
                <w:sz w:val="20"/>
                <w:szCs w:val="20"/>
                <w:color w:val="auto"/>
              </w:rPr>
            </w:pPr>
            <w:r>
              <w:rPr>
                <w:rFonts w:ascii="Arial" w:cs="Arial" w:eastAsia="Arial" w:hAnsi="Arial"/>
                <w:sz w:val="10"/>
                <w:szCs w:val="10"/>
                <w:b w:val="1"/>
                <w:bCs w:val="1"/>
                <w:color w:val="auto"/>
              </w:rPr>
              <w:t>Amount</w:t>
            </w:r>
          </w:p>
        </w:tc>
        <w:tc>
          <w:tcPr>
            <w:tcW w:w="860" w:type="dxa"/>
            <w:vAlign w:val="bottom"/>
          </w:tcPr>
          <w:p>
            <w:pPr>
              <w:jc w:val="right"/>
              <w:ind w:right="521"/>
              <w:spacing w:after="0"/>
              <w:rPr>
                <w:sz w:val="20"/>
                <w:szCs w:val="20"/>
                <w:color w:val="auto"/>
              </w:rPr>
            </w:pPr>
            <w:r>
              <w:rPr>
                <w:rFonts w:ascii="Arial" w:cs="Arial" w:eastAsia="Arial" w:hAnsi="Arial"/>
                <w:sz w:val="10"/>
                <w:szCs w:val="10"/>
                <w:b w:val="1"/>
                <w:bCs w:val="1"/>
                <w:color w:val="auto"/>
              </w:rPr>
              <w:t>%</w:t>
            </w:r>
          </w:p>
        </w:tc>
      </w:tr>
      <w:tr>
        <w:trPr>
          <w:trHeight w:val="115"/>
        </w:trPr>
        <w:tc>
          <w:tcPr>
            <w:tcW w:w="62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4"/>
              </w:rPr>
              <w:t>(in thousands)</w:t>
            </w: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154"/>
        </w:trPr>
        <w:tc>
          <w:tcPr>
            <w:tcW w:w="6260" w:type="dxa"/>
            <w:vAlign w:val="bottom"/>
            <w:shd w:val="clear" w:color="auto" w:fill="CCEEFF"/>
          </w:tcPr>
          <w:p>
            <w:pPr>
              <w:spacing w:after="0"/>
              <w:rPr>
                <w:sz w:val="20"/>
                <w:szCs w:val="20"/>
                <w:color w:val="auto"/>
              </w:rPr>
            </w:pPr>
            <w:r>
              <w:rPr>
                <w:rFonts w:ascii="Arial" w:cs="Arial" w:eastAsia="Arial" w:hAnsi="Arial"/>
                <w:sz w:val="12"/>
                <w:szCs w:val="12"/>
                <w:color w:val="auto"/>
              </w:rPr>
              <w:t>Total investment income</w:t>
            </w: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w w:val="97"/>
              </w:rPr>
              <w:t>18,579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15,164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3,415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22.5 %</w:t>
            </w:r>
          </w:p>
        </w:tc>
      </w:tr>
      <w:tr>
        <w:trPr>
          <w:trHeight w:val="153"/>
        </w:trPr>
        <w:tc>
          <w:tcPr>
            <w:tcW w:w="6260" w:type="dxa"/>
            <w:vAlign w:val="bottom"/>
          </w:tcPr>
          <w:p>
            <w:pPr>
              <w:spacing w:after="0"/>
              <w:rPr>
                <w:sz w:val="20"/>
                <w:szCs w:val="20"/>
                <w:color w:val="auto"/>
              </w:rPr>
            </w:pPr>
            <w:r>
              <w:rPr>
                <w:rFonts w:ascii="Arial" w:cs="Arial" w:eastAsia="Arial" w:hAnsi="Arial"/>
                <w:sz w:val="12"/>
                <w:szCs w:val="12"/>
                <w:color w:val="auto"/>
              </w:rPr>
              <w:t>Interest expense</w:t>
            </w: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(4,955)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(627)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14.5 %</w:t>
            </w:r>
          </w:p>
        </w:tc>
      </w:tr>
      <w:tr>
        <w:trPr>
          <w:trHeight w:val="153"/>
        </w:trPr>
        <w:tc>
          <w:tcPr>
            <w:tcW w:w="6260" w:type="dxa"/>
            <w:vAlign w:val="bottom"/>
            <w:shd w:val="clear" w:color="auto" w:fill="CCEEFF"/>
          </w:tcPr>
          <w:p>
            <w:pPr>
              <w:spacing w:after="0"/>
              <w:rPr>
                <w:sz w:val="20"/>
                <w:szCs w:val="20"/>
                <w:color w:val="auto"/>
              </w:rPr>
            </w:pPr>
            <w:r>
              <w:rPr>
                <w:rFonts w:ascii="Arial" w:cs="Arial" w:eastAsia="Arial" w:hAnsi="Arial"/>
                <w:sz w:val="12"/>
                <w:szCs w:val="12"/>
                <w:color w:val="auto"/>
              </w:rPr>
              <w:t>Other operating expenses</w:t>
            </w:r>
          </w:p>
        </w:tc>
        <w:tc>
          <w:tcPr>
            <w:tcW w:w="7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(4,185)</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(3,667)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14.1 %</w:t>
            </w:r>
          </w:p>
        </w:tc>
      </w:tr>
      <w:tr>
        <w:trPr>
          <w:trHeight w:val="142"/>
        </w:trPr>
        <w:tc>
          <w:tcPr>
            <w:tcW w:w="6260" w:type="dxa"/>
            <w:vAlign w:val="bottom"/>
          </w:tcPr>
          <w:p>
            <w:pPr>
              <w:spacing w:after="0"/>
              <w:rPr>
                <w:sz w:val="20"/>
                <w:szCs w:val="20"/>
                <w:color w:val="auto"/>
              </w:rPr>
            </w:pPr>
            <w:r>
              <w:rPr>
                <w:rFonts w:ascii="Arial" w:cs="Arial" w:eastAsia="Arial" w:hAnsi="Arial"/>
                <w:sz w:val="12"/>
                <w:szCs w:val="12"/>
                <w:color w:val="auto"/>
              </w:rPr>
              <w:t>Income before taxes</w:t>
            </w:r>
          </w:p>
        </w:tc>
        <w:tc>
          <w:tcPr>
            <w:tcW w:w="720" w:type="dxa"/>
            <w:vAlign w:val="bottom"/>
          </w:tcPr>
          <w:p>
            <w:pPr>
              <w:spacing w:after="0"/>
              <w:rPr>
                <w:sz w:val="12"/>
                <w:szCs w:val="12"/>
                <w:color w:val="auto"/>
              </w:rPr>
            </w:pPr>
          </w:p>
        </w:tc>
        <w:tc>
          <w:tcPr>
            <w:tcW w:w="440" w:type="dxa"/>
            <w:vAlign w:val="bottom"/>
          </w:tcPr>
          <w:p>
            <w:pPr>
              <w:jc w:val="right"/>
              <w:ind w:right="3"/>
              <w:spacing w:after="0"/>
              <w:rPr>
                <w:sz w:val="20"/>
                <w:szCs w:val="20"/>
                <w:color w:val="auto"/>
              </w:rPr>
            </w:pPr>
            <w:r>
              <w:rPr>
                <w:rFonts w:ascii="Arial" w:cs="Arial" w:eastAsia="Arial" w:hAnsi="Arial"/>
                <w:sz w:val="12"/>
                <w:szCs w:val="12"/>
                <w:color w:val="auto"/>
              </w:rPr>
              <w:t>9,439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7,169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2,270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31.7 %</w:t>
            </w:r>
          </w:p>
        </w:tc>
      </w:tr>
      <w:tr>
        <w:trPr>
          <w:trHeight w:val="153"/>
        </w:trPr>
        <w:tc>
          <w:tcPr>
            <w:tcW w:w="62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7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396</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13.1 %</w:t>
            </w:r>
          </w:p>
        </w:tc>
      </w:tr>
      <w:tr>
        <w:trPr>
          <w:trHeight w:val="142"/>
        </w:trPr>
        <w:tc>
          <w:tcPr>
            <w:tcW w:w="6260" w:type="dxa"/>
            <w:vAlign w:val="bottom"/>
          </w:tcPr>
          <w:p>
            <w:pPr>
              <w:spacing w:after="0"/>
              <w:rPr>
                <w:sz w:val="20"/>
                <w:szCs w:val="20"/>
                <w:color w:val="auto"/>
              </w:rPr>
            </w:pPr>
            <w:r>
              <w:rPr>
                <w:rFonts w:ascii="Arial" w:cs="Arial" w:eastAsia="Arial" w:hAnsi="Arial"/>
                <w:sz w:val="12"/>
                <w:szCs w:val="12"/>
                <w:color w:val="auto"/>
              </w:rPr>
              <w:t>Net investment income</w:t>
            </w:r>
          </w:p>
        </w:tc>
        <w:tc>
          <w:tcPr>
            <w:tcW w:w="720" w:type="dxa"/>
            <w:vAlign w:val="bottom"/>
          </w:tcPr>
          <w:p>
            <w:pPr>
              <w:spacing w:after="0"/>
              <w:rPr>
                <w:sz w:val="12"/>
                <w:szCs w:val="12"/>
                <w:color w:val="auto"/>
              </w:rPr>
            </w:pPr>
          </w:p>
        </w:tc>
        <w:tc>
          <w:tcPr>
            <w:tcW w:w="440" w:type="dxa"/>
            <w:vAlign w:val="bottom"/>
          </w:tcPr>
          <w:p>
            <w:pPr>
              <w:jc w:val="right"/>
              <w:ind w:right="3"/>
              <w:spacing w:after="0"/>
              <w:rPr>
                <w:sz w:val="20"/>
                <w:szCs w:val="20"/>
                <w:color w:val="auto"/>
              </w:rPr>
            </w:pPr>
            <w:r>
              <w:rPr>
                <w:rFonts w:ascii="Arial" w:cs="Arial" w:eastAsia="Arial" w:hAnsi="Arial"/>
                <w:sz w:val="12"/>
                <w:szCs w:val="12"/>
                <w:color w:val="auto"/>
              </w:rPr>
              <w:t>9,043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6,819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2,224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32.6 %</w:t>
            </w:r>
          </w:p>
        </w:tc>
      </w:tr>
      <w:tr>
        <w:trPr>
          <w:trHeight w:val="153"/>
        </w:trPr>
        <w:tc>
          <w:tcPr>
            <w:tcW w:w="6260" w:type="dxa"/>
            <w:vAlign w:val="bottom"/>
            <w:shd w:val="clear" w:color="auto" w:fill="CCEEFF"/>
          </w:tcPr>
          <w:p>
            <w:pPr>
              <w:spacing w:after="0"/>
              <w:rPr>
                <w:sz w:val="20"/>
                <w:szCs w:val="20"/>
                <w:color w:val="auto"/>
              </w:rPr>
            </w:pPr>
            <w:r>
              <w:rPr>
                <w:rFonts w:ascii="Arial" w:cs="Arial" w:eastAsia="Arial" w:hAnsi="Arial"/>
                <w:sz w:val="12"/>
                <w:szCs w:val="12"/>
                <w:color w:val="auto"/>
              </w:rPr>
              <w:t>Net realized (loss) gain on investments, net of tax</w:t>
            </w: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(952)</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4,595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w:t>
            </w:r>
          </w:p>
        </w:tc>
      </w:tr>
      <w:tr>
        <w:trPr>
          <w:trHeight w:val="153"/>
        </w:trPr>
        <w:tc>
          <w:tcPr>
            <w:tcW w:w="6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unrealized appreciation (depreciation) on investments, net of tax</w:t>
            </w: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7,051</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7,605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(7.3)%</w:t>
            </w:r>
          </w:p>
        </w:tc>
      </w:tr>
      <w:tr>
        <w:trPr>
          <w:trHeight w:val="158"/>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increase (decrease) in net assets from operations</w:t>
            </w:r>
          </w:p>
        </w:tc>
        <w:tc>
          <w:tcPr>
            <w:tcW w:w="7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w w:val="97"/>
              </w:rPr>
              <w:t>15,142</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8,877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6,265</w:t>
            </w: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70.6 %</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Income</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Total investment income consisted of interest income, dividend income and other income for each applicable period. For the three months ended June 30, 2021, we reported investment income of $18.6 million, a $3.4 million, or 22.5%, increase as compared to the three months ended June 30, 2020. The increase was primarily due to a $3.0 million increase in interest income generated from our debt investments due to a 34.7% increase in the cost basis of debt investments held from $503.8 million to $678.5 million year-over-year, as well as an increase of $0.7 million in dividend income due to distributions received from portfolio companies. This increase was partially offset by a $0.2 million decrease in fees and other income.</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Due to the nature of our business, the majority of our operating expenses are related to interest and fees on our borrowings, employee compensation (including both cash and share-based compensation) and general and administrative expenses.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and Fees on our Borrowings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For the three months ended June 30, 2021, our total interest expense was $5.0 million, an increase of $0.6 million, as compared to the total interest expense of $4.3 million for the three months ended June 30, 2020. The increase was primarily attributable to the issuance of $140 million in aggregate principal amount of the January 2026 Notes, offset by a decrease due to the redemption of the December 2022 Notes and a decrease of $25.6 million in average borrowings on our Credit Facility, as well as a decrease in the weighted average interest rate on our Credit Facility from 3.68% to 2.71% during the three months ended June 30, 2020 and June 30, 2021,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300"/>
          </w:cols>
          <w:pgMar w:left="300" w:top="140" w:right="299" w:bottom="1440" w:gutter="0" w:footer="0" w:header="0"/>
        </w:sectPr>
      </w:pPr>
    </w:p>
    <w:bookmarkStart w:id="79" w:name="page80"/>
    <w:bookmarkEnd w:id="79"/>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Salaries, General and Administrative Expenses</w:t>
      </w:r>
    </w:p>
    <w:p>
      <w:pPr>
        <w:spacing w:after="0" w:line="168"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For the three months ended June 30, 2021, our total employee compensation expense (including both cash and share-based compensation) increased by $0.2 million, or 7.5%, as compared to the total employee compensation expense for the three months ended June 30, 2020. The increase was primarily due to an increase in share-based compensation as a result of the incremental compensation costs related to a restricted stock award modification during the three months ended June 30, 2021. For the three months ended June 30, 2021, our total general and administrative expense was $1.7 million, an increase of $0.4 million or 25.6%, as compared to the total general and administrative expense of $1.3 million for the three months ended June 30, 2020. The increase was primarily due to employee recruiting costs related to the hiring of a new principal and an increase in director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Investment Income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For the three months ended June 30, 2021, income before taxes increased by $2.3 million, or 31.7%. Net investment income increased from the prior year period by $2.2 million, or 32.6%, to $9.0 million as a result of a $3.4 million increase in total investment income, partially offset by a $0.6 million increase in interest expense.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Realized and Unrealized Gains (Losses) on Investments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During the three months ended June 30, 2021, we recognized net realized losses totaling $1.0 million, which primarily consisted of losses of $2.3 million on the sale of one non-control/non-affiliate debt investment, partially offset by a gain of $1.1 million on the sale of one non-control/non-affiliate equity investment and gains on repayments of debt investments.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addition, during the three months ended June 30, 2021, we recorded net unrealized appreciation on our current portfolio of $6.2 million, consisting of unrealized gains of $0.9 million on I-45 SLF LLC, $5.2 million on equity investments and $0.5 million on LMM debt investments, offset by unrealized losses on UMM debt investments of $0.4 million. These unrealized gains and losses were due to changes in fair value based on the overall EBITDA performance and cash flows of each investment. We also recorded the reversal of $1.3 million of net unrealized depreciation recognized in prior periods due to realized losses described above, and net unrealized depreciation related to deferred tax associated with the Taxable Subsidiary of $0.4 million, totaling $7.1 million of net unrealized appreciation on investments.</w:t>
      </w:r>
    </w:p>
    <w:p>
      <w:pPr>
        <w:spacing w:after="0" w:line="14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During the three months ended June 30, 2020, we recognized net realized losses totaling $5.5 million, which consisted of losses on the restructuring of one non-control/non-affiliate investment partially offset by gains on the partial repayments of debt investments.</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In addition, during the three months ended June 30, 2020, we recorded net unrealized appreciation on our current portfolio of $2.7 million, the reversal of $5.4 million of net unrealized depreciation recognized in prior periods due to the realized losses described above, and net unrealized depreciation related to deferred tax associated with the Taxable Subsidiary of $0.5 million, totaling $7.6 million of net unrealized appreciation on investments. Net unrealized appreciation on our current portfolio included unrealized gains on I-45 SLF LLC of $4.2 million and $0.6 million on UMM debt investments, offset by unrealized losses on LMM debt investments of $1.5 million and LMM equity investments of $0.6 million. These unrealized gains and losses were due to changes in fair value based on the overall EBITDA performance and cash flows of each investment.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300"/>
          </w:cols>
          <w:pgMar w:left="300" w:top="140" w:right="299" w:bottom="1440" w:gutter="0" w:footer="0" w:header="0"/>
        </w:sectPr>
      </w:pPr>
    </w:p>
    <w:bookmarkStart w:id="80" w:name="page81"/>
    <w:bookmarkEnd w:id="80"/>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LIQUIDITY AND CAPITAL RESOURCES</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liquidity and capital resources are generated primarily from cash flows from operations, the net proceeds of public offerings of debt and equity securities and advances from the Credit Facility. Management believes that the Company’s cash and cash equivalents, cash available from investments, and commitments under the Credit Facility are adequate to meet its needs for the next twelve months. We anticipate that we will continue to fund our investment activities through existing cash and cash equivalents, cash flows generated through our ongoing operating activities, utilization of available borrowings under our Credit Facility and future issuances of debt and equity on terms we believe are favorable to the Company and our shareholders. Our primary uses of funds will be investments in portfolio companies and operating expenses. Due to the diverse capital sources available to us at this time, we believe we have adequate liquidity to support our near-term capital requirements. As the impact of COVID-19 continues to evolve, we will continually evaluate our overall liquidity position and take proactive steps to maintain that position based on the current circumstances.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16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For the three months ended June 30, 2021, we experienced a net decrease in cash and cash equivalents in the amount of $15.1 million. During the foregoing period, our operating activities used $100.3 million in cash, consisting primarily of new portfolio investments of $107.3 million, partially offset by $4.1 million from sales and repayments received from debt investments in portfolio companies and $1.6 million from sales and return of capital of equity investments in portfolio companies. In addition, our financing activities increased cash by $85.2 million, consisting primarily of borrowings on our Credit Facility of $70.0 million and net proceeds from the Equity ATM Program of $27.7 million, partially offset by cash dividends paid in the amount of $11.5 million. At June 30, 2021, the Company had cash and cash equivalents of approximately $16.5 million.</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the three months ended June 30, 2020, we experienced a net increase in cash and cash equivalents in the amount of $1.2 million. During that period, our operating activities used $22.9 million in cash, consisting primarily of new portfolio investments of $37.8 million, partially offset by $7.6 million of sales and repayments received from debt investments in portfolio companies. In addition, our financing activities increased cash by $24.1 million, consisting primarily of borrowings on our Credit Facility of $28.0 million, partially offset by cash dividends paid in the amount of $9.5 million. At June 30, 2020, the Company had cash and cash equivalents of approximately $15.0 million.</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Transactions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accordance with the 1940 Act, with certain limitations, effective April 25, 2019, the Company is only allowed to borrow amounts such that its asset coverage (i.e., the ratio of assets less liabilities not represented by senior securities to senior securities such as borrowings), calculated pursuant to the 1940 Act, is at least 150% after such borrowing. The Board of Directors also approved a resolution which limits the Company’s issuance of senior securities such that the asset coverage ratio, taking into account any such issuance, would not be less than 166%, which became effective April 25, 2019. As of June 30, 2021, the Company’s asset coverage was 181%.</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Facility</w:t>
      </w:r>
    </w:p>
    <w:p>
      <w:pPr>
        <w:spacing w:after="0" w:line="16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August 2016, CSWC entered into a senior secured credit facility (as amended, restated, supplemented or otherwise modified from time to time, the “Credit Facility”) to provide additional liquidity to support its investment and operational activities. The Credit Facility contains an accordion feature that allows CSWC to increase the total commitments under the Credit Facility up to $400 million from new and existing lenders on the same terms and conditions as the existing commitments. Borrowings under the Credit Facility accrue interest on a per annum basis at a rate equal to the applicable LIBOR rate plus 2.50% with no LIBOR floor. CSWC pays unused commitment fees of 0.50% to 1.00% per annum, based on utilization, on the unused lender commitments under the Credit Facility. The total borrowing capacity under the Credit Facility is $340 million, with commitments from a diversified group of nine lenders.</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Credit Facility contains certain affirmative and negative covenants, including but not limited to: (1) certain reporting requirements, (2) maintaining RIC and BDC status, (3) maintaining a minimum senior coverage ratio of 2 to 1, (4) maintaining a minimum shareholders’ equity, (5) maintaining a minimum consolidated net worth, (6) maintaining a regulatory asset coverage of not less than 150%, (7) maintaining an interest coverage ratio of at least 2.25 to 1.0, and (8)</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300"/>
          </w:cols>
          <w:pgMar w:left="300" w:top="140" w:right="299" w:bottom="1440" w:gutter="0" w:footer="0" w:header="0"/>
        </w:sectPr>
      </w:pPr>
    </w:p>
    <w:bookmarkStart w:id="81" w:name="page82"/>
    <w:bookmarkEnd w:id="81"/>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at any time the outstanding advances exceed 90% of the borrowing base, maintaining a minimum liquidity of not less than 10% of the covered debt amount.</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Credit Facility also contains customary events of default, including, without limitation, nonpayment, misrepresentation of representations and warranties in a material respect, breach of covenant, bankruptcy, and change of control, with customary cure and notice provisions. If the Company defaults on its obligations under the Credit Facility, the lenders may have the right to foreclose upon and sell, or otherwise transfer, the collateral subject to their security interests.</w:t>
      </w:r>
    </w:p>
    <w:p>
      <w:pPr>
        <w:spacing w:after="0" w:line="14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Credit Facility is secured by (1) substantially all of the present and future property and assets of the Company and the guarantors and (2) 100% of the equity interests in the Company’s wholly-owned subsidiary. As of June 30, 2021, substantially all of the Company’s assets were pledged as collateral for the Credit Facility, except for assets held in SBIC I.</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At June 30, 2021, CSWC had $190.0 million in borrowings outstanding under the Credit Facility. CSWC recognized interest expense related to the Credit Facility, including unused commitment fees and amortization of deferred loan costs, of $1.4 million for the three months ended June 30, 2021. For the three months ended June 30, 2020, CSWC recognized interest expense of $1.9 million. The weighted average interest rate on the Credit Facility was 2.71% for the three months ended June 30, 2021. For the three months ended June 30, 2020, the weighted average interest rate on the Credit Facility was 3.68%. Average borrowings for the three months ended June 30, 2021 were $137.3 million. For the three months ended June 30, 2020, average borrowings were $162.9 million. As of June 30, 2021, CSWC was in compliance with all financial covenants under the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December 2022 Notes</w:t>
      </w:r>
    </w:p>
    <w:p>
      <w:pPr>
        <w:spacing w:after="0" w:line="16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In December 2017, the Company issued $57.5 million in aggregate principal amount, including the underwriters’ full exercise of their option to purchase additional principal amounts to cover over-allotments, of 5.95% Notes due 2022 (the “December 2022 Notes”). The December 2022 Notes bore interest at a rate of 5.95% per year, payable quarterly on March 15, June 15, September 15 and December 15 of each year, beginning on March 15, 2018.</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June 11, 2018, the Company entered into an ATM debt distribution agreement, pursuant to which it may offer for sale, from time to time, up to $50 million in aggregate principal amount of December 2022 Notes through B. Riley FBR, Inc., acting as its sales agent. The Company issued an additional $19.6 million in aggregate principal amount of the December 2022 Notes under this agreement. All issuances of December 2022 Notes ranked equally in right of payment and form a single series of notes.</w:t>
      </w:r>
    </w:p>
    <w:p>
      <w:pPr>
        <w:spacing w:after="0" w:line="140"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On September 29, 2020, the Company redeemed $20,000,000 in aggregate principal of the $77,136,175 in aggregate principal amount of issued and outstanding December 2022 Notes. On December 10, 2020, the Company redeemed $20,000,000 in aggregate principal of the $57,136,175 in aggregate principal amount of issued and outstanding December 2022 Notes. On January 21, 2021, the Company redeemed the remaining $37,136,175 in aggregate principal amount of issued and outstanding December 2022 Notes. The December 2022 Notes were redeemed at 100% of their principal amount, plus the accrued and unpaid interest thereon, through, but excluding each of the redemption dates. Accordingly, the Company recognized realized losses on extinguishment of debt, equal to the write-off of the related unamortized debt issuance costs, of $1.0 million during the year ended March 31, 2021.</w:t>
      </w:r>
    </w:p>
    <w:p>
      <w:pPr>
        <w:spacing w:after="0" w:line="11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Company recognized interest expense related to the December 2022 Notes, including amortization of deferred issuance costs of $1.3 million for the three months ended June 30, 2020. Average borrowings for the three months ended June 30, 2020 were $77.1 million. The December 2022 Notes had a weighted average effective yield of 5.93%.</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October 2024 Notes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September 2019, the Company issued $65.0 million in aggregate principal amount of 5.375% Notes due 2024 (the “Existing October 2024 Notes”). In October 2019, the Company issued an additional $10.0 million in aggregate principal amount of the October 2024 Notes (the "Additional October 2024 Notes"). In August 2020, the Company issued an additional $50.0 million in aggregate principal amount of the October 2024 Notes (the "New Notes" together with the Existing October 2024 Notes and the Additional October 2024 Notes, the "October 2024 Notes").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300"/>
          </w:cols>
          <w:pgMar w:left="300" w:top="140" w:right="299" w:bottom="1440" w:gutter="0" w:footer="0" w:header="0"/>
        </w:sectPr>
      </w:pPr>
    </w:p>
    <w:bookmarkStart w:id="82" w:name="page83"/>
    <w:bookmarkEnd w:id="82"/>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Additional October 2024 Notes and the New Notes are being treated as a single series with the Existing October 2024 Notes under the indenture and have the same terms as the Existing October 2024 Notes. The October 2024 Notes mature on October 1, 2024 and may be redeemed in whole or in part at any time prior to July 1, 2024, at par plus a “make-whole” premium, and thereafter at par. The October 2024 Notes bear interest at a rate of 5.375% per year, payable semi-annually on April 1 and October 1 of each year, beginning on April 1, 2020. The October 2024 Notes are the direct unsecured obligations of the Company and rank pari passu with our other outstanding and future unsecured unsubordinated indebtedness and are effectively subordinated to all of our existing and future secured indebtedness, including borrowings under our Credit Facility.</w:t>
      </w:r>
    </w:p>
    <w:p>
      <w:pPr>
        <w:spacing w:after="0" w:line="12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As of June 30, 2021, the carrying amount of the October 2024 Notes was $123.0 million on an aggregate principal amount of $125.0 million at a weighted average effective yield of 5.375%. As of June 30, 2021, the fair value of the October 2024 Notes was $123.7 million. This is a Level 3 fair value measurement under ASC 820 based on a valuation model using a discounted cash flow analysis. The Company recognized interest expense related to the October 2024 Notes, including amortization of deferred issuance costs, of $1.8 million for the three months ended June 30, 2021. For the three months ended June 30, 2020, the Company recognized interest expense of $1.1 million. For the three months ended June 30, 2021 and 2020, average borrowings were $125.0 million and $75.0 million, respectively.</w:t>
      </w:r>
    </w:p>
    <w:p>
      <w:pPr>
        <w:spacing w:after="0" w:line="142" w:lineRule="exact"/>
        <w:rPr>
          <w:sz w:val="20"/>
          <w:szCs w:val="20"/>
          <w:color w:val="auto"/>
        </w:rPr>
      </w:pPr>
    </w:p>
    <w:p>
      <w:pPr>
        <w:jc w:val="both"/>
        <w:ind w:left="8" w:firstLine="432"/>
        <w:spacing w:after="0" w:line="309" w:lineRule="auto"/>
        <w:rPr>
          <w:sz w:val="20"/>
          <w:szCs w:val="20"/>
          <w:color w:val="auto"/>
        </w:rPr>
      </w:pPr>
      <w:r>
        <w:rPr>
          <w:rFonts w:ascii="Arial" w:cs="Arial" w:eastAsia="Arial" w:hAnsi="Arial"/>
          <w:sz w:val="10"/>
          <w:szCs w:val="10"/>
          <w:color w:val="auto"/>
        </w:rPr>
        <w:t>The indenture governing the October 2024 Notes contains certain covenants, including certain covenants requiring the Company to comply with Section 18(a)(1)(A) as modified by Section 61(a)(2) of the 1940 Act, or any successor provisions, whether or not the Company continues to be subject to such provisions of the 1940 Act, but giving effect, in either case, to any exemptive relief granted to the Company by the SEC, to comply with Section 18(a)(1)</w:t>
      </w:r>
    </w:p>
    <w:p>
      <w:pPr>
        <w:spacing w:after="0" w:line="1" w:lineRule="exact"/>
        <w:rPr>
          <w:sz w:val="20"/>
          <w:szCs w:val="20"/>
          <w:color w:val="auto"/>
        </w:rPr>
      </w:pPr>
    </w:p>
    <w:p>
      <w:pPr>
        <w:jc w:val="both"/>
        <w:ind w:left="8" w:hanging="8"/>
        <w:spacing w:after="0" w:line="255" w:lineRule="auto"/>
        <w:tabs>
          <w:tab w:leader="none" w:pos="212" w:val="left"/>
        </w:tabs>
        <w:numPr>
          <w:ilvl w:val="0"/>
          <w:numId w:val="70"/>
        </w:numPr>
        <w:rPr>
          <w:rFonts w:ascii="Arial" w:cs="Arial" w:eastAsia="Arial" w:hAnsi="Arial"/>
          <w:sz w:val="12"/>
          <w:szCs w:val="12"/>
          <w:color w:val="auto"/>
        </w:rPr>
      </w:pPr>
      <w:r>
        <w:rPr>
          <w:rFonts w:ascii="Arial" w:cs="Arial" w:eastAsia="Arial" w:hAnsi="Arial"/>
          <w:sz w:val="12"/>
          <w:szCs w:val="12"/>
          <w:color w:val="auto"/>
        </w:rPr>
        <w:t>as modified by Section 61(a)(2) of the 1940 Act, or any successor provisions, after giving effect to any exemptive relief granted to the Company by the SEC and subject to certain other exceptions, and to provide financial information to the holders of the October 2024 Notes and the trustee under the indenture if the Company is no longer subject to the reporting requirements under the Exchange Act. These covenants are subject to important limitations and exceptions that are described in the indenture and the second supplemental indenture relating to the October 2024 Notes.</w:t>
      </w:r>
    </w:p>
    <w:p>
      <w:pPr>
        <w:spacing w:after="0" w:line="14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In addition, holders of the Notes can require the Company to repurchase some or all of the October 2024 Notes at a purchase price equal to 100% of their principal amount, plus accrued and unpaid interest to, but not including, the repurchase date upon the occurrence of a “Change of Control Repurchase Event,” as defined in the second supplemental indenture relating to the October 2024 Notes.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January 2026 Notes</w:t>
      </w:r>
    </w:p>
    <w:p>
      <w:pPr>
        <w:spacing w:after="0" w:line="168"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In December 2020, the Company issued $75.0 million in aggregate principal amount of 4.50% Notes due 2026 (the "Existing January 2026 Notes"). In February 2021, the Company issued an additional $65.0 million in aggregate principal amount of the January 2026 Notes (the "Additional January 2026 Notes" together with the Existing January 2026 Notes, the "January 2026 Notes"). The Additional January 2026 Notes were issued at a price of 102.11% of the aggregate principal amount of the Additional January 2026 Notes, resulting in a yield-to-maturity of approximately 4.0% at issuance. The January 2026 Notes mature on January 31, 2026 and may be redeemed in whole or in part at any time prior to October 31, 2025, at par plus a "make-whole" premium, and thereafter at par. The January 2026 Notes bear interest at a rate of 4.50% per year, payable semi-annually on January 31 and July 31 of each year, beginning on July 31, 2021. The January 2026 Notes are the direct unsecured obligations of the Company and rank pari passu with our other outstanding and future unsecured unsubordinated indebtedness and are effectively subordinated to all of our existing and future secured indebtedness, including borrowings under our Credit Facility.</w:t>
      </w:r>
    </w:p>
    <w:p>
      <w:pPr>
        <w:spacing w:after="0" w:line="146" w:lineRule="exact"/>
        <w:rPr>
          <w:sz w:val="20"/>
          <w:szCs w:val="20"/>
          <w:color w:val="auto"/>
        </w:rPr>
      </w:pPr>
    </w:p>
    <w:p>
      <w:pPr>
        <w:jc w:val="both"/>
        <w:ind w:left="8" w:right="20" w:firstLine="432"/>
        <w:spacing w:after="0" w:line="298" w:lineRule="auto"/>
        <w:rPr>
          <w:sz w:val="20"/>
          <w:szCs w:val="20"/>
          <w:color w:val="auto"/>
        </w:rPr>
      </w:pPr>
      <w:r>
        <w:rPr>
          <w:rFonts w:ascii="Arial" w:cs="Arial" w:eastAsia="Arial" w:hAnsi="Arial"/>
          <w:sz w:val="11"/>
          <w:szCs w:val="11"/>
          <w:color w:val="auto"/>
        </w:rPr>
        <w:t>As of June 30, 2021, the carrying amount of the January 2026 Notes was $138.5 million on an aggregate principal amount of $140.0 million at a weighted average effective yield of 4.46%. As of June 30, 2021, the fair value of the January 2026 Notes was $138.9 million. This is a Level 3 fair value measurement under ASC 820 based on a valuation model using a discounted cash flow analysis. The Company recognized interest expense related to the January 2026 Notes, including amortization of deferred issuance costs, of $1.7 million for the three months ended June 30, 2021. For the three months ended June 30, 2021, average borrowings were $140.0 million.</w:t>
      </w:r>
    </w:p>
    <w:p>
      <w:pPr>
        <w:spacing w:after="0" w:line="12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indenture governing the January 2026 Notes contains certain covenants, including certain covenants requiring the Company to comply with Section 18(a)(1)(A) as modified by Section 61(a)(2) of the 1940 Act, or any successor provisions, whether or not the Company continues to be subject to such provisions of the 1940 Act, but giving effect, in either case, to any exemptive relief granted to the Company by the SEC, to comply with Section 18(a)(1) (B) as</w:t>
      </w: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308"/>
          </w:cols>
          <w:pgMar w:left="292" w:top="140" w:right="299" w:bottom="1440" w:gutter="0" w:footer="0" w:header="0"/>
        </w:sectPr>
      </w:pPr>
    </w:p>
    <w:bookmarkStart w:id="83" w:name="page84"/>
    <w:bookmarkEnd w:id="83"/>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modified by Section 61(a)(2) of the 1940 Act, or any successor provisions, after giving effect to any exemptive relief granted to the Company by the SEC and subject to certain other exceptions, and to provide financial information to the holders of the January 2026 Notes and the trustee under the indenture if the Company is no longer subject to the reporting requirements under the Exchange Act. These covenants are subject to important limitations and exceptions that are described in the indenture and the third supplemental indenture relating to the January 2026 Notes.</w:t>
      </w:r>
    </w:p>
    <w:p>
      <w:pPr>
        <w:spacing w:after="0" w:line="14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In addition, holders of the Notes can require the Company to repurchase some or all of the January 2026 Notes at a purchase price equal to 100% of their principal amount, plus accrued and unpaid interest to, but not including, the repurchase date upon the occurrence of a “Change of Control Repurchase Event,” as defined in the third supplemental indenture relating to the January 2026 Notes.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SBA Debentures</w:t>
      </w:r>
    </w:p>
    <w:p>
      <w:pPr>
        <w:spacing w:after="0" w:line="168"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On April 20, 2021, SBIC I received a license from the SBA to operate as an SBIC under Section 301(c) of the Small Business Investment Act of 1958, as amended. The license will allow SBIC I to obtain leverage by issuing SBA-guaranteed debentures, subject to the issuance of a leverage commitment by the SBA. SBA debentures are loans issued to an SBIC which have interest payable semi-annually and a ten-year maturity. The interest rate is fixed shortly after issuance at a market-driven spread over U.S. Treasury Notes with ten-year maturities. Current statutes and regulations permit SBIC I to borrow up to $175 million in SBA debentures.</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On May 25, 2021, SBIC I received a leverage commitment from the SBA in the amount of $40.0 million to be issued on or prior to September 30, 2025.</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Equity Capital Activities</w:t>
      </w:r>
    </w:p>
    <w:p>
      <w:pPr>
        <w:spacing w:after="0" w:line="168"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In January 2016, our board of directors approved a share repurchase program authorizing us to repurchase up to $10 million in the aggregate of our outstanding shares of common stock in the open market at certain thresholds below our net asset value per share, in accordance with Rules 10b-18 under the Exchange Act. On March 1, 2016, the Company entered into a share repurchase agreement, which became effective immediately and terminated on March 26, 2020 upon the Company's purchase of the aggregate gross dollar amount (inclusive of commission fees) of its common stock under the share repurchase program meeting the threshold set forth in the share repurchase agreement. Accordingly, during the three months ended June 30, 2021, the Company did not repurchase any shares of the Company's common stock under the share repurchase program.</w:t>
      </w:r>
    </w:p>
    <w:p>
      <w:pPr>
        <w:spacing w:after="0" w:line="129" w:lineRule="exact"/>
        <w:rPr>
          <w:sz w:val="20"/>
          <w:szCs w:val="20"/>
          <w:color w:val="auto"/>
        </w:rPr>
      </w:pPr>
    </w:p>
    <w:p>
      <w:pPr>
        <w:ind w:left="428"/>
        <w:spacing w:after="0"/>
        <w:rPr>
          <w:sz w:val="20"/>
          <w:szCs w:val="20"/>
          <w:color w:val="auto"/>
        </w:rPr>
      </w:pPr>
      <w:r>
        <w:rPr>
          <w:rFonts w:ascii="Arial" w:cs="Arial" w:eastAsia="Arial" w:hAnsi="Arial"/>
          <w:sz w:val="11"/>
          <w:szCs w:val="11"/>
          <w:color w:val="auto"/>
        </w:rPr>
        <w:t>Cumulative to date, we have repurchased a total of 840,543 shares of our common stock in the open market under the stock repurchase program, at an average price of $11.85, including commissions paid.</w:t>
      </w:r>
    </w:p>
    <w:p>
      <w:pPr>
        <w:spacing w:after="0" w:line="18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On July 28, 2021, the Company's Board of Directors approved a share repurchase program authorizing the Company to repurchase up to $20 million of its outstanding shares of common stock in the open market at certain thresholds below its NAV per share, in accordance with guidelines specified in Rules 10b5-1(c)(1)(i)(B) and 10b-18 under the Exchange Act.</w:t>
      </w:r>
    </w:p>
    <w:p>
      <w:pPr>
        <w:spacing w:after="0" w:line="133"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On March 4, 2019, the Company established an "at-the-market" offering (the "Equity ATM Program") which the Company may offer and sell, from time to time through sales agents, shares of its common stock having an aggregate offering price of up to $50,000,000. On February 4, 2020, the Company (i) increased the maximum amount of shares of its common stock to be sold through the Equity ATM Program to $100,000,000 from $50,000,000 and</w:t>
      </w:r>
    </w:p>
    <w:p>
      <w:pPr>
        <w:spacing w:after="0" w:line="1" w:lineRule="exact"/>
        <w:rPr>
          <w:sz w:val="20"/>
          <w:szCs w:val="20"/>
          <w:color w:val="auto"/>
        </w:rPr>
      </w:pPr>
    </w:p>
    <w:p>
      <w:pPr>
        <w:jc w:val="both"/>
        <w:ind w:left="8" w:hanging="8"/>
        <w:spacing w:after="0" w:line="255" w:lineRule="auto"/>
        <w:tabs>
          <w:tab w:leader="none" w:pos="188" w:val="left"/>
        </w:tabs>
        <w:numPr>
          <w:ilvl w:val="0"/>
          <w:numId w:val="71"/>
        </w:numPr>
        <w:rPr>
          <w:rFonts w:ascii="Arial" w:cs="Arial" w:eastAsia="Arial" w:hAnsi="Arial"/>
          <w:sz w:val="12"/>
          <w:szCs w:val="12"/>
          <w:color w:val="auto"/>
        </w:rPr>
      </w:pPr>
      <w:r>
        <w:rPr>
          <w:rFonts w:ascii="Arial" w:cs="Arial" w:eastAsia="Arial" w:hAnsi="Arial"/>
          <w:sz w:val="12"/>
          <w:szCs w:val="12"/>
          <w:color w:val="auto"/>
        </w:rPr>
        <w:t>added two additional sales agents to the Equity ATM Program. On May 26, 2021, the Company (i) increased the maximum amount of shares of its common stock to be sold through the Equity ATM Program to $250,000,000 from $100,000,000 and (ii) reduced the commission paid to the sales agents for the Equity ATM Program to 1.5% from 2.0% of the gross sales price of shares of the Company's common stock sold through the sales agents pursuant to the Equity ATM Program on and after May 26, 2021.</w:t>
      </w:r>
    </w:p>
    <w:p>
      <w:pPr>
        <w:spacing w:after="0" w:line="14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During the three months ended June 30, 2021, the Company sold 1,077,309 shares of its common stock under the Equity ATM Program at a weighted-average price of $26.10 per share, raising $28.1 million of gross proceeds. Net proceeds were $27.7 million after commissions to the sales agents on shares sold. During the three months ended June 30, 2020, the Company sold 373,177 shares of its common stock under the Equity ATM Program at a weighted-average</w:t>
      </w: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308"/>
          </w:cols>
          <w:pgMar w:left="292" w:top="140" w:right="299" w:bottom="1440" w:gutter="0" w:footer="0" w:header="0"/>
        </w:sectPr>
      </w:pPr>
    </w:p>
    <w:bookmarkStart w:id="84" w:name="page85"/>
    <w:bookmarkEnd w:id="84"/>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price of $15.38 per share, raising $5.7 million of gross proceeds. Net proceeds were $5.6 million after commissions to the sales agents on shares sold.</w:t>
      </w:r>
    </w:p>
    <w:p>
      <w:pPr>
        <w:spacing w:after="0" w:line="16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Cumulative to date, the Company has sold 5,382,938 shares of its common stock under the Equity ATM Program at a weighted-average price of $20.80, raising $111.9 million of gross proceeds. Net proceeds were $109.9 million after commissions to the sales agents on shares sold. As of June 30, 2021, the Company has $138.1 million available under the Equity ATM Program.</w:t>
      </w: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shown below, we had the following contractual obligations as of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6"/>
              </w:rPr>
              <w:t>Payments Due By Period</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0"/>
        </w:trPr>
        <w:tc>
          <w:tcPr>
            <w:tcW w:w="50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4"/>
              </w:rPr>
              <w:t>(in thousands)</w:t>
            </w: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20"/>
        </w:trPr>
        <w:tc>
          <w:tcPr>
            <w:tcW w:w="5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ind w:left="160"/>
              <w:spacing w:after="0"/>
              <w:rPr>
                <w:sz w:val="20"/>
                <w:szCs w:val="20"/>
                <w:color w:val="auto"/>
              </w:rPr>
            </w:pPr>
            <w:r>
              <w:rPr>
                <w:rFonts w:ascii="Arial" w:cs="Arial" w:eastAsia="Arial" w:hAnsi="Arial"/>
                <w:sz w:val="10"/>
                <w:szCs w:val="10"/>
                <w:b w:val="1"/>
                <w:bCs w:val="1"/>
                <w:color w:val="auto"/>
              </w:rPr>
              <w:t>Less than</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0"/>
                <w:szCs w:val="10"/>
                <w:b w:val="1"/>
                <w:bCs w:val="1"/>
                <w:color w:val="auto"/>
              </w:rPr>
              <w:t>More Than</w:t>
            </w:r>
          </w:p>
        </w:tc>
      </w:tr>
      <w:tr>
        <w:trPr>
          <w:trHeight w:val="148"/>
        </w:trPr>
        <w:tc>
          <w:tcPr>
            <w:tcW w:w="50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Contractual Obligations</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1 Year</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85"/>
              </w:rPr>
              <w:t>1-3 Years</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3-5 Years</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5 Years</w:t>
            </w:r>
          </w:p>
        </w:tc>
      </w:tr>
      <w:tr>
        <w:trPr>
          <w:trHeight w:val="146"/>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obligations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2"/>
                <w:szCs w:val="12"/>
                <w:color w:val="auto"/>
              </w:rPr>
              <w:t>—</w:t>
            </w: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Credit Facility (1)</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202,915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5,220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197,695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60" w:type="dxa"/>
            <w:vAlign w:val="bottom"/>
          </w:tcPr>
          <w:p>
            <w:pPr>
              <w:ind w:left="780"/>
              <w:spacing w:after="0"/>
              <w:rPr>
                <w:sz w:val="20"/>
                <w:szCs w:val="20"/>
                <w:color w:val="auto"/>
              </w:rPr>
            </w:pPr>
            <w:r>
              <w:rPr>
                <w:rFonts w:ascii="Arial" w:cs="Arial" w:eastAsia="Arial" w:hAnsi="Arial"/>
                <w:sz w:val="12"/>
                <w:szCs w:val="12"/>
                <w:color w:val="auto"/>
              </w:rPr>
              <w:t>—</w:t>
            </w: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October 2024 Notes (2)</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148,516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128,359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2"/>
                <w:szCs w:val="12"/>
                <w:color w:val="auto"/>
              </w:rPr>
              <w:t>—</w:t>
            </w:r>
          </w:p>
        </w:tc>
      </w:tr>
      <w:tr>
        <w:trPr>
          <w:trHeight w:val="153"/>
        </w:trPr>
        <w:tc>
          <w:tcPr>
            <w:tcW w:w="5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January 2026 Notes (2)</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172,043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6,843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12,600</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152,600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rPr>
              <w:t>—</w:t>
            </w:r>
          </w:p>
        </w:tc>
      </w:tr>
      <w:tr>
        <w:trPr>
          <w:trHeight w:val="158"/>
        </w:trPr>
        <w:tc>
          <w:tcPr>
            <w:tcW w:w="50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523,655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18,963</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223,733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280,959</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rPr>
              <w:t>—</w:t>
            </w:r>
          </w:p>
        </w:tc>
      </w:tr>
    </w:tbl>
    <w:p>
      <w:pPr>
        <w:spacing w:after="0" w:line="216" w:lineRule="exact"/>
        <w:rPr>
          <w:sz w:val="20"/>
          <w:szCs w:val="20"/>
          <w:color w:val="auto"/>
        </w:rPr>
      </w:pPr>
    </w:p>
    <w:p>
      <w:pPr>
        <w:ind w:left="420" w:hanging="212"/>
        <w:spacing w:after="0"/>
        <w:tabs>
          <w:tab w:leader="none" w:pos="4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Amounts include interest payments calculated at an average rate of 2.71% of outstanding Credit Facility borrowings, which were $190.0 million as of June 30, 2021.</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Includes interest payments.</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may be a party to financial instruments with off-balance sheet risk in the normal course of business to meet the financial needs of our portfolio companies. These instruments may include commitments to extend credit and fund equity capital and involve, to varying degrees, elements of liquidity and credit risk in excess of the amount recognized in the balance sheet.</w:t>
      </w:r>
    </w:p>
    <w:p>
      <w:pPr>
        <w:spacing w:after="0" w:line="133" w:lineRule="exact"/>
        <w:rPr>
          <w:sz w:val="20"/>
          <w:szCs w:val="20"/>
          <w:color w:val="auto"/>
        </w:rPr>
      </w:pPr>
    </w:p>
    <w:p>
      <w:pPr>
        <w:jc w:val="both"/>
        <w:ind w:right="20" w:firstLine="432"/>
        <w:spacing w:after="0" w:line="285" w:lineRule="auto"/>
        <w:rPr>
          <w:sz w:val="20"/>
          <w:szCs w:val="20"/>
          <w:color w:val="auto"/>
        </w:rPr>
      </w:pPr>
      <w:r>
        <w:rPr>
          <w:rFonts w:ascii="Arial" w:cs="Arial" w:eastAsia="Arial" w:hAnsi="Arial"/>
          <w:sz w:val="11"/>
          <w:szCs w:val="11"/>
          <w:color w:val="auto"/>
        </w:rPr>
        <w:t>At June 30, 2021 and March 31, 2021, we had a total of approximately $75.2 million and $45.4 million, respectively, in currently unfunded commitments (as discussed in Note 10 to the Consolidated Financial Statements). Included within the total unfunded commitments as of June 30, 2021 were commitments to issue letters of credit through a financial intermediary on behalf of certain portfolio companies. As of June 30, 2021, we had $3.7 million in letters of credit issued and outstanding under these commitments on behalf of the portfolio companies. For the letters of credit issued and outstanding, we would be required to make payments to third parties if the portfolio companies were to default on their related payment obligations. Of these letters of credit, $3.1 million expire in May 2022, $0.4 million expire in August 2021 and $0.2 million expire in April 2022. As of June 30, 2021, none of the letters of credit issued and outstanding were recorded as a liability on the Company's balance sheet as such letters of credit are considered in the valuation of the investments in the portfolio company.</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Company believes its assets will provide adequate coverage to satisfy these unfunded commitments. As of June 30, 2021, the Company had cash and cash equivalents of $16.5 million and $146.7 million in available borrowings under the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July 28, 2021, the Board of Directors declared a total dividend of $0.54 per share, comprised of a regular dividend of $0.44 and a supplemental dividend of $0.10, for the quarter ended September 30, 2021. The record date for the dividend is September 15, 2021. The payment date for the dividend is September 30, 2021.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300"/>
          </w:cols>
          <w:pgMar w:left="300" w:top="140" w:right="299" w:bottom="1440" w:gutter="0" w:footer="0" w:header="0"/>
        </w:sectPr>
      </w:pPr>
    </w:p>
    <w:bookmarkStart w:id="85" w:name="page86"/>
    <w:bookmarkEnd w:id="85"/>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are subject to market risk. Market risk includes risk that arise from changes in interest rates, commodity prices, equity prices and other market changes that affect market sensitive instruments. The prices of securities held by us may decline in response to certain events, including those directly involving the companies in which we invest; conditions affecting the general economy, including the impact of COVID-19; overall market changes, including an increase in market volatility due to COVID-19; legislative reform; local, regional, national or global political, social or economic instability; and interest rate fluctuations.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Interest Rate Risk</w:t>
      </w:r>
    </w:p>
    <w:p>
      <w:pPr>
        <w:spacing w:after="0" w:line="16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0"/>
          <w:szCs w:val="10"/>
          <w:color w:val="auto"/>
        </w:rPr>
        <w:t>We are subject to interest rate risk. Interest rate risk is defined as the sensitivity of our current and future earnings to interest rate volatility, variability of spread relationships, the difference in re-pricing internals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A large portion of our portfolio is comprised of floating rate investments that utilize LIBOR.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or a decrease in the interest rate of our floating interest rate liabilities tied to LIBOR. Our interest expenses will also be affected by changes in the published LIBOR rate in connection with our Credit Facility. The interest rates on the October 2024 Notes and the January 2026 Notes are fixed for the life of such debt. Our risk management systems and procedures are designed to identify and analyze our risk, to set appropriate policies and limits and to continually monitor these risks. We regularly measure exposure to interest rate risk and determine whether or not any hedging transactions are necessary to mitigate exposure to changes in interest rates. As of June 30, 2021, we were not a party to any hedging arrangements.</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of June 30, 2021, approximately 96.0% of our debt investment portfolio (at fair value) bore interest at floating rates, 100.0% of which were subject to contractual minimum interest rates. Based on interest rates as of June 30, 2021, a hypothetical 100 basis point increase in interest rates could decrease our net investment income by a maximum of $1.6 million, or $0.07 per share, on an annual basis. A hypothetical 100 basis point decrease in interest rates could increase our net investment income by a maximum of $0.4 million, or $0.02 per share, on an annual basis. Our Credit Facility bears interest on a per annum basis equal to the applicable LIBOR rate plus 2.50%. We pay unused commitment fees of 0.50% to 1.00% per annum, based on utilization.</w:t>
      </w:r>
    </w:p>
    <w:p>
      <w:pPr>
        <w:spacing w:after="0" w:line="14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Although we believe that the foregoing analysis is indicative of our sensitivity to interest rate changes, it does not adjust for potential changes in the credit market, credit quality, size and composition of the assets in our portfolio. It also does not adjust for other business developments, including future borrowings that could affect the net increase in net assets resulting from operations, or net income. It also does not assume any repayments from borrowers. Accordingly, no assurances can be given that actual results would not differ materially from the statement above.</w:t>
      </w:r>
    </w:p>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300"/>
          </w:cols>
          <w:pgMar w:left="300" w:top="140" w:right="299" w:bottom="1440" w:gutter="0" w:footer="0" w:header="0"/>
        </w:sectPr>
      </w:pPr>
    </w:p>
    <w:bookmarkStart w:id="86" w:name="page87"/>
    <w:bookmarkEnd w:id="86"/>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the end of the period covered by this report, an evaluation was performed under the supervision and with the participation of our management, including the President and Chief Executive Officer and Chief Financial Officer, of the effectiveness of the design and operation of our disclosure controls and procedures (as defined in Rule 13a-15 of the Securities Exchange Act of 1934). Based upon this evaluation, management, including our President and Chief Executive Officer and our Chief Financial Officer, concluded that our current disclosure controls and procedures are effective as of June 30, 2021.</w:t>
      </w:r>
    </w:p>
    <w:p>
      <w:pPr>
        <w:spacing w:after="0" w:line="14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During the three months ended June 30, 2021,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300"/>
          </w:cols>
          <w:pgMar w:left="300" w:top="140" w:right="299" w:bottom="1440" w:gutter="0" w:footer="0" w:header="0"/>
        </w:sectPr>
      </w:pPr>
    </w:p>
    <w:bookmarkStart w:id="87" w:name="page88"/>
    <w:bookmarkEnd w:id="87"/>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 OTHER INFORMATION</w:t>
      </w:r>
    </w:p>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may, from time to time, be involved in litigation arising out of our operations in the normal course of business or otherwise. Furthermore, third parties may try to seek to impose liability on us in connection with the activities of our portfolio companies. We have no currently pending material legal proceedings to which we are party or to which any of our assets is subject.</w:t>
      </w:r>
    </w:p>
    <w:p>
      <w:pPr>
        <w:spacing w:after="0" w:line="12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Investing in our common stock involves a number of significant risks. There have been no material changes to the risk factors as previously disclosed in our Annual Report on Form 10-K for the fiscal year ended March 31, 2021 that we filed with the SEC on May 26, 2021.</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of Unregistered Securities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Issuer Purchases of Equity Securities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January 25, 2016, our Board of Directors approved a share repurchase program authorizing us to repurchase up to $10 million of our outstanding shares of common stock in the open market at certain thresholds below our net asset value per share, in accordance with guidelines specified in Rules 10b5-1(c)(1)(i)(B) and 10b-18 under the Securities Exchange Act of 1934, as amended. On March 1, 2016, the Company entered into a share repurchase agreement, which became effective immediately and terminated on March 26, 2020 upon the Company's purchase of the aggregate gross dollar amount (inclusive of commission fees) of its common stock under the share repurchase program meeting the threshold set forth in the share repurchase agreement.</w:t>
      </w:r>
    </w:p>
    <w:p>
      <w:pPr>
        <w:spacing w:after="0" w:line="14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On July 28, 2021, the Company’s Board of Directors approved a share repurchase program authorizing the Company to repurchase up to $20 million of its outstanding shares of common stock in the open market at certain thresholds below its NAV per share, in accordance with guidelines specified in Rules 10b5-1(c)(1)(i)(B) and 10b-18 under the Exchange Act.</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Defaults Upon Senior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300"/>
          </w:cols>
          <w:pgMar w:left="300" w:top="140" w:right="299" w:bottom="1440" w:gutter="0" w:footer="0" w:header="0"/>
        </w:sectPr>
      </w:pPr>
    </w:p>
    <w:bookmarkStart w:id="88" w:name="page89"/>
    <w:bookmarkEnd w:id="88"/>
    <w:p>
      <w:pPr>
        <w:ind w:left="8"/>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8"/>
        <w:spacing w:after="0"/>
        <w:tabs>
          <w:tab w:leader="none" w:pos="568"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1"/>
          <w:szCs w:val="11"/>
          <w:b w:val="1"/>
          <w:bCs w:val="1"/>
          <w:color w:val="auto"/>
        </w:rPr>
        <w:t>Exhibits</w:t>
      </w:r>
    </w:p>
    <w:p>
      <w:pPr>
        <w:spacing w:after="0" w:line="26" w:lineRule="exact"/>
        <w:rPr>
          <w:sz w:val="20"/>
          <w:szCs w:val="20"/>
          <w:color w:val="auto"/>
        </w:rPr>
      </w:pPr>
    </w:p>
    <w:p>
      <w:pPr>
        <w:ind w:left="988"/>
        <w:spacing w:after="0"/>
        <w:rPr>
          <w:sz w:val="20"/>
          <w:szCs w:val="20"/>
          <w:color w:val="auto"/>
        </w:rPr>
      </w:pP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67665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6560" cy="5715"/>
                    </a:xfrm>
                    <a:prstGeom prst="rect">
                      <a:avLst/>
                    </a:prstGeom>
                    <a:noFill/>
                  </pic:spPr>
                </pic:pic>
              </a:graphicData>
            </a:graphic>
          </wp:anchor>
        </w:drawing>
      </w:r>
    </w:p>
    <w:p>
      <w:pPr>
        <w:spacing w:after="0" w:line="6" w:lineRule="exact"/>
        <w:rPr>
          <w:sz w:val="20"/>
          <w:szCs w:val="20"/>
          <w:color w:val="auto"/>
        </w:rPr>
      </w:pPr>
    </w:p>
    <w:p>
      <w:pPr>
        <w:ind w:left="988"/>
        <w:spacing w:after="0"/>
        <w:rPr>
          <w:rFonts w:ascii="Arial" w:cs="Arial" w:eastAsia="Arial" w:hAnsi="Arial"/>
          <w:sz w:val="12"/>
          <w:szCs w:val="12"/>
          <w:u w:val="single" w:color="auto"/>
          <w:color w:val="0000FF"/>
        </w:rPr>
      </w:pPr>
      <w:hyperlink w:anchor="page91">
        <w:r>
          <w:rPr>
            <w:rFonts w:ascii="Arial" w:cs="Arial" w:eastAsia="Arial" w:hAnsi="Arial"/>
            <w:sz w:val="12"/>
            <w:szCs w:val="12"/>
            <w:u w:val="single" w:color="auto"/>
            <w:color w:val="0000FF"/>
          </w:rPr>
          <w:t>Certification of President and Chief Executive Officer required by Rule 13a-14(a) of the Exchange Act.</w:t>
        </w:r>
      </w:hyperlink>
    </w:p>
    <w:p>
      <w:pPr>
        <w:spacing w:after="0" w:line="15" w:lineRule="exact"/>
        <w:rPr>
          <w:sz w:val="20"/>
          <w:szCs w:val="20"/>
          <w:color w:val="auto"/>
        </w:rPr>
      </w:pPr>
    </w:p>
    <w:p>
      <w:pPr>
        <w:ind w:left="988"/>
        <w:spacing w:after="0"/>
        <w:rPr>
          <w:rFonts w:ascii="Arial" w:cs="Arial" w:eastAsia="Arial" w:hAnsi="Arial"/>
          <w:sz w:val="12"/>
          <w:szCs w:val="12"/>
          <w:u w:val="single" w:color="auto"/>
          <w:color w:val="0000FF"/>
        </w:rPr>
      </w:pPr>
      <w:hyperlink w:anchor="page92">
        <w:r>
          <w:rPr>
            <w:rFonts w:ascii="Arial" w:cs="Arial" w:eastAsia="Arial" w:hAnsi="Arial"/>
            <w:sz w:val="12"/>
            <w:szCs w:val="12"/>
            <w:u w:val="single" w:color="auto"/>
            <w:color w:val="0000FF"/>
          </w:rPr>
          <w:t>Certification of Chief Financial Officer required by Rule 13a-14(a) of the Exchange Act.</w:t>
        </w:r>
      </w:hyperlink>
    </w:p>
    <w:p>
      <w:pPr>
        <w:spacing w:after="0" w:line="15" w:lineRule="exact"/>
        <w:rPr>
          <w:sz w:val="20"/>
          <w:szCs w:val="20"/>
          <w:color w:val="auto"/>
        </w:rPr>
      </w:pPr>
    </w:p>
    <w:p>
      <w:pPr>
        <w:ind w:left="988"/>
        <w:spacing w:after="0"/>
        <w:rPr>
          <w:rFonts w:ascii="Arial" w:cs="Arial" w:eastAsia="Arial" w:hAnsi="Arial"/>
          <w:sz w:val="12"/>
          <w:szCs w:val="12"/>
          <w:u w:val="single" w:color="auto"/>
          <w:color w:val="0000FF"/>
        </w:rPr>
      </w:pPr>
      <w:hyperlink w:anchor="page93">
        <w:r>
          <w:rPr>
            <w:rFonts w:ascii="Arial" w:cs="Arial" w:eastAsia="Arial" w:hAnsi="Arial"/>
            <w:sz w:val="12"/>
            <w:szCs w:val="12"/>
            <w:u w:val="single" w:color="auto"/>
            <w:color w:val="0000FF"/>
          </w:rPr>
          <w:t>Certification of President and Chief Executive Officer required by Rule 13a-14(b) of the Exchange Act and Section 1350 of Chapter 63 of Title 18 of the United States Code.</w:t>
        </w:r>
      </w:hyperlink>
    </w:p>
    <w:p>
      <w:pPr>
        <w:spacing w:after="0" w:line="15" w:lineRule="exact"/>
        <w:rPr>
          <w:sz w:val="20"/>
          <w:szCs w:val="20"/>
          <w:color w:val="auto"/>
        </w:rPr>
      </w:pPr>
    </w:p>
    <w:p>
      <w:pPr>
        <w:ind w:left="988"/>
        <w:spacing w:after="0"/>
        <w:rPr>
          <w:rFonts w:ascii="Arial" w:cs="Arial" w:eastAsia="Arial" w:hAnsi="Arial"/>
          <w:sz w:val="12"/>
          <w:szCs w:val="12"/>
          <w:u w:val="single" w:color="auto"/>
          <w:color w:val="0000FF"/>
        </w:rPr>
      </w:pPr>
      <w:hyperlink w:anchor="page94">
        <w:r>
          <w:rPr>
            <w:rFonts w:ascii="Arial" w:cs="Arial" w:eastAsia="Arial" w:hAnsi="Arial"/>
            <w:sz w:val="12"/>
            <w:szCs w:val="12"/>
            <w:u w:val="single" w:color="auto"/>
            <w:color w:val="0000FF"/>
          </w:rPr>
          <w:t>Certification of Chief Financial Officer required by Rule 13a-14(b) of the Exchange Act and Section 1350 of Chapter 63 of Title 18 of the United States Code.</w:t>
        </w:r>
      </w:hyperlink>
    </w:p>
    <w:p>
      <w:pPr>
        <w:spacing w:after="0" w:line="231" w:lineRule="exact"/>
        <w:rPr>
          <w:sz w:val="20"/>
          <w:szCs w:val="20"/>
          <w:color w:val="auto"/>
        </w:rPr>
      </w:pPr>
    </w:p>
    <w:p>
      <w:pPr>
        <w:ind w:left="188" w:hanging="188"/>
        <w:spacing w:after="0"/>
        <w:tabs>
          <w:tab w:leader="none" w:pos="188" w:val="left"/>
        </w:tabs>
        <w:numPr>
          <w:ilvl w:val="0"/>
          <w:numId w:val="73"/>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5" w:lineRule="exact"/>
        <w:rPr>
          <w:sz w:val="20"/>
          <w:szCs w:val="20"/>
          <w:color w:val="auto"/>
        </w:rPr>
      </w:pPr>
    </w:p>
    <w:p>
      <w:pPr>
        <w:ind w:left="428" w:hanging="428"/>
        <w:spacing w:after="0" w:line="255" w:lineRule="auto"/>
        <w:tabs>
          <w:tab w:leader="none" w:pos="179"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certifications, attached as Exhibits 32.1 and 32.2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308"/>
          </w:cols>
          <w:pgMar w:left="292" w:top="140" w:right="299" w:bottom="1440" w:gutter="0" w:footer="0" w:header="0"/>
        </w:sectPr>
      </w:pPr>
    </w:p>
    <w:bookmarkStart w:id="89" w:name="page90"/>
    <w:bookmarkEnd w:id="89"/>
    <w:p>
      <w:pPr>
        <w:spacing w:after="0"/>
        <w:rPr>
          <w:rFonts w:ascii="Arial" w:cs="Arial" w:eastAsia="Arial" w:hAnsi="Arial"/>
          <w:sz w:val="12"/>
          <w:szCs w:val="12"/>
          <w:u w:val="single" w:color="auto"/>
          <w:color w:val="0563C1"/>
        </w:rPr>
      </w:pPr>
      <w:hyperlink w:anchor="page1">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the Securities Exchange Act of 1934, the registrant has duly caused this report to be signed on its behalf by the undersigned, thereunto duly authorized.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40" w:type="dxa"/>
            <w:vAlign w:val="bottom"/>
          </w:tcPr>
          <w:p>
            <w:pPr>
              <w:spacing w:after="0"/>
              <w:rPr>
                <w:sz w:val="13"/>
                <w:szCs w:val="13"/>
                <w:color w:val="auto"/>
              </w:rPr>
            </w:pPr>
          </w:p>
        </w:tc>
        <w:tc>
          <w:tcPr>
            <w:tcW w:w="5960" w:type="dxa"/>
            <w:vAlign w:val="bottom"/>
            <w:gridSpan w:val="2"/>
          </w:tcPr>
          <w:p>
            <w:pPr>
              <w:ind w:left="420"/>
              <w:spacing w:after="0"/>
              <w:rPr>
                <w:sz w:val="20"/>
                <w:szCs w:val="20"/>
                <w:color w:val="auto"/>
              </w:rPr>
            </w:pPr>
            <w:r>
              <w:rPr>
                <w:rFonts w:ascii="Arial" w:cs="Arial" w:eastAsia="Arial" w:hAnsi="Arial"/>
                <w:sz w:val="12"/>
                <w:szCs w:val="12"/>
                <w:b w:val="1"/>
                <w:bCs w:val="1"/>
                <w:color w:val="auto"/>
              </w:rPr>
              <w:t>CAPITAL SOUTHWEST CORPORATION</w:t>
            </w:r>
          </w:p>
        </w:tc>
      </w:tr>
      <w:tr>
        <w:trPr>
          <w:trHeight w:val="324"/>
        </w:trPr>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August 3, 2021</w:t>
            </w:r>
          </w:p>
        </w:tc>
        <w:tc>
          <w:tcPr>
            <w:tcW w:w="960" w:type="dxa"/>
            <w:vAlign w:val="bottom"/>
          </w:tcPr>
          <w:p>
            <w:pPr>
              <w:ind w:left="420"/>
              <w:spacing w:after="0"/>
              <w:rPr>
                <w:sz w:val="20"/>
                <w:szCs w:val="20"/>
                <w:color w:val="auto"/>
              </w:rPr>
            </w:pPr>
            <w:r>
              <w:rPr>
                <w:rFonts w:ascii="Arial" w:cs="Arial" w:eastAsia="Arial" w:hAnsi="Arial"/>
                <w:sz w:val="12"/>
                <w:szCs w:val="12"/>
                <w:color w:val="auto"/>
              </w:rPr>
              <w:t>By:</w:t>
            </w:r>
          </w:p>
        </w:tc>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 Bowen S. Diehl</w:t>
            </w:r>
          </w:p>
        </w:tc>
      </w:tr>
      <w:tr>
        <w:trPr>
          <w:trHeight w:val="142"/>
        </w:trPr>
        <w:tc>
          <w:tcPr>
            <w:tcW w:w="5340" w:type="dxa"/>
            <w:vAlign w:val="bottom"/>
          </w:tcPr>
          <w:p>
            <w:pPr>
              <w:jc w:val="center"/>
              <w:spacing w:after="0"/>
              <w:rPr>
                <w:sz w:val="20"/>
                <w:szCs w:val="20"/>
                <w:color w:val="auto"/>
              </w:rPr>
            </w:pPr>
            <w:r>
              <w:rPr>
                <w:rFonts w:ascii="Arial" w:cs="Arial" w:eastAsia="Arial" w:hAnsi="Arial"/>
                <w:sz w:val="12"/>
                <w:szCs w:val="12"/>
                <w:color w:val="auto"/>
                <w:w w:val="86"/>
              </w:rPr>
              <w:t>Date</w:t>
            </w:r>
          </w:p>
        </w:tc>
        <w:tc>
          <w:tcPr>
            <w:tcW w:w="960" w:type="dxa"/>
            <w:vAlign w:val="bottom"/>
          </w:tcPr>
          <w:p>
            <w:pPr>
              <w:spacing w:after="0"/>
              <w:rPr>
                <w:sz w:val="12"/>
                <w:szCs w:val="12"/>
                <w:color w:val="auto"/>
              </w:rPr>
            </w:pPr>
          </w:p>
        </w:tc>
        <w:tc>
          <w:tcPr>
            <w:tcW w:w="5000" w:type="dxa"/>
            <w:vAlign w:val="bottom"/>
          </w:tcPr>
          <w:p>
            <w:pPr>
              <w:ind w:left="60"/>
              <w:spacing w:after="0"/>
              <w:rPr>
                <w:sz w:val="20"/>
                <w:szCs w:val="20"/>
                <w:color w:val="auto"/>
              </w:rPr>
            </w:pPr>
            <w:r>
              <w:rPr>
                <w:rFonts w:ascii="Arial" w:cs="Arial" w:eastAsia="Arial" w:hAnsi="Arial"/>
                <w:sz w:val="12"/>
                <w:szCs w:val="12"/>
                <w:color w:val="auto"/>
              </w:rPr>
              <w:t>Bowen S. Diehl</w:t>
            </w:r>
          </w:p>
        </w:tc>
      </w:tr>
      <w:tr>
        <w:trPr>
          <w:trHeight w:val="153"/>
        </w:trPr>
        <w:tc>
          <w:tcPr>
            <w:tcW w:w="5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0" w:type="dxa"/>
            <w:vAlign w:val="bottom"/>
          </w:tcPr>
          <w:p>
            <w:pPr>
              <w:ind w:left="60"/>
              <w:spacing w:after="0"/>
              <w:rPr>
                <w:sz w:val="20"/>
                <w:szCs w:val="20"/>
                <w:color w:val="auto"/>
              </w:rPr>
            </w:pPr>
            <w:r>
              <w:rPr>
                <w:rFonts w:ascii="Arial" w:cs="Arial" w:eastAsia="Arial" w:hAnsi="Arial"/>
                <w:sz w:val="12"/>
                <w:szCs w:val="12"/>
                <w:color w:val="auto"/>
              </w:rPr>
              <w:t>President and Chief Executive Officer</w:t>
            </w:r>
          </w:p>
        </w:tc>
      </w:tr>
      <w:tr>
        <w:trPr>
          <w:trHeight w:val="324"/>
        </w:trPr>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August 3, 2021</w:t>
            </w:r>
          </w:p>
        </w:tc>
        <w:tc>
          <w:tcPr>
            <w:tcW w:w="960" w:type="dxa"/>
            <w:vAlign w:val="bottom"/>
          </w:tcPr>
          <w:p>
            <w:pPr>
              <w:ind w:left="420"/>
              <w:spacing w:after="0"/>
              <w:rPr>
                <w:sz w:val="20"/>
                <w:szCs w:val="20"/>
                <w:color w:val="auto"/>
              </w:rPr>
            </w:pPr>
            <w:r>
              <w:rPr>
                <w:rFonts w:ascii="Arial" w:cs="Arial" w:eastAsia="Arial" w:hAnsi="Arial"/>
                <w:sz w:val="12"/>
                <w:szCs w:val="12"/>
                <w:color w:val="auto"/>
              </w:rPr>
              <w:t>By:</w:t>
            </w:r>
          </w:p>
        </w:tc>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 Michael S. Sarner</w:t>
            </w:r>
          </w:p>
        </w:tc>
      </w:tr>
      <w:tr>
        <w:trPr>
          <w:trHeight w:val="142"/>
        </w:trPr>
        <w:tc>
          <w:tcPr>
            <w:tcW w:w="5340" w:type="dxa"/>
            <w:vAlign w:val="bottom"/>
          </w:tcPr>
          <w:p>
            <w:pPr>
              <w:jc w:val="center"/>
              <w:spacing w:after="0"/>
              <w:rPr>
                <w:sz w:val="20"/>
                <w:szCs w:val="20"/>
                <w:color w:val="auto"/>
              </w:rPr>
            </w:pPr>
            <w:r>
              <w:rPr>
                <w:rFonts w:ascii="Arial" w:cs="Arial" w:eastAsia="Arial" w:hAnsi="Arial"/>
                <w:sz w:val="12"/>
                <w:szCs w:val="12"/>
                <w:color w:val="auto"/>
                <w:w w:val="86"/>
              </w:rPr>
              <w:t>Date</w:t>
            </w:r>
          </w:p>
        </w:tc>
        <w:tc>
          <w:tcPr>
            <w:tcW w:w="960" w:type="dxa"/>
            <w:vAlign w:val="bottom"/>
          </w:tcPr>
          <w:p>
            <w:pPr>
              <w:spacing w:after="0"/>
              <w:rPr>
                <w:sz w:val="12"/>
                <w:szCs w:val="12"/>
                <w:color w:val="auto"/>
              </w:rPr>
            </w:pPr>
          </w:p>
        </w:tc>
        <w:tc>
          <w:tcPr>
            <w:tcW w:w="5000" w:type="dxa"/>
            <w:vAlign w:val="bottom"/>
          </w:tcPr>
          <w:p>
            <w:pPr>
              <w:ind w:left="60"/>
              <w:spacing w:after="0"/>
              <w:rPr>
                <w:sz w:val="20"/>
                <w:szCs w:val="20"/>
                <w:color w:val="auto"/>
              </w:rPr>
            </w:pPr>
            <w:r>
              <w:rPr>
                <w:rFonts w:ascii="Arial" w:cs="Arial" w:eastAsia="Arial" w:hAnsi="Arial"/>
                <w:sz w:val="12"/>
                <w:szCs w:val="12"/>
                <w:color w:val="auto"/>
              </w:rPr>
              <w:t>Michael S. Sarner</w:t>
            </w:r>
          </w:p>
        </w:tc>
      </w:tr>
      <w:tr>
        <w:trPr>
          <w:trHeight w:val="153"/>
        </w:trPr>
        <w:tc>
          <w:tcPr>
            <w:tcW w:w="5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0" w:type="dxa"/>
            <w:vAlign w:val="bottom"/>
          </w:tcPr>
          <w:p>
            <w:pPr>
              <w:ind w:left="60"/>
              <w:spacing w:after="0"/>
              <w:rPr>
                <w:sz w:val="20"/>
                <w:szCs w:val="20"/>
                <w:color w:val="auto"/>
              </w:rPr>
            </w:pPr>
            <w:r>
              <w:rPr>
                <w:rFonts w:ascii="Arial" w:cs="Arial" w:eastAsia="Arial" w:hAnsi="Arial"/>
                <w:sz w:val="12"/>
                <w:szCs w:val="12"/>
                <w:color w:val="auto"/>
              </w:rPr>
              <w:t>Chief Financial Officer, Secretary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300"/>
          </w:cols>
          <w:pgMar w:left="300" w:top="140" w:right="299"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b w:val="1"/>
          <w:bCs w:val="1"/>
          <w:color w:val="auto"/>
        </w:rPr>
        <w:t>Exhibit 31.1</w:t>
      </w:r>
    </w:p>
    <w:p>
      <w:pPr>
        <w:spacing w:after="0" w:line="18"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CERTIFICATIONS</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I, Bowen S. Diehl, certify that:</w:t>
      </w:r>
    </w:p>
    <w:p>
      <w:pPr>
        <w:spacing w:after="0" w:line="76" w:lineRule="exact"/>
        <w:rPr>
          <w:sz w:val="20"/>
          <w:szCs w:val="20"/>
          <w:color w:val="auto"/>
        </w:rPr>
      </w:pPr>
    </w:p>
    <w:p>
      <w:pPr>
        <w:ind w:left="420" w:hanging="212"/>
        <w:spacing w:after="0"/>
        <w:tabs>
          <w:tab w:leader="none" w:pos="4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Capital Southwest Corporation (the “registrant”);</w:t>
      </w:r>
    </w:p>
    <w:p>
      <w:pPr>
        <w:spacing w:after="0" w:line="76" w:lineRule="exact"/>
        <w:rPr>
          <w:sz w:val="20"/>
          <w:szCs w:val="20"/>
          <w:color w:val="auto"/>
        </w:rPr>
      </w:pPr>
    </w:p>
    <w:p>
      <w:pPr>
        <w:ind w:left="420" w:hanging="212"/>
        <w:spacing w:after="0" w:line="271" w:lineRule="auto"/>
        <w:tabs>
          <w:tab w:leader="none" w:pos="414"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sz w:val="20"/>
          <w:szCs w:val="20"/>
          <w:color w:val="auto"/>
        </w:rPr>
      </w:pPr>
    </w:p>
    <w:p>
      <w:pPr>
        <w:ind w:left="420" w:hanging="212"/>
        <w:spacing w:after="0" w:line="271" w:lineRule="auto"/>
        <w:tabs>
          <w:tab w:leader="none" w:pos="414"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sz w:val="20"/>
          <w:szCs w:val="20"/>
          <w:color w:val="auto"/>
        </w:rPr>
      </w:pPr>
    </w:p>
    <w:p>
      <w:pPr>
        <w:ind w:left="420" w:hanging="212"/>
        <w:spacing w:after="0" w:line="271" w:lineRule="auto"/>
        <w:tabs>
          <w:tab w:leader="none" w:pos="414"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Arial" w:cs="Arial" w:eastAsia="Arial" w:hAnsi="Arial"/>
          <w:sz w:val="13"/>
          <w:szCs w:val="13"/>
          <w:color w:val="auto"/>
        </w:rPr>
      </w:pPr>
    </w:p>
    <w:p>
      <w:pPr>
        <w:ind w:left="860" w:right="20" w:hanging="220"/>
        <w:spacing w:after="0" w:line="314" w:lineRule="auto"/>
        <w:tabs>
          <w:tab w:leader="none" w:pos="854" w:val="left"/>
        </w:tabs>
        <w:numPr>
          <w:ilvl w:val="1"/>
          <w:numId w:val="7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2"/>
          <w:szCs w:val="12"/>
          <w:color w:val="auto"/>
        </w:rPr>
      </w:pPr>
    </w:p>
    <w:p>
      <w:pPr>
        <w:ind w:left="860" w:right="20" w:hanging="220"/>
        <w:spacing w:after="0" w:line="271" w:lineRule="auto"/>
        <w:tabs>
          <w:tab w:leader="none" w:pos="853" w:val="left"/>
        </w:tabs>
        <w:numPr>
          <w:ilvl w:val="1"/>
          <w:numId w:val="7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3"/>
          <w:szCs w:val="13"/>
          <w:color w:val="auto"/>
        </w:rPr>
      </w:pPr>
    </w:p>
    <w:p>
      <w:pPr>
        <w:ind w:left="860" w:hanging="220"/>
        <w:spacing w:after="0" w:line="271" w:lineRule="auto"/>
        <w:tabs>
          <w:tab w:leader="none" w:pos="854" w:val="left"/>
        </w:tabs>
        <w:numPr>
          <w:ilvl w:val="1"/>
          <w:numId w:val="7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Arial" w:cs="Arial" w:eastAsia="Arial" w:hAnsi="Arial"/>
          <w:sz w:val="13"/>
          <w:szCs w:val="13"/>
          <w:color w:val="auto"/>
        </w:rPr>
      </w:pPr>
    </w:p>
    <w:p>
      <w:pPr>
        <w:ind w:left="860" w:hanging="220"/>
        <w:spacing w:after="0" w:line="271" w:lineRule="auto"/>
        <w:tabs>
          <w:tab w:leader="none" w:pos="853" w:val="left"/>
        </w:tabs>
        <w:numPr>
          <w:ilvl w:val="1"/>
          <w:numId w:val="7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420" w:right="20" w:hanging="212"/>
        <w:spacing w:after="0" w:line="271" w:lineRule="auto"/>
        <w:tabs>
          <w:tab w:leader="none" w:pos="414"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3"/>
          <w:szCs w:val="13"/>
          <w:color w:val="auto"/>
        </w:rPr>
      </w:pPr>
    </w:p>
    <w:p>
      <w:pPr>
        <w:ind w:left="860" w:right="20" w:hanging="220"/>
        <w:spacing w:after="0" w:line="271" w:lineRule="auto"/>
        <w:tabs>
          <w:tab w:leader="none" w:pos="854" w:val="left"/>
        </w:tabs>
        <w:numPr>
          <w:ilvl w:val="1"/>
          <w:numId w:val="7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3"/>
          <w:szCs w:val="13"/>
          <w:color w:val="auto"/>
        </w:rPr>
      </w:pPr>
    </w:p>
    <w:p>
      <w:pPr>
        <w:ind w:left="840" w:hanging="200"/>
        <w:spacing w:after="0"/>
        <w:tabs>
          <w:tab w:leader="none" w:pos="84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Date: August 3, 2021</w:t>
            </w:r>
          </w:p>
        </w:tc>
        <w:tc>
          <w:tcPr>
            <w:tcW w:w="2820" w:type="dxa"/>
            <w:vAlign w:val="bottom"/>
          </w:tcPr>
          <w:p>
            <w:pPr>
              <w:ind w:left="2220"/>
              <w:spacing w:after="0"/>
              <w:rPr>
                <w:sz w:val="20"/>
                <w:szCs w:val="20"/>
                <w:color w:val="auto"/>
              </w:rPr>
            </w:pPr>
            <w:r>
              <w:rPr>
                <w:rFonts w:ascii="Arial" w:cs="Arial" w:eastAsia="Arial" w:hAnsi="Arial"/>
                <w:sz w:val="13"/>
                <w:szCs w:val="13"/>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Bowen S. Diehl</w:t>
            </w:r>
          </w:p>
        </w:tc>
      </w:tr>
      <w:tr>
        <w:trPr>
          <w:trHeight w:val="149"/>
        </w:trPr>
        <w:tc>
          <w:tcPr>
            <w:tcW w:w="3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080" w:type="dxa"/>
            <w:vAlign w:val="bottom"/>
          </w:tcPr>
          <w:p>
            <w:pPr>
              <w:ind w:left="20"/>
              <w:spacing w:after="0"/>
              <w:rPr>
                <w:sz w:val="20"/>
                <w:szCs w:val="20"/>
                <w:color w:val="auto"/>
              </w:rPr>
            </w:pPr>
            <w:r>
              <w:rPr>
                <w:rFonts w:ascii="Arial" w:cs="Arial" w:eastAsia="Arial" w:hAnsi="Arial"/>
                <w:sz w:val="13"/>
                <w:szCs w:val="13"/>
                <w:color w:val="auto"/>
              </w:rPr>
              <w:t>Bowen S. Diehl</w:t>
            </w:r>
          </w:p>
        </w:tc>
      </w:tr>
      <w:tr>
        <w:trPr>
          <w:trHeight w:val="166"/>
        </w:trPr>
        <w:tc>
          <w:tcPr>
            <w:tcW w:w="3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08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r>
    </w:tbl>
    <w:p>
      <w:pPr>
        <w:sectPr>
          <w:pgSz w:w="11900" w:h="16838" w:orient="portrait"/>
          <w:cols w:equalWidth="0" w:num="1">
            <w:col w:w="11300"/>
          </w:cols>
          <w:pgMar w:left="300" w:top="638" w:right="29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auto"/>
        </w:rPr>
        <w:t>Exhibit 31.2</w:t>
      </w:r>
    </w:p>
    <w:p>
      <w:pPr>
        <w:spacing w:after="0" w:line="18"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CERTIFICATIONS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I, Michael S. Sarner, certify that:</w:t>
      </w:r>
    </w:p>
    <w:p>
      <w:pPr>
        <w:spacing w:after="0" w:line="76" w:lineRule="exact"/>
        <w:rPr>
          <w:sz w:val="20"/>
          <w:szCs w:val="20"/>
          <w:color w:val="auto"/>
        </w:rPr>
      </w:pPr>
    </w:p>
    <w:p>
      <w:pPr>
        <w:ind w:left="420" w:hanging="212"/>
        <w:spacing w:after="0"/>
        <w:tabs>
          <w:tab w:leader="none" w:pos="4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Capital Southwest Corporation (the “registrant”);</w:t>
      </w:r>
    </w:p>
    <w:p>
      <w:pPr>
        <w:spacing w:after="0" w:line="76" w:lineRule="exact"/>
        <w:rPr>
          <w:sz w:val="20"/>
          <w:szCs w:val="20"/>
          <w:color w:val="auto"/>
        </w:rPr>
      </w:pPr>
    </w:p>
    <w:p>
      <w:pPr>
        <w:ind w:left="420" w:hanging="212"/>
        <w:spacing w:after="0" w:line="271" w:lineRule="auto"/>
        <w:tabs>
          <w:tab w:leader="none" w:pos="414"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sz w:val="20"/>
          <w:szCs w:val="20"/>
          <w:color w:val="auto"/>
        </w:rPr>
      </w:pPr>
    </w:p>
    <w:p>
      <w:pPr>
        <w:ind w:left="420" w:hanging="212"/>
        <w:spacing w:after="0" w:line="271" w:lineRule="auto"/>
        <w:tabs>
          <w:tab w:leader="none" w:pos="414" w:val="left"/>
        </w:tabs>
        <w:numPr>
          <w:ilvl w:val="0"/>
          <w:numId w:val="8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sz w:val="20"/>
          <w:szCs w:val="20"/>
          <w:color w:val="auto"/>
        </w:rPr>
      </w:pPr>
    </w:p>
    <w:p>
      <w:pPr>
        <w:ind w:left="420" w:hanging="212"/>
        <w:spacing w:after="0" w:line="271" w:lineRule="auto"/>
        <w:tabs>
          <w:tab w:leader="none" w:pos="414"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Arial" w:cs="Arial" w:eastAsia="Arial" w:hAnsi="Arial"/>
          <w:sz w:val="13"/>
          <w:szCs w:val="13"/>
          <w:color w:val="auto"/>
        </w:rPr>
      </w:pPr>
    </w:p>
    <w:p>
      <w:pPr>
        <w:ind w:left="860" w:right="20" w:hanging="220"/>
        <w:spacing w:after="0" w:line="314" w:lineRule="auto"/>
        <w:tabs>
          <w:tab w:leader="none" w:pos="854" w:val="left"/>
        </w:tabs>
        <w:numPr>
          <w:ilvl w:val="1"/>
          <w:numId w:val="8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2"/>
          <w:szCs w:val="12"/>
          <w:color w:val="auto"/>
        </w:rPr>
      </w:pPr>
    </w:p>
    <w:p>
      <w:pPr>
        <w:ind w:left="860" w:right="20" w:hanging="220"/>
        <w:spacing w:after="0" w:line="271" w:lineRule="auto"/>
        <w:tabs>
          <w:tab w:leader="none" w:pos="853" w:val="left"/>
        </w:tabs>
        <w:numPr>
          <w:ilvl w:val="1"/>
          <w:numId w:val="8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3"/>
          <w:szCs w:val="13"/>
          <w:color w:val="auto"/>
        </w:rPr>
      </w:pPr>
    </w:p>
    <w:p>
      <w:pPr>
        <w:ind w:left="860" w:hanging="220"/>
        <w:spacing w:after="0" w:line="271" w:lineRule="auto"/>
        <w:tabs>
          <w:tab w:leader="none" w:pos="854" w:val="left"/>
        </w:tabs>
        <w:numPr>
          <w:ilvl w:val="1"/>
          <w:numId w:val="8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Arial" w:cs="Arial" w:eastAsia="Arial" w:hAnsi="Arial"/>
          <w:sz w:val="13"/>
          <w:szCs w:val="13"/>
          <w:color w:val="auto"/>
        </w:rPr>
      </w:pPr>
    </w:p>
    <w:p>
      <w:pPr>
        <w:ind w:left="860" w:hanging="220"/>
        <w:spacing w:after="0" w:line="271" w:lineRule="auto"/>
        <w:tabs>
          <w:tab w:leader="none" w:pos="853" w:val="left"/>
        </w:tabs>
        <w:numPr>
          <w:ilvl w:val="1"/>
          <w:numId w:val="8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420" w:right="20" w:hanging="212"/>
        <w:spacing w:after="0" w:line="271" w:lineRule="auto"/>
        <w:tabs>
          <w:tab w:leader="none" w:pos="414"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3"/>
          <w:szCs w:val="13"/>
          <w:color w:val="auto"/>
        </w:rPr>
      </w:pPr>
    </w:p>
    <w:p>
      <w:pPr>
        <w:ind w:left="860" w:right="20" w:hanging="220"/>
        <w:spacing w:after="0" w:line="271" w:lineRule="auto"/>
        <w:tabs>
          <w:tab w:leader="none" w:pos="854" w:val="left"/>
        </w:tabs>
        <w:numPr>
          <w:ilvl w:val="1"/>
          <w:numId w:val="8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3"/>
          <w:szCs w:val="13"/>
          <w:color w:val="auto"/>
        </w:rPr>
      </w:pPr>
    </w:p>
    <w:p>
      <w:pPr>
        <w:ind w:left="840" w:hanging="200"/>
        <w:spacing w:after="0"/>
        <w:tabs>
          <w:tab w:leader="none" w:pos="840" w:val="left"/>
        </w:tabs>
        <w:numPr>
          <w:ilvl w:val="1"/>
          <w:numId w:val="8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Date: August 3, 2021</w:t>
            </w:r>
          </w:p>
        </w:tc>
        <w:tc>
          <w:tcPr>
            <w:tcW w:w="2820" w:type="dxa"/>
            <w:vAlign w:val="bottom"/>
          </w:tcPr>
          <w:p>
            <w:pPr>
              <w:ind w:left="2240"/>
              <w:spacing w:after="0"/>
              <w:rPr>
                <w:sz w:val="20"/>
                <w:szCs w:val="20"/>
                <w:color w:val="auto"/>
              </w:rPr>
            </w:pPr>
            <w:r>
              <w:rPr>
                <w:rFonts w:ascii="Arial" w:cs="Arial" w:eastAsia="Arial" w:hAnsi="Arial"/>
                <w:sz w:val="13"/>
                <w:szCs w:val="13"/>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 Sarner</w:t>
            </w:r>
          </w:p>
        </w:tc>
      </w:tr>
      <w:tr>
        <w:trPr>
          <w:trHeight w:val="149"/>
        </w:trPr>
        <w:tc>
          <w:tcPr>
            <w:tcW w:w="3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Arial" w:cs="Arial" w:eastAsia="Arial" w:hAnsi="Arial"/>
                <w:sz w:val="13"/>
                <w:szCs w:val="13"/>
                <w:color w:val="auto"/>
              </w:rPr>
              <w:t>Michael S. Sarner</w:t>
            </w:r>
          </w:p>
        </w:tc>
      </w:tr>
      <w:tr>
        <w:trPr>
          <w:trHeight w:val="166"/>
        </w:trPr>
        <w:tc>
          <w:tcPr>
            <w:tcW w:w="3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Arial" w:cs="Arial" w:eastAsia="Arial" w:hAnsi="Arial"/>
                <w:sz w:val="13"/>
                <w:szCs w:val="13"/>
                <w:color w:val="auto"/>
              </w:rPr>
              <w:t>Chief Financial Officer</w:t>
            </w:r>
          </w:p>
        </w:tc>
      </w:tr>
    </w:tbl>
    <w:p>
      <w:pPr>
        <w:sectPr>
          <w:pgSz w:w="11900" w:h="16838" w:orient="portrait"/>
          <w:cols w:equalWidth="0" w:num="1">
            <w:col w:w="11300"/>
          </w:cols>
          <w:pgMar w:left="300" w:top="638" w:right="299" w:bottom="1440" w:gutter="0" w:footer="0" w:header="0"/>
        </w:sectPr>
      </w:pPr>
    </w:p>
    <w:bookmarkStart w:id="92" w:name="page93"/>
    <w:bookmarkEnd w:id="92"/>
    <w:p>
      <w:pPr>
        <w:jc w:val="right"/>
        <w:ind w:right="60"/>
        <w:spacing w:after="0"/>
        <w:rPr>
          <w:sz w:val="20"/>
          <w:szCs w:val="20"/>
          <w:color w:val="auto"/>
        </w:rPr>
      </w:pPr>
      <w:r>
        <w:rPr>
          <w:rFonts w:ascii="Arial" w:cs="Arial" w:eastAsia="Arial" w:hAnsi="Arial"/>
          <w:sz w:val="13"/>
          <w:szCs w:val="13"/>
          <w:b w:val="1"/>
          <w:bCs w:val="1"/>
          <w:color w:val="auto"/>
        </w:rPr>
        <w:t>Exhibit 32.1</w:t>
      </w:r>
    </w:p>
    <w:p>
      <w:pPr>
        <w:spacing w:after="0" w:line="157" w:lineRule="exact"/>
        <w:rPr>
          <w:sz w:val="20"/>
          <w:szCs w:val="20"/>
          <w:color w:val="auto"/>
        </w:rPr>
      </w:pPr>
    </w:p>
    <w:p>
      <w:pPr>
        <w:jc w:val="center"/>
        <w:ind w:left="740"/>
        <w:spacing w:after="0"/>
        <w:rPr>
          <w:sz w:val="20"/>
          <w:szCs w:val="20"/>
          <w:color w:val="auto"/>
        </w:rPr>
      </w:pPr>
      <w:r>
        <w:rPr>
          <w:rFonts w:ascii="Arial" w:cs="Arial" w:eastAsia="Arial" w:hAnsi="Arial"/>
          <w:sz w:val="13"/>
          <w:szCs w:val="13"/>
          <w:b w:val="1"/>
          <w:bCs w:val="1"/>
          <w:color w:val="auto"/>
        </w:rPr>
        <w:t>Certification of the President and Chief Executive Officer</w:t>
      </w:r>
    </w:p>
    <w:p>
      <w:pPr>
        <w:spacing w:after="0" w:line="18" w:lineRule="exact"/>
        <w:rPr>
          <w:sz w:val="20"/>
          <w:szCs w:val="20"/>
          <w:color w:val="auto"/>
        </w:rPr>
      </w:pPr>
    </w:p>
    <w:p>
      <w:pPr>
        <w:jc w:val="center"/>
        <w:ind w:left="740"/>
        <w:spacing w:after="0"/>
        <w:rPr>
          <w:sz w:val="20"/>
          <w:szCs w:val="20"/>
          <w:color w:val="auto"/>
        </w:rPr>
      </w:pPr>
      <w:r>
        <w:rPr>
          <w:rFonts w:ascii="Arial" w:cs="Arial" w:eastAsia="Arial" w:hAnsi="Arial"/>
          <w:sz w:val="13"/>
          <w:szCs w:val="13"/>
          <w:b w:val="1"/>
          <w:bCs w:val="1"/>
          <w:color w:val="auto"/>
        </w:rPr>
        <w:t>Pursuant to 18 U.S.C. Section 1350, as adopted pursuant to Section 906 of the</w:t>
      </w:r>
    </w:p>
    <w:p>
      <w:pPr>
        <w:spacing w:after="0" w:line="4" w:lineRule="exact"/>
        <w:rPr>
          <w:sz w:val="20"/>
          <w:szCs w:val="20"/>
          <w:color w:val="auto"/>
        </w:rPr>
      </w:pPr>
    </w:p>
    <w:p>
      <w:pPr>
        <w:jc w:val="center"/>
        <w:ind w:left="740"/>
        <w:spacing w:after="0"/>
        <w:rPr>
          <w:sz w:val="20"/>
          <w:szCs w:val="20"/>
          <w:color w:val="auto"/>
        </w:rPr>
      </w:pPr>
      <w:r>
        <w:rPr>
          <w:rFonts w:ascii="Arial" w:cs="Arial" w:eastAsia="Arial" w:hAnsi="Arial"/>
          <w:sz w:val="13"/>
          <w:szCs w:val="13"/>
          <w:b w:val="1"/>
          <w:bCs w:val="1"/>
          <w:color w:val="auto"/>
        </w:rPr>
        <w:t>Sarbanes-Oxley Act of 2002</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 Bowen S. Diehl, President and Chief Executive Officer of Capital Southwest Corporation, certify that, to my knowledge:</w:t>
      </w:r>
    </w:p>
    <w:p>
      <w:pPr>
        <w:spacing w:after="0" w:line="76" w:lineRule="exact"/>
        <w:rPr>
          <w:sz w:val="20"/>
          <w:szCs w:val="20"/>
          <w:color w:val="auto"/>
        </w:rPr>
      </w:pPr>
    </w:p>
    <w:p>
      <w:pPr>
        <w:ind w:left="220" w:right="120" w:hanging="212"/>
        <w:spacing w:after="0" w:line="271" w:lineRule="auto"/>
        <w:tabs>
          <w:tab w:leader="none" w:pos="2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Form 10-Q for the quarter ended June 30, 2021, filed with the Securities and Exchange Commission on August 3, 2021 (“accompanied report”) fully complies with the requirements of Section 13(a) or 15(d) of the Securities Exchange Act of 1934; and</w:t>
      </w:r>
    </w:p>
    <w:p>
      <w:pPr>
        <w:spacing w:after="0" w:line="40" w:lineRule="exact"/>
        <w:rPr>
          <w:rFonts w:ascii="Arial" w:cs="Arial" w:eastAsia="Arial" w:hAnsi="Arial"/>
          <w:sz w:val="13"/>
          <w:szCs w:val="13"/>
          <w:color w:val="auto"/>
        </w:rPr>
      </w:pPr>
    </w:p>
    <w:p>
      <w:pPr>
        <w:ind w:left="220" w:hanging="212"/>
        <w:spacing w:after="0"/>
        <w:tabs>
          <w:tab w:leader="none" w:pos="2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information contained in the accompanied report fairly presents, in all material respects, the consolidated financial condition and results of operations of Capital Southwest Corporation.</w:t>
      </w:r>
    </w:p>
    <w:p>
      <w:pPr>
        <w:spacing w:after="0" w:line="265" w:lineRule="exact"/>
        <w:rPr>
          <w:sz w:val="20"/>
          <w:szCs w:val="20"/>
          <w:color w:val="auto"/>
        </w:rPr>
      </w:pPr>
    </w:p>
    <w:tbl>
      <w:tblPr>
        <w:tblLayout w:type="fixed"/>
        <w:tblInd w:w="1320" w:type="dxa"/>
        <w:tblCellMar>
          <w:top w:w="0" w:type="dxa"/>
          <w:left w:w="0" w:type="dxa"/>
          <w:bottom w:w="0" w:type="dxa"/>
          <w:right w:w="0" w:type="dxa"/>
        </w:tblCellMar>
      </w:tblPr>
      <w:tr>
        <w:trPr>
          <w:trHeight w:val="164"/>
        </w:trPr>
        <w:tc>
          <w:tcPr>
            <w:tcW w:w="3260" w:type="dxa"/>
            <w:vAlign w:val="bottom"/>
          </w:tcPr>
          <w:p>
            <w:pPr>
              <w:spacing w:after="0"/>
              <w:rPr>
                <w:sz w:val="20"/>
                <w:szCs w:val="20"/>
                <w:color w:val="auto"/>
              </w:rPr>
            </w:pPr>
            <w:r>
              <w:rPr>
                <w:rFonts w:ascii="Arial" w:cs="Arial" w:eastAsia="Arial" w:hAnsi="Arial"/>
                <w:sz w:val="13"/>
                <w:szCs w:val="13"/>
                <w:color w:val="auto"/>
              </w:rPr>
              <w:t>Date: August 3, 2021</w:t>
            </w:r>
          </w:p>
        </w:tc>
        <w:tc>
          <w:tcPr>
            <w:tcW w:w="2320" w:type="dxa"/>
            <w:vAlign w:val="bottom"/>
          </w:tcPr>
          <w:p>
            <w:pPr>
              <w:ind w:left="2120"/>
              <w:spacing w:after="0"/>
              <w:rPr>
                <w:sz w:val="20"/>
                <w:szCs w:val="20"/>
                <w:color w:val="auto"/>
              </w:rPr>
            </w:pPr>
            <w:r>
              <w:rPr>
                <w:rFonts w:ascii="Arial" w:cs="Arial" w:eastAsia="Arial" w:hAnsi="Arial"/>
                <w:sz w:val="13"/>
                <w:szCs w:val="13"/>
                <w:color w:val="auto"/>
                <w:w w:val="95"/>
              </w:rPr>
              <w:t>By:</w:t>
            </w:r>
          </w:p>
        </w:tc>
        <w:tc>
          <w:tcPr>
            <w:tcW w:w="426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/s/ Bowen S. Diehl</w:t>
            </w:r>
          </w:p>
        </w:tc>
      </w:tr>
      <w:tr>
        <w:trPr>
          <w:trHeight w:val="149"/>
        </w:trPr>
        <w:tc>
          <w:tcPr>
            <w:tcW w:w="3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260" w:type="dxa"/>
            <w:vAlign w:val="bottom"/>
          </w:tcPr>
          <w:p>
            <w:pPr>
              <w:ind w:left="760"/>
              <w:spacing w:after="0"/>
              <w:rPr>
                <w:sz w:val="20"/>
                <w:szCs w:val="20"/>
                <w:color w:val="auto"/>
              </w:rPr>
            </w:pPr>
            <w:r>
              <w:rPr>
                <w:rFonts w:ascii="Arial" w:cs="Arial" w:eastAsia="Arial" w:hAnsi="Arial"/>
                <w:sz w:val="13"/>
                <w:szCs w:val="13"/>
                <w:color w:val="auto"/>
              </w:rPr>
              <w:t>Bowen S. Diehl</w:t>
            </w:r>
          </w:p>
        </w:tc>
      </w:tr>
      <w:tr>
        <w:trPr>
          <w:trHeight w:val="166"/>
        </w:trPr>
        <w:tc>
          <w:tcPr>
            <w:tcW w:w="3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260" w:type="dxa"/>
            <w:vAlign w:val="bottom"/>
          </w:tcPr>
          <w:p>
            <w:pPr>
              <w:ind w:left="760"/>
              <w:spacing w:after="0"/>
              <w:rPr>
                <w:sz w:val="20"/>
                <w:szCs w:val="20"/>
                <w:color w:val="auto"/>
              </w:rPr>
            </w:pPr>
            <w:r>
              <w:rPr>
                <w:rFonts w:ascii="Arial" w:cs="Arial" w:eastAsia="Arial" w:hAnsi="Arial"/>
                <w:sz w:val="13"/>
                <w:szCs w:val="13"/>
                <w:color w:val="auto"/>
              </w:rPr>
              <w:t>President and Chief Executive Officer</w:t>
            </w:r>
          </w:p>
        </w:tc>
      </w:tr>
    </w:tbl>
    <w:p>
      <w:pPr>
        <w:sectPr>
          <w:pgSz w:w="11900" w:h="16838" w:orient="portrait"/>
          <w:cols w:equalWidth="0" w:num="1">
            <w:col w:w="11160"/>
          </w:cols>
          <w:pgMar w:left="500" w:top="638"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3"/>
          <w:szCs w:val="13"/>
          <w:b w:val="1"/>
          <w:bCs w:val="1"/>
          <w:color w:val="auto"/>
        </w:rPr>
        <w:t>Exhibit 32.2</w:t>
      </w:r>
    </w:p>
    <w:p>
      <w:pPr>
        <w:spacing w:after="0" w:line="157" w:lineRule="exact"/>
        <w:rPr>
          <w:sz w:val="20"/>
          <w:szCs w:val="20"/>
          <w:color w:val="auto"/>
        </w:rPr>
      </w:pPr>
    </w:p>
    <w:p>
      <w:pPr>
        <w:jc w:val="center"/>
        <w:ind w:left="740"/>
        <w:spacing w:after="0"/>
        <w:rPr>
          <w:sz w:val="20"/>
          <w:szCs w:val="20"/>
          <w:color w:val="auto"/>
        </w:rPr>
      </w:pPr>
      <w:r>
        <w:rPr>
          <w:rFonts w:ascii="Arial" w:cs="Arial" w:eastAsia="Arial" w:hAnsi="Arial"/>
          <w:sz w:val="13"/>
          <w:szCs w:val="13"/>
          <w:b w:val="1"/>
          <w:bCs w:val="1"/>
          <w:color w:val="auto"/>
        </w:rPr>
        <w:t>Certification of the Chief Financial Officer</w:t>
      </w:r>
    </w:p>
    <w:p>
      <w:pPr>
        <w:spacing w:after="0" w:line="18" w:lineRule="exact"/>
        <w:rPr>
          <w:sz w:val="20"/>
          <w:szCs w:val="20"/>
          <w:color w:val="auto"/>
        </w:rPr>
      </w:pPr>
    </w:p>
    <w:p>
      <w:pPr>
        <w:jc w:val="center"/>
        <w:ind w:left="740"/>
        <w:spacing w:after="0"/>
        <w:rPr>
          <w:sz w:val="20"/>
          <w:szCs w:val="20"/>
          <w:color w:val="auto"/>
        </w:rPr>
      </w:pPr>
      <w:r>
        <w:rPr>
          <w:rFonts w:ascii="Arial" w:cs="Arial" w:eastAsia="Arial" w:hAnsi="Arial"/>
          <w:sz w:val="13"/>
          <w:szCs w:val="13"/>
          <w:b w:val="1"/>
          <w:bCs w:val="1"/>
          <w:color w:val="auto"/>
        </w:rPr>
        <w:t>Pursuant to 18 U.S.C. Section 1350, as adopted pursuant to Section 906 of the</w:t>
      </w:r>
    </w:p>
    <w:p>
      <w:pPr>
        <w:spacing w:after="0" w:line="4" w:lineRule="exact"/>
        <w:rPr>
          <w:sz w:val="20"/>
          <w:szCs w:val="20"/>
          <w:color w:val="auto"/>
        </w:rPr>
      </w:pPr>
    </w:p>
    <w:p>
      <w:pPr>
        <w:jc w:val="center"/>
        <w:ind w:left="740"/>
        <w:spacing w:after="0"/>
        <w:rPr>
          <w:sz w:val="20"/>
          <w:szCs w:val="20"/>
          <w:color w:val="auto"/>
        </w:rPr>
      </w:pPr>
      <w:r>
        <w:rPr>
          <w:rFonts w:ascii="Arial" w:cs="Arial" w:eastAsia="Arial" w:hAnsi="Arial"/>
          <w:sz w:val="13"/>
          <w:szCs w:val="13"/>
          <w:b w:val="1"/>
          <w:bCs w:val="1"/>
          <w:color w:val="auto"/>
        </w:rPr>
        <w:t>Sarbanes-Oxley Act of 2002</w:t>
      </w:r>
    </w:p>
    <w:p>
      <w:pPr>
        <w:spacing w:after="0" w:line="30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I, Michael S. Sarner, Chief Financial Officer of Capital Southwest Corporation, certify that, to my knowledge:</w:t>
      </w:r>
    </w:p>
    <w:p>
      <w:pPr>
        <w:spacing w:after="0" w:line="76" w:lineRule="exact"/>
        <w:rPr>
          <w:sz w:val="20"/>
          <w:szCs w:val="20"/>
          <w:color w:val="auto"/>
        </w:rPr>
      </w:pPr>
    </w:p>
    <w:p>
      <w:pPr>
        <w:ind w:left="420" w:right="60" w:hanging="212"/>
        <w:spacing w:after="0" w:line="271" w:lineRule="auto"/>
        <w:tabs>
          <w:tab w:leader="none" w:pos="4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Form 10-Q for the quarter ended June 30, 2021, filed with the Securities and Exchange Commission on August 3, 2021 (“accompanied report”) fully complies with the requirements of Section 13(a) or 15(d) of the Securities Exchange Act of 1934; and</w:t>
      </w:r>
    </w:p>
    <w:p>
      <w:pPr>
        <w:spacing w:after="0" w:line="40" w:lineRule="exact"/>
        <w:rPr>
          <w:rFonts w:ascii="Arial" w:cs="Arial" w:eastAsia="Arial" w:hAnsi="Arial"/>
          <w:sz w:val="13"/>
          <w:szCs w:val="13"/>
          <w:color w:val="auto"/>
        </w:rPr>
      </w:pPr>
    </w:p>
    <w:p>
      <w:pPr>
        <w:ind w:left="420" w:hanging="212"/>
        <w:spacing w:after="0"/>
        <w:tabs>
          <w:tab w:leader="none" w:pos="4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information contained in the accompanied report fairly presents, in all material respects, the consolidated financial condition and results of operations of Capital Southwest Corporation.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Date: August 3, 2021</w:t>
            </w:r>
          </w:p>
        </w:tc>
        <w:tc>
          <w:tcPr>
            <w:tcW w:w="2780" w:type="dxa"/>
            <w:vAlign w:val="bottom"/>
          </w:tcPr>
          <w:p>
            <w:pPr>
              <w:ind w:left="2220"/>
              <w:spacing w:after="0"/>
              <w:rPr>
                <w:sz w:val="20"/>
                <w:szCs w:val="20"/>
                <w:color w:val="auto"/>
              </w:rPr>
            </w:pPr>
            <w:r>
              <w:rPr>
                <w:rFonts w:ascii="Arial" w:cs="Arial" w:eastAsia="Arial" w:hAnsi="Arial"/>
                <w:sz w:val="13"/>
                <w:szCs w:val="13"/>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Michael S. Sarner</w:t>
            </w:r>
          </w:p>
        </w:tc>
      </w:tr>
      <w:tr>
        <w:trPr>
          <w:trHeight w:val="149"/>
        </w:trPr>
        <w:tc>
          <w:tcPr>
            <w:tcW w:w="3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Michael S. Sarner</w:t>
            </w:r>
          </w:p>
        </w:tc>
      </w:tr>
      <w:tr>
        <w:trPr>
          <w:trHeight w:val="166"/>
        </w:trPr>
        <w:tc>
          <w:tcPr>
            <w:tcW w:w="3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Chief Financial Officer</w:t>
            </w:r>
          </w:p>
        </w:tc>
      </w:tr>
    </w:tbl>
    <w:p>
      <w:pPr>
        <w:spacing w:after="0" w:line="1" w:lineRule="exact"/>
        <w:rPr>
          <w:sz w:val="20"/>
          <w:szCs w:val="20"/>
          <w:color w:val="auto"/>
        </w:rPr>
      </w:pPr>
    </w:p>
    <w:sectPr>
      <w:pgSz w:w="11900" w:h="16838" w:orient="portrait"/>
      <w:cols w:equalWidth="0" w:num="1">
        <w:col w:w="11300"/>
      </w:cols>
      <w:pgMar w:left="300" w:top="63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upperLetter"/>
      <w:start w:val="24"/>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bullet"/>
      <w:start w:val="1"/>
    </w:lvl>
  </w:abstractNum>
  <w:abstractNum w:abstractNumId="3">
    <w:nsid w:val="57E4CCAF"/>
    <w:multiLevelType w:val="hybridMultilevel"/>
    <w:lvl w:ilvl="0">
      <w:lvlJc w:val="left"/>
      <w:lvlText w:val="2"/>
      <w:numFmt w:val="bullet"/>
      <w:start w:val="1"/>
    </w:lvl>
  </w:abstractNum>
  <w:abstractNum w:abstractNumId="4">
    <w:nsid w:val="7A6D8D3C"/>
    <w:multiLevelType w:val="hybridMultilevel"/>
    <w:lvl w:ilvl="0">
      <w:lvlJc w:val="left"/>
      <w:lvlText w:val="3"/>
      <w:numFmt w:val="bullet"/>
      <w:start w:val="1"/>
    </w:lvl>
  </w:abstractNum>
  <w:abstractNum w:abstractNumId="5">
    <w:nsid w:val="4B588F54"/>
    <w:multiLevelType w:val="hybridMultilevel"/>
    <w:lvl w:ilvl="0">
      <w:lvlJc w:val="left"/>
      <w:lvlText w:val="4"/>
      <w:numFmt w:val="bullet"/>
      <w:start w:val="1"/>
    </w:lvl>
  </w:abstractNum>
  <w:abstractNum w:abstractNumId="6">
    <w:nsid w:val="542289EC"/>
    <w:multiLevelType w:val="hybridMultilevel"/>
    <w:lvl w:ilvl="0">
      <w:lvlJc w:val="left"/>
      <w:lvlText w:val="5"/>
      <w:numFmt w:val="bullet"/>
      <w:start w:val="1"/>
    </w:lvl>
  </w:abstractNum>
  <w:abstractNum w:abstractNumId="7">
    <w:nsid w:val="6DE91B18"/>
    <w:multiLevelType w:val="hybridMultilevel"/>
    <w:lvl w:ilvl="0">
      <w:lvlJc w:val="left"/>
      <w:lvlText w:val="6"/>
      <w:numFmt w:val="bullet"/>
      <w:start w:val="1"/>
    </w:lvl>
  </w:abstractNum>
  <w:abstractNum w:abstractNumId="8">
    <w:nsid w:val="38437FDB"/>
    <w:multiLevelType w:val="hybridMultilevel"/>
    <w:lvl w:ilvl="0">
      <w:lvlJc w:val="left"/>
      <w:lvlText w:val="7"/>
      <w:numFmt w:val="bullet"/>
      <w:start w:val="1"/>
    </w:lvl>
  </w:abstractNum>
  <w:abstractNum w:abstractNumId="9">
    <w:nsid w:val="7644A45C"/>
    <w:multiLevelType w:val="hybridMultilevel"/>
    <w:lvl w:ilvl="0">
      <w:lvlJc w:val="left"/>
      <w:lvlText w:val="8"/>
      <w:numFmt w:val="bullet"/>
      <w:start w:val="1"/>
    </w:lvl>
  </w:abstractNum>
  <w:abstractNum w:abstractNumId="10">
    <w:nsid w:val="32FFF902"/>
    <w:multiLevelType w:val="hybridMultilevel"/>
    <w:lvl w:ilvl="0">
      <w:lvlJc w:val="left"/>
      <w:lvlText w:val="9"/>
      <w:numFmt w:val="bullet"/>
      <w:start w:val="1"/>
    </w:lvl>
  </w:abstractNum>
  <w:abstractNum w:abstractNumId="11">
    <w:nsid w:val="684A481A"/>
    <w:multiLevelType w:val="hybridMultilevel"/>
    <w:lvl w:ilvl="0">
      <w:lvlJc w:val="left"/>
      <w:lvlText w:val="%1"/>
      <w:numFmt w:val="decimal"/>
      <w:start w:val="10"/>
    </w:lvl>
  </w:abstractNum>
  <w:abstractNum w:abstractNumId="12">
    <w:nsid w:val="579478FE"/>
    <w:multiLevelType w:val="hybridMultilevel"/>
    <w:lvl w:ilvl="0">
      <w:lvlJc w:val="left"/>
      <w:lvlText w:val="1"/>
      <w:numFmt w:val="bullet"/>
      <w:start w:val="1"/>
    </w:lvl>
  </w:abstractNum>
  <w:abstractNum w:abstractNumId="13">
    <w:nsid w:val="749ABB43"/>
    <w:multiLevelType w:val="hybridMultilevel"/>
    <w:lvl w:ilvl="0">
      <w:lvlJc w:val="left"/>
      <w:lvlText w:val="2"/>
      <w:numFmt w:val="bullet"/>
      <w:start w:val="1"/>
    </w:lvl>
  </w:abstractNum>
  <w:abstractNum w:abstractNumId="14">
    <w:nsid w:val="3DC240FB"/>
    <w:multiLevelType w:val="hybridMultilevel"/>
    <w:lvl w:ilvl="0">
      <w:lvlJc w:val="left"/>
      <w:lvlText w:val="3"/>
      <w:numFmt w:val="bullet"/>
      <w:start w:val="1"/>
    </w:lvl>
  </w:abstractNum>
  <w:abstractNum w:abstractNumId="15">
    <w:nsid w:val="1BA026FA"/>
    <w:multiLevelType w:val="hybridMultilevel"/>
    <w:lvl w:ilvl="0">
      <w:lvlJc w:val="left"/>
      <w:lvlText w:val="4"/>
      <w:numFmt w:val="bullet"/>
      <w:start w:val="1"/>
    </w:lvl>
  </w:abstractNum>
  <w:abstractNum w:abstractNumId="16">
    <w:nsid w:val="79A1DEAA"/>
    <w:multiLevelType w:val="hybridMultilevel"/>
    <w:lvl w:ilvl="0">
      <w:lvlJc w:val="left"/>
      <w:lvlText w:val="5"/>
      <w:numFmt w:val="bullet"/>
      <w:start w:val="1"/>
    </w:lvl>
  </w:abstractNum>
  <w:abstractNum w:abstractNumId="17">
    <w:nsid w:val="75C6C33A"/>
    <w:multiLevelType w:val="hybridMultilevel"/>
    <w:lvl w:ilvl="0">
      <w:lvlJc w:val="left"/>
      <w:lvlText w:val="6"/>
      <w:numFmt w:val="bullet"/>
      <w:start w:val="1"/>
    </w:lvl>
  </w:abstractNum>
  <w:abstractNum w:abstractNumId="18">
    <w:nsid w:val="12E685FB"/>
    <w:multiLevelType w:val="hybridMultilevel"/>
    <w:lvl w:ilvl="0">
      <w:lvlJc w:val="left"/>
      <w:lvlText w:val="7"/>
      <w:numFmt w:val="bullet"/>
      <w:start w:val="1"/>
    </w:lvl>
  </w:abstractNum>
  <w:abstractNum w:abstractNumId="19">
    <w:nsid w:val="70C6A529"/>
    <w:multiLevelType w:val="hybridMultilevel"/>
    <w:lvl w:ilvl="0">
      <w:lvlJc w:val="left"/>
      <w:lvlText w:val="8"/>
      <w:numFmt w:val="bullet"/>
      <w:start w:val="1"/>
    </w:lvl>
  </w:abstractNum>
  <w:abstractNum w:abstractNumId="20">
    <w:nsid w:val="520EEDD1"/>
    <w:multiLevelType w:val="hybridMultilevel"/>
    <w:lvl w:ilvl="0">
      <w:lvlJc w:val="left"/>
      <w:lvlText w:val="9"/>
      <w:numFmt w:val="bullet"/>
      <w:start w:val="1"/>
    </w:lvl>
  </w:abstractNum>
  <w:abstractNum w:abstractNumId="21">
    <w:nsid w:val="374A3FE6"/>
    <w:multiLevelType w:val="hybridMultilevel"/>
    <w:lvl w:ilvl="0">
      <w:lvlJc w:val="left"/>
      <w:lvlText w:val="%1"/>
      <w:numFmt w:val="decimal"/>
      <w:start w:val="10"/>
    </w:lvl>
  </w:abstractNum>
  <w:abstractNum w:abstractNumId="22">
    <w:nsid w:val="4F4EF005"/>
    <w:multiLevelType w:val="hybridMultilevel"/>
    <w:lvl w:ilvl="0">
      <w:lvlJc w:val="left"/>
      <w:lvlText w:val="%1"/>
      <w:numFmt w:val="decimal"/>
      <w:start w:val="12"/>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5"/>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2"/>
    </w:lvl>
  </w:abstractNum>
  <w:abstractNum w:abstractNumId="28">
    <w:nsid w:val="180115BE"/>
    <w:multiLevelType w:val="hybridMultilevel"/>
    <w:lvl w:ilvl="0">
      <w:lvlJc w:val="left"/>
      <w:lvlText w:val="%1."/>
      <w:numFmt w:val="decimal"/>
      <w:start w:val="3"/>
    </w:lvl>
  </w:abstractNum>
  <w:abstractNum w:abstractNumId="29">
    <w:nsid w:val="235BA861"/>
    <w:multiLevelType w:val="hybridMultilevel"/>
    <w:lvl w:ilvl="0">
      <w:lvlJc w:val="left"/>
      <w:lvlText w:val="1"/>
      <w:numFmt w:val="bullet"/>
      <w:start w:val="1"/>
    </w:lvl>
  </w:abstractNum>
  <w:abstractNum w:abstractNumId="30">
    <w:nsid w:val="47398C89"/>
    <w:multiLevelType w:val="hybridMultilevel"/>
    <w:lvl w:ilvl="0">
      <w:lvlJc w:val="left"/>
      <w:lvlText w:val="2"/>
      <w:numFmt w:val="bullet"/>
      <w:start w:val="1"/>
    </w:lvl>
  </w:abstractNum>
  <w:abstractNum w:abstractNumId="31">
    <w:nsid w:val="354FE9F9"/>
    <w:multiLevelType w:val="hybridMultilevel"/>
    <w:lvl w:ilvl="0">
      <w:lvlJc w:val="left"/>
      <w:lvlText w:val="3"/>
      <w:numFmt w:val="bullet"/>
      <w:start w:val="1"/>
    </w:lvl>
  </w:abstractNum>
  <w:abstractNum w:abstractNumId="32">
    <w:nsid w:val="15B5AF5C"/>
    <w:multiLevelType w:val="hybridMultilevel"/>
    <w:lvl w:ilvl="0">
      <w:lvlJc w:val="left"/>
      <w:lvlText w:val="4"/>
      <w:numFmt w:val="bullet"/>
      <w:start w:val="1"/>
    </w:lvl>
  </w:abstractNum>
  <w:abstractNum w:abstractNumId="33">
    <w:nsid w:val="741226BB"/>
    <w:multiLevelType w:val="hybridMultilevel"/>
    <w:lvl w:ilvl="0">
      <w:lvlJc w:val="left"/>
      <w:lvlText w:val="1"/>
      <w:numFmt w:val="bullet"/>
      <w:start w:val="1"/>
    </w:lvl>
  </w:abstractNum>
  <w:abstractNum w:abstractNumId="34">
    <w:nsid w:val="D34B6A8"/>
    <w:multiLevelType w:val="hybridMultilevel"/>
    <w:lvl w:ilvl="0">
      <w:lvlJc w:val="left"/>
      <w:lvlText w:val="1"/>
      <w:numFmt w:val="bullet"/>
      <w:start w:val="1"/>
    </w:lvl>
  </w:abstractNum>
  <w:abstractNum w:abstractNumId="35">
    <w:nsid w:val="10233C99"/>
    <w:multiLevelType w:val="hybridMultilevel"/>
    <w:lvl w:ilvl="0">
      <w:lvlJc w:val="left"/>
      <w:lvlText w:val="%1."/>
      <w:numFmt w:val="decimal"/>
      <w:start w:val="4"/>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bullet"/>
      <w:start w:val="1"/>
    </w:lvl>
  </w:abstractNum>
  <w:abstractNum w:abstractNumId="39">
    <w:nsid w:val="77AE35EB"/>
    <w:multiLevelType w:val="hybridMultilevel"/>
    <w:lvl w:ilvl="0">
      <w:lvlJc w:val="left"/>
      <w:lvlText w:val="1"/>
      <w:numFmt w:val="bullet"/>
      <w:start w:val="1"/>
    </w:lvl>
  </w:abstractNum>
  <w:abstractNum w:abstractNumId="40">
    <w:nsid w:val="579BE4F1"/>
    <w:multiLevelType w:val="hybridMultilevel"/>
    <w:lvl w:ilvl="0">
      <w:lvlJc w:val="left"/>
      <w:lvlText w:val="%1."/>
      <w:numFmt w:val="decimal"/>
      <w:start w:val="5"/>
    </w:lvl>
  </w:abstractNum>
  <w:abstractNum w:abstractNumId="41">
    <w:nsid w:val="310C50B3"/>
    <w:multiLevelType w:val="hybridMultilevel"/>
    <w:lvl w:ilvl="0">
      <w:lvlJc w:val="left"/>
      <w:lvlText w:val="(%1)"/>
      <w:numFmt w:val="upperLetter"/>
      <w:start w:val="2"/>
    </w:lvl>
  </w:abstractNum>
  <w:abstractNum w:abstractNumId="42">
    <w:nsid w:val="5FF87E05"/>
    <w:multiLevelType w:val="hybridMultilevel"/>
    <w:lvl w:ilvl="0">
      <w:lvlJc w:val="left"/>
      <w:lvlText w:val="(%1)"/>
      <w:numFmt w:val="upperLetter"/>
      <w:start w:val="2"/>
    </w:lvl>
  </w:abstractNum>
  <w:abstractNum w:abstractNumId="43">
    <w:nsid w:val="2F305DEF"/>
    <w:multiLevelType w:val="hybridMultilevel"/>
    <w:lvl w:ilvl="0">
      <w:lvlJc w:val="left"/>
      <w:lvlText w:val="%1."/>
      <w:numFmt w:val="decimal"/>
      <w:start w:val="6"/>
    </w:lvl>
  </w:abstractNum>
  <w:abstractNum w:abstractNumId="44">
    <w:nsid w:val="25A70BF7"/>
    <w:multiLevelType w:val="hybridMultilevel"/>
    <w:lvl w:ilvl="0">
      <w:lvlJc w:val="left"/>
      <w:lvlText w:val="1"/>
      <w:numFmt w:val="bullet"/>
      <w:start w:val="1"/>
    </w:lvl>
  </w:abstractNum>
  <w:abstractNum w:abstractNumId="45">
    <w:nsid w:val="1DBABF00"/>
    <w:multiLevelType w:val="hybridMultilevel"/>
    <w:lvl w:ilvl="0">
      <w:lvlJc w:val="left"/>
      <w:lvlText w:val="2"/>
      <w:numFmt w:val="bullet"/>
      <w:start w:val="1"/>
    </w:lvl>
  </w:abstractNum>
  <w:abstractNum w:abstractNumId="46">
    <w:nsid w:val="4AD084E9"/>
    <w:multiLevelType w:val="hybridMultilevel"/>
    <w:lvl w:ilvl="0">
      <w:lvlJc w:val="left"/>
      <w:lvlText w:val="%1."/>
      <w:numFmt w:val="decimal"/>
      <w:start w:val="7"/>
    </w:lvl>
  </w:abstractNum>
  <w:abstractNum w:abstractNumId="47">
    <w:nsid w:val="1F48EAA1"/>
    <w:multiLevelType w:val="hybridMultilevel"/>
    <w:lvl w:ilvl="0">
      <w:lvlJc w:val="left"/>
      <w:lvlText w:val="(%1)"/>
      <w:numFmt w:val="lowerRoman"/>
      <w:start w:val="2"/>
    </w:lvl>
  </w:abstractNum>
  <w:abstractNum w:abstractNumId="48">
    <w:nsid w:val="1381823A"/>
    <w:multiLevelType w:val="hybridMultilevel"/>
    <w:lvl w:ilvl="0">
      <w:lvlJc w:val="left"/>
      <w:lvlText w:val="%1."/>
      <w:numFmt w:val="decimal"/>
      <w:start w:val="8"/>
    </w:lvl>
  </w:abstractNum>
  <w:abstractNum w:abstractNumId="49">
    <w:nsid w:val="5DB70AE5"/>
    <w:multiLevelType w:val="hybridMultilevel"/>
    <w:lvl w:ilvl="0">
      <w:lvlJc w:val="left"/>
      <w:lvlText w:val="%1."/>
      <w:numFmt w:val="decimal"/>
      <w:start w:val="9"/>
    </w:lvl>
  </w:abstractNum>
  <w:abstractNum w:abstractNumId="50">
    <w:nsid w:val="100F8FCA"/>
    <w:multiLevelType w:val="hybridMultilevel"/>
    <w:lvl w:ilvl="0">
      <w:lvlJc w:val="left"/>
      <w:lvlText w:val="%1."/>
      <w:numFmt w:val="decimal"/>
      <w:start w:val="11"/>
    </w:lvl>
  </w:abstractNum>
  <w:abstractNum w:abstractNumId="51">
    <w:nsid w:val="6590700B"/>
    <w:multiLevelType w:val="hybridMultilevel"/>
    <w:lvl w:ilvl="0">
      <w:lvlJc w:val="left"/>
      <w:lvlText w:val="1"/>
      <w:numFmt w:val="bullet"/>
      <w:start w:val="1"/>
    </w:lvl>
  </w:abstractNum>
  <w:abstractNum w:abstractNumId="52">
    <w:nsid w:val="15014ACB"/>
    <w:multiLevelType w:val="hybridMultilevel"/>
    <w:lvl w:ilvl="0">
      <w:lvlJc w:val="left"/>
      <w:lvlText w:val="2"/>
      <w:numFmt w:val="bullet"/>
      <w:start w:val="1"/>
    </w:lvl>
  </w:abstractNum>
  <w:abstractNum w:abstractNumId="53">
    <w:nsid w:val="5F5E7FD0"/>
    <w:multiLevelType w:val="hybridMultilevel"/>
    <w:lvl w:ilvl="0">
      <w:lvlJc w:val="left"/>
      <w:lvlText w:val="3"/>
      <w:numFmt w:val="bullet"/>
      <w:start w:val="1"/>
    </w:lvl>
  </w:abstractNum>
  <w:abstractNum w:abstractNumId="54">
    <w:nsid w:val="98A3148"/>
    <w:multiLevelType w:val="hybridMultilevel"/>
    <w:lvl w:ilvl="0">
      <w:lvlJc w:val="left"/>
      <w:lvlText w:val="4"/>
      <w:numFmt w:val="bullet"/>
      <w:start w:val="1"/>
    </w:lvl>
  </w:abstractNum>
  <w:abstractNum w:abstractNumId="55">
    <w:nsid w:val="799D0247"/>
    <w:multiLevelType w:val="hybridMultilevel"/>
    <w:lvl w:ilvl="0">
      <w:lvlJc w:val="left"/>
      <w:lvlText w:val="5"/>
      <w:numFmt w:val="bullet"/>
      <w:start w:val="1"/>
    </w:lvl>
  </w:abstractNum>
  <w:abstractNum w:abstractNumId="56">
    <w:nsid w:val="6B94764"/>
    <w:multiLevelType w:val="hybridMultilevel"/>
    <w:lvl w:ilvl="0">
      <w:lvlJc w:val="left"/>
      <w:lvlText w:val="6"/>
      <w:numFmt w:val="bullet"/>
      <w:start w:val="1"/>
    </w:lvl>
  </w:abstractNum>
  <w:abstractNum w:abstractNumId="57">
    <w:nsid w:val="42C296BD"/>
    <w:multiLevelType w:val="hybridMultilevel"/>
    <w:lvl w:ilvl="0">
      <w:lvlJc w:val="left"/>
      <w:lvlText w:val="1"/>
      <w:numFmt w:val="bullet"/>
      <w:start w:val="1"/>
    </w:lvl>
  </w:abstractNum>
  <w:abstractNum w:abstractNumId="58">
    <w:nsid w:val="168E121F"/>
    <w:multiLevelType w:val="hybridMultilevel"/>
    <w:lvl w:ilvl="0">
      <w:lvlJc w:val="left"/>
      <w:lvlText w:val="2"/>
      <w:numFmt w:val="bullet"/>
      <w:start w:val="1"/>
    </w:lvl>
  </w:abstractNum>
  <w:abstractNum w:abstractNumId="59">
    <w:nsid w:val="1EBA5D23"/>
    <w:multiLevelType w:val="hybridMultilevel"/>
    <w:lvl w:ilvl="0">
      <w:lvlJc w:val="left"/>
      <w:lvlText w:val="3"/>
      <w:numFmt w:val="bullet"/>
      <w:start w:val="1"/>
    </w:lvl>
  </w:abstractNum>
  <w:abstractNum w:abstractNumId="60">
    <w:nsid w:val="661E3F1E"/>
    <w:multiLevelType w:val="hybridMultilevel"/>
    <w:lvl w:ilvl="0">
      <w:lvlJc w:val="left"/>
      <w:lvlText w:val="4"/>
      <w:numFmt w:val="bullet"/>
      <w:start w:val="1"/>
    </w:lvl>
  </w:abstractNum>
  <w:abstractNum w:abstractNumId="61">
    <w:nsid w:val="5DC79EA8"/>
    <w:multiLevelType w:val="hybridMultilevel"/>
    <w:lvl w:ilvl="0">
      <w:lvlJc w:val="left"/>
      <w:lvlText w:val="1"/>
      <w:numFmt w:val="bullet"/>
      <w:start w:val="1"/>
    </w:lvl>
  </w:abstractNum>
  <w:abstractNum w:abstractNumId="62">
    <w:nsid w:val="540A471C"/>
    <w:multiLevelType w:val="hybridMultilevel"/>
    <w:lvl w:ilvl="0">
      <w:lvlJc w:val="left"/>
      <w:lvlText w:val="2"/>
      <w:numFmt w:val="bullet"/>
      <w:start w:val="1"/>
    </w:lvl>
  </w:abstractNum>
  <w:abstractNum w:abstractNumId="63">
    <w:nsid w:val="7BD3EE7B"/>
    <w:multiLevelType w:val="hybridMultilevel"/>
    <w:lvl w:ilvl="0">
      <w:lvlJc w:val="left"/>
      <w:lvlText w:val="3"/>
      <w:numFmt w:val="bullet"/>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3"/>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1)"/>
      <w:numFmt w:val="upperLetter"/>
      <w:start w:val="2"/>
    </w:lvl>
  </w:abstractNum>
  <w:abstractNum w:abstractNumId="70">
    <w:nsid w:val="8F2B15E"/>
    <w:multiLevelType w:val="hybridMultilevel"/>
    <w:lvl w:ilvl="0">
      <w:lvlJc w:val="left"/>
      <w:lvlText w:val="(%1)"/>
      <w:numFmt w:val="lowerRoman"/>
      <w:start w:val="2"/>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1"/>
      <w:numFmt w:val="bullet"/>
      <w:start w:val="1"/>
    </w:lvl>
  </w:abstractNum>
  <w:abstractNum w:abstractNumId="75">
    <w:nsid w:val="60B6DF70"/>
    <w:multiLevelType w:val="hybridMultilevel"/>
    <w:lvl w:ilvl="0">
      <w:lvlJc w:val="left"/>
      <w:lvlText w:val="2"/>
      <w:numFmt w:val="bullet"/>
      <w:start w:val="1"/>
    </w:lvl>
  </w:abstractNum>
  <w:abstractNum w:abstractNumId="76">
    <w:nsid w:val="6A5EE64"/>
    <w:multiLevelType w:val="hybridMultilevel"/>
    <w:lvl w:ilvl="0">
      <w:lvlJc w:val="left"/>
      <w:lvlText w:val="3"/>
      <w:numFmt w:val="bullet"/>
      <w:start w:val="1"/>
    </w:lvl>
  </w:abstractNum>
  <w:abstractNum w:abstractNumId="77">
    <w:nsid w:val="14330624"/>
    <w:multiLevelType w:val="hybridMultilevel"/>
    <w:lvl w:ilvl="0">
      <w:lvlJc w:val="left"/>
      <w:lvlText w:val="4"/>
      <w:numFmt w:val="bullet"/>
      <w:start w:val="1"/>
    </w:lvl>
    <w:lvl w:ilvl="1">
      <w:lvlJc w:val="left"/>
      <w:lvlText w:val="%2)"/>
      <w:numFmt w:val="lowerLetter"/>
      <w:start w:val="1"/>
    </w:lvl>
  </w:abstractNum>
  <w:abstractNum w:abstractNumId="78">
    <w:nsid w:val="7FFFCA11"/>
    <w:multiLevelType w:val="hybridMultilevel"/>
    <w:lvl w:ilvl="0">
      <w:lvlJc w:val="left"/>
      <w:lvlText w:val="5"/>
      <w:numFmt w:val="bullet"/>
      <w:start w:val="1"/>
    </w:lvl>
    <w:lvl w:ilvl="1">
      <w:lvlJc w:val="left"/>
      <w:lvlText w:val="%2)"/>
      <w:numFmt w:val="lowerLetter"/>
      <w:start w:val="1"/>
    </w:lvl>
  </w:abstractNum>
  <w:abstractNum w:abstractNumId="79">
    <w:nsid w:val="1A27709E"/>
    <w:multiLevelType w:val="hybridMultilevel"/>
    <w:lvl w:ilvl="0">
      <w:lvlJc w:val="left"/>
      <w:lvlText w:val="1"/>
      <w:numFmt w:val="bullet"/>
      <w:start w:val="1"/>
    </w:lvl>
  </w:abstractNum>
  <w:abstractNum w:abstractNumId="80">
    <w:nsid w:val="71EA1109"/>
    <w:multiLevelType w:val="hybridMultilevel"/>
    <w:lvl w:ilvl="0">
      <w:lvlJc w:val="left"/>
      <w:lvlText w:val="2"/>
      <w:numFmt w:val="bullet"/>
      <w:start w:val="1"/>
    </w:lvl>
  </w:abstractNum>
  <w:abstractNum w:abstractNumId="81">
    <w:nsid w:val="100F59DC"/>
    <w:multiLevelType w:val="hybridMultilevel"/>
    <w:lvl w:ilvl="0">
      <w:lvlJc w:val="left"/>
      <w:lvlText w:val="3"/>
      <w:numFmt w:val="bullet"/>
      <w:start w:val="1"/>
    </w:lvl>
  </w:abstractNum>
  <w:abstractNum w:abstractNumId="82">
    <w:nsid w:val="7FB7E0AA"/>
    <w:multiLevelType w:val="hybridMultilevel"/>
    <w:lvl w:ilvl="0">
      <w:lvlJc w:val="left"/>
      <w:lvlText w:val="4"/>
      <w:numFmt w:val="bullet"/>
      <w:start w:val="1"/>
    </w:lvl>
    <w:lvl w:ilvl="1">
      <w:lvlJc w:val="left"/>
      <w:lvlText w:val="%2)"/>
      <w:numFmt w:val="lowerLetter"/>
      <w:start w:val="1"/>
    </w:lvl>
  </w:abstractNum>
  <w:abstractNum w:abstractNumId="83">
    <w:nsid w:val="6EB5BD4"/>
    <w:multiLevelType w:val="hybridMultilevel"/>
    <w:lvl w:ilvl="0">
      <w:lvlJc w:val="left"/>
      <w:lvlText w:val="5"/>
      <w:numFmt w:val="bullet"/>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2021-08-03T16:02:16Z</dcterms:created>
  <dcterms:modified xsi:type="dcterms:W3CDTF">2021-08-03T16:02:16Z</dcterms:modified>
</cp:coreProperties>
</file>