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September 10,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CAPITAL SOUTHWEST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908" w:type="dxa"/>
        <w:jc w:val="center"/>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814-00061</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75-1072796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8333 Douglas Avenue, Suite 1100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Dallas, Texas 75225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(214) 238-5700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10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3"/>
        <w:gridCol w:w="3043"/>
        <w:gridCol w:w="304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64" w:type="dxa"/>
        <w:jc w:val="center"/>
        <w:tblInd w:w="0" w:type="dxa"/>
        <w:tblLayout w:type="fixed"/>
        <w:tblCellMar>
          <w:top w:w="28" w:type="dxa"/>
          <w:left w:w="28" w:type="dxa"/>
          <w:bottom w:w="28" w:type="dxa"/>
          <w:right w:w="28" w:type="dxa"/>
        </w:tblCellMar>
      </w:tblPr>
      <w:tblGrid>
        <w:gridCol w:w="1323"/>
        <w:gridCol w:w="1165"/>
        <w:gridCol w:w="1172"/>
        <w:gridCol w:w="539"/>
        <w:gridCol w:w="539"/>
        <w:gridCol w:w="541"/>
        <w:gridCol w:w="1138"/>
        <w:gridCol w:w="1138"/>
        <w:gridCol w:w="160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$0.25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CSWC</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September 10, 2026, Capital Southwest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entered into an underwriting agreement (the “</w:t>
      </w:r>
      <w:r>
        <w:rPr>
          <w:rFonts w:ascii="Times New Roman;serif" w:hAnsi="Times New Roman;serif"/>
          <w:b/>
          <w:i/>
          <w:color w:val="000000"/>
          <w:sz w:val="20"/>
        </w:rPr>
        <w:t>Underwriting Agreement</w:t>
      </w:r>
      <w:r>
        <w:rPr>
          <w:color w:val="000000"/>
        </w:rPr>
        <w:t>”</w:t>
      </w:r>
      <w:r>
        <w:rPr>
          <w:rFonts w:ascii="Times New Roman;serif" w:hAnsi="Times New Roman;serif"/>
          <w:b w:val="false"/>
          <w:color w:val="000000"/>
          <w:sz w:val="20"/>
        </w:rPr>
        <w:t>) by and among the Company and Deutsche Bank Securities Inc., Huntington Securities, Inc., ING Financial Markets LLC, Morgan Stanley &amp; Co. LLC, RBC Capital Markets, LLC and Wells Fargo Securities, LLC, as representatives (the “</w:t>
      </w:r>
      <w:r>
        <w:rPr>
          <w:rFonts w:ascii="Times New Roman;serif" w:hAnsi="Times New Roman;serif"/>
          <w:b/>
          <w:i/>
          <w:color w:val="000000"/>
          <w:sz w:val="20"/>
        </w:rPr>
        <w:t>Representatives</w:t>
      </w:r>
      <w:r>
        <w:rPr>
          <w:color w:val="000000"/>
        </w:rPr>
        <w:t>”</w:t>
      </w:r>
      <w:r>
        <w:rPr>
          <w:rFonts w:ascii="Times New Roman;serif" w:hAnsi="Times New Roman;serif"/>
          <w:b w:val="false"/>
          <w:color w:val="000000"/>
          <w:sz w:val="20"/>
        </w:rPr>
        <w:t>) of the several underwriters named on Schedule A thereto, in connection with the issuance and sale of $350.0 million in aggregate principal amount of the Company’s 6.750% Notes due 2031 (the “</w:t>
      </w:r>
      <w:r>
        <w:rPr>
          <w:rFonts w:ascii="Times New Roman;serif" w:hAnsi="Times New Roman;serif"/>
          <w:b/>
          <w:i/>
          <w:color w:val="000000"/>
          <w:sz w:val="20"/>
        </w:rPr>
        <w:t>Notes</w:t>
      </w:r>
      <w:r>
        <w:rPr>
          <w:color w:val="000000"/>
        </w:rPr>
        <w:t xml:space="preserve">” </w:t>
      </w:r>
      <w:r>
        <w:rPr>
          <w:rFonts w:ascii="Times New Roman;serif" w:hAnsi="Times New Roman;serif"/>
          <w:b w:val="false"/>
          <w:color w:val="000000"/>
          <w:sz w:val="20"/>
        </w:rPr>
        <w:t>and the issuance and sale of the Notes, the “</w:t>
      </w:r>
      <w:r>
        <w:rPr>
          <w:rFonts w:ascii="Times New Roman;serif" w:hAnsi="Times New Roman;serif"/>
          <w:b/>
          <w:i/>
          <w:color w:val="000000"/>
          <w:sz w:val="20"/>
        </w:rPr>
        <w:t>Offering</w:t>
      </w:r>
      <w:r>
        <w:rPr>
          <w:color w:val="000000"/>
        </w:rPr>
        <w:t>”</w:t>
      </w:r>
      <w:r>
        <w:rPr>
          <w:rFonts w:ascii="Times New Roman;serif" w:hAnsi="Times New Roman;serif"/>
          <w:b w:val="false"/>
          <w:color w:val="000000"/>
          <w:sz w:val="20"/>
        </w:rPr>
        <w: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Underwriting Agreement includes customary representations, warranties, and covenants by the Company. It also provides for customary indemnification by each of the Company and the underwriters against certain liabilities and customary contribution provisions in respect of those liabilities.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September 15, 2026, the Company and U.S. Bank Trust Company, National Association (as successor in interest to U.S. Bank National Association), as trustee (the “</w:t>
      </w:r>
      <w:r>
        <w:rPr>
          <w:rFonts w:ascii="Times New Roman;serif" w:hAnsi="Times New Roman;serif"/>
          <w:b/>
          <w:i/>
          <w:color w:val="000000"/>
          <w:sz w:val="20"/>
        </w:rPr>
        <w:t>Trustee</w:t>
      </w:r>
      <w:r>
        <w:rPr>
          <w:color w:val="000000"/>
        </w:rPr>
        <w:t>”</w:t>
      </w:r>
      <w:r>
        <w:rPr>
          <w:rFonts w:ascii="Times New Roman;serif" w:hAnsi="Times New Roman;serif"/>
          <w:b w:val="false"/>
          <w:color w:val="000000"/>
          <w:sz w:val="20"/>
        </w:rPr>
        <w:t>), entered into an eighth supplemental indenture (the “</w:t>
      </w:r>
      <w:r>
        <w:rPr>
          <w:rFonts w:ascii="Times New Roman;serif" w:hAnsi="Times New Roman;serif"/>
          <w:b/>
          <w:i/>
          <w:color w:val="000000"/>
          <w:sz w:val="20"/>
        </w:rPr>
        <w:t>Eighth Supplemental Indenture</w:t>
      </w:r>
      <w:r>
        <w:rPr>
          <w:color w:val="000000"/>
        </w:rPr>
        <w:t>”</w:t>
      </w:r>
      <w:r>
        <w:rPr>
          <w:rFonts w:ascii="Times New Roman;serif" w:hAnsi="Times New Roman;serif"/>
          <w:b w:val="false"/>
          <w:color w:val="000000"/>
          <w:sz w:val="20"/>
        </w:rPr>
        <w:t>) to the indenture, dated as of October 23, 2017, by and between the Company and the Trustee (the “</w:t>
      </w:r>
      <w:r>
        <w:rPr>
          <w:rFonts w:ascii="Times New Roman;serif" w:hAnsi="Times New Roman;serif"/>
          <w:b/>
          <w:i/>
          <w:color w:val="000000"/>
          <w:sz w:val="20"/>
        </w:rPr>
        <w:t>Base Indenture</w:t>
      </w:r>
      <w:r>
        <w:rPr>
          <w:color w:val="000000"/>
        </w:rPr>
        <w:t xml:space="preserve">” </w:t>
      </w:r>
      <w:r>
        <w:rPr>
          <w:rFonts w:ascii="Times New Roman;serif" w:hAnsi="Times New Roman;serif"/>
          <w:b w:val="false"/>
          <w:color w:val="000000"/>
          <w:sz w:val="20"/>
        </w:rPr>
        <w:t>and together with the Eighth Supplemental Indenture, the “</w:t>
      </w:r>
      <w:r>
        <w:rPr>
          <w:rFonts w:ascii="Times New Roman;serif" w:hAnsi="Times New Roman;serif"/>
          <w:b/>
          <w:i/>
          <w:color w:val="000000"/>
          <w:sz w:val="20"/>
        </w:rPr>
        <w:t>Indenture</w:t>
      </w:r>
      <w:r>
        <w:rPr>
          <w:color w:val="000000"/>
        </w:rPr>
        <w:t>”</w:t>
      </w:r>
      <w:r>
        <w:rPr>
          <w:rFonts w:ascii="Times New Roman;serif" w:hAnsi="Times New Roman;serif"/>
          <w:b w:val="false"/>
          <w:color w:val="000000"/>
          <w:sz w:val="20"/>
        </w:rPr>
        <w:t xml:space="preserve">). The Eighth Supplemental Indenture relates to the Company’s issuance of the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Notes bear interest at a rate of 6.750% per year payable semi-annually in arrears on March 15 and September 15 of each year, beginning on March 15, 2027. The Notes will mature on September 15, 2031 and may be redeemed at the Company’s option, in whole or in part, at any time prior to August 15, 2031 at par plus a “make-whole” premium, and thereafter at par.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intends to use the net proceeds from the Offering to repay a portion of the outstanding indebtedness under the Company’s senior secured revolving credit facility (the “</w:t>
      </w:r>
      <w:r>
        <w:rPr>
          <w:rFonts w:ascii="Times New Roman;serif" w:hAnsi="Times New Roman;serif"/>
          <w:b/>
          <w:i/>
          <w:color w:val="000000"/>
          <w:sz w:val="20"/>
        </w:rPr>
        <w:t>Corporate Credit Facility</w:t>
      </w:r>
      <w:r>
        <w:rPr>
          <w:color w:val="000000"/>
        </w:rPr>
        <w:t>”</w:t>
      </w:r>
      <w:r>
        <w:rPr>
          <w:rFonts w:ascii="Times New Roman;serif" w:hAnsi="Times New Roman;serif"/>
          <w:b w:val="false"/>
          <w:color w:val="000000"/>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Notes are the direct unsecured obligations of the Company and rank pari passu with all outstanding and future unsecured, unsubordinated indebtedness issued by the Company, senior to any of the Company’s future indebtedness that expressly provides it is subordinated to the Notes, effectively subordinated to all of the existing and future secured indebtedness issued by the Company (including indebtedness that is initially unsecured in respect of which the Company subsequently grants security), to the extent of the value of the assets securing such indebtedness, including, without limitation, borrowings under the Corporate Credit Facility, and structurally subordinated to all existing and future indebtedness and other obligations of any of the Company’s subsidiaries, including, without limitation, borrowings under the special purpose vehicle credit facility and the debentures guaranteed by the U.S. Small Business Administration.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Indenture contains certain covenants, including certain covenants requiring the Company to comply with Section 18(a)(1)(A) as modified by Section 61(a)(2) of the Investment Company Act of 1940, as amended (the “</w:t>
      </w:r>
      <w:r>
        <w:rPr>
          <w:rFonts w:ascii="Times New Roman;serif" w:hAnsi="Times New Roman;serif"/>
          <w:b/>
          <w:i/>
          <w:color w:val="000000"/>
          <w:sz w:val="20"/>
        </w:rPr>
        <w:t>1940 Act</w:t>
      </w:r>
      <w:r>
        <w:rPr>
          <w:color w:val="000000"/>
        </w:rPr>
        <w:t>”</w:t>
      </w:r>
      <w:r>
        <w:rPr>
          <w:rFonts w:ascii="Times New Roman;serif" w:hAnsi="Times New Roman;serif"/>
          <w:b w:val="false"/>
          <w:color w:val="000000"/>
          <w:sz w:val="20"/>
        </w:rPr>
        <w:t>), or any successor provisions, whether or not the Company continues to be subject to such provisions of the 1940 Act, but giving effect, in either case, to any exemptive relief granted to the Company by the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xml:space="preserve">), to comply with Section 18(a)(1)(B) as modified by Section 61(a)(2) of the 1940 Act, or any successor provisions, after giving effect to any exemptive relief granted to the Company by the SEC and subject to certain other exceptions, and to provide financial information to the holders of the Notes and the Trustee if the Company is no longer subject to the reporting requirements under the Securities Exchange Act of 1934, as amended. These covenants are subject to important limitations and exceptions that are described in the Indenture.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holders of the Notes can require the Company to repurchase some or all of the Notes at a purchase price equal to 100% of their principal amount, plus accrued and unpaid interest to, but not including, the repurchase date upon the occurrence of a “Change of Control Repurchase Event” (as defined in the Eighth Supplemental Indenture).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Offering was made pursuant to the Company’s effective shelf registration statement on Form N-2 (File No. 333-282873) previously filed with the SEC, as supplemented by a preliminary prospectus supplement dated September 10, 2026, the pricing term sheet filed with the SEC on September 10, 2026, and a final prospectus supplement dated September 10, 2026. The transaction closed on September 15, 2026. The net proceeds to the Company were approximately $342.1 million, based on a public offering price of 98.985% of par, after deducting the underwriting discount of $3.5 million and the estimated offering expenses of approximately $0.9 million payable by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descriptions of the Underwriting Agreement, the Eighth Supplemental Indenture and the Notes do not purport to be complete and are qualified in their entirety by reference to the full text of the Underwriting Agreement, the Eighth Supplemental Indenture and the form of global note representing the Notes, respectively, which are filed as Exhibits 1.1, 4.2, and 4.3 hereto, respectively, and incorporated by reference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Offering, the Company is filing the opinion of its counsel, Eversheds Sutherland (US) LLP, regarding the validity of the securities being registered, and the related consent, as Exhibits 5.1 and 23.1 hereto,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Item 1.01 of this Current Report on Form 8-K is incorporated in this Item 2.03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98"/>
        <w:gridCol w:w="262"/>
        <w:gridCol w:w="265"/>
        <w:gridCol w:w="109"/>
        <w:gridCol w:w="109"/>
        <w:gridCol w:w="109"/>
        <w:gridCol w:w="2650"/>
        <w:gridCol w:w="2650"/>
        <w:gridCol w:w="375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ex11underwritingagree.htm">
              <w:r>
                <w:rPr>
                  <w:rStyle w:val="InternetLink"/>
                  <w:rFonts w:ascii="Times New Roman;serif" w:hAnsi="Times New Roman;serif"/>
                  <w:b w:val="false"/>
                  <w:color w:val="0000FF"/>
                  <w:sz w:val="20"/>
                  <w:u w:val="single"/>
                </w:rPr>
                <w:t xml:space="preserve">Underwriting Agreement, dated September 10, 2026, by and among Capital Southwest Corporation and Deutsche Bank Securities Inc., Huntington Securities, Inc., ING Financial Markets LLC, Morgan Stanley &amp; Co. LLC, RBC Capital Markets, LLC and Wells Fargo Securities, LLC, as representatives of the several underwriters named on Schedule A thereto. </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Indenture, dated as of October 23, 2017, by and between Capital Southwest Corporation and U.S. Bank National Association, as trustee (incorporated by reference to Exhibit (d)(2) to Registration Statement on Form N-2 (Reg. No. 333-220385) filed on October 23, 2017).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ex42xeighthsupplement.htm">
              <w:r>
                <w:rPr>
                  <w:rStyle w:val="InternetLink"/>
                  <w:rFonts w:ascii="Times New Roman;serif" w:hAnsi="Times New Roman;serif"/>
                  <w:b w:val="false"/>
                  <w:color w:val="0000FF"/>
                  <w:sz w:val="20"/>
                  <w:u w:val="single"/>
                </w:rPr>
                <w:t>Eighth Supplemental Indenture, dated as of September 15, 2026, by and between Capital Southwest Corporation and U.S. Bank Trust Company, National Association (as successor in interest to U.S. Bank National Association), as trustee.</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ex42xeighthsupplement.htm">
              <w:r>
                <w:rPr>
                  <w:rStyle w:val="InternetLink"/>
                  <w:rFonts w:ascii="Times New Roman;serif" w:hAnsi="Times New Roman;serif"/>
                  <w:b w:val="false"/>
                  <w:color w:val="0000FF"/>
                  <w:sz w:val="20"/>
                  <w:u w:val="single"/>
                </w:rPr>
                <w:t>Form of 6.750 % Notes due 2031 (incorporated by reference to Exhibit 4.2 hereto).</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esvalidityopinioninst.htm">
              <w:r>
                <w:rPr>
                  <w:rStyle w:val="InternetLink"/>
                  <w:rFonts w:ascii="Times New Roman;serif" w:hAnsi="Times New Roman;serif"/>
                  <w:b w:val="false"/>
                  <w:color w:val="0000FF"/>
                  <w:sz w:val="20"/>
                  <w:u w:val="single"/>
                </w:rPr>
                <w:t>Opinion of Eversheds Sutherland (US) LLP.</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esvalidityopinioninst.htm">
              <w:r>
                <w:rPr>
                  <w:rStyle w:val="InternetLink"/>
                  <w:rFonts w:ascii="Times New Roman;serif" w:hAnsi="Times New Roman;serif"/>
                  <w:b w:val="false"/>
                  <w:color w:val="0000FF"/>
                  <w:sz w:val="20"/>
                  <w:u w:val="single"/>
                </w:rPr>
                <w:t>Consent of Eversheds Sutherland (US) LLP (included in Exhibit 5.1 hereto).</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15, 2026</w:t>
      </w:r>
    </w:p>
    <w:tbl>
      <w:tblPr>
        <w:tblW w:w="449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5"/>
        <w:gridCol w:w="1095"/>
        <w:gridCol w:w="15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 xml:space="preserve">CAPITAL SOUTHWEST CORPORATION </w:t>
        <w:br/>
      </w:r>
      <w:r>
        <w:rPr>
          <w:rFonts w:ascii="Times New Roman;serif" w:hAnsi="Times New Roman;serif"/>
          <w:b w:val="false"/>
          <w:color w:val="000000"/>
          <w:sz w:val="22"/>
        </w:rPr>
        <w:t>(a Texas Corporation)</w:t>
        <w:br/>
        <w:t>$350,000,000</w:t>
        <w:br/>
        <w:t>6.750% Notes due 2031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UNDERWRITING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September 10, 2026</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Deutsche Bank Securities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Huntington Securities,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ING Financial Markets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Morgan Stanley &amp; Co.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RBC Capital Markets,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Wells Fargo Securities, LLC</w:t>
      </w:r>
    </w:p>
    <w:p>
      <w:pPr>
        <w:pStyle w:val="TextBody"/>
        <w:bidi w:val="0"/>
        <w:spacing w:lineRule="auto" w:line="288" w:before="0" w:after="0"/>
        <w:ind w:left="0" w:right="0" w:hanging="360"/>
        <w:jc w:val="left"/>
        <w:rPr/>
      </w:pPr>
      <w:r>
        <w:rPr>
          <w:rFonts w:ascii="Times New Roman;serif" w:hAnsi="Times New Roman;serif"/>
          <w:b w:val="false"/>
          <w:color w:val="000000"/>
          <w:sz w:val="22"/>
        </w:rPr>
        <w:br/>
        <w:t>As representatives (in such capacity, the “</w:t>
      </w:r>
      <w:r>
        <w:rPr>
          <w:rFonts w:ascii="Times New Roman;serif" w:hAnsi="Times New Roman;serif"/>
          <w:b/>
          <w:i/>
          <w:color w:val="000000"/>
          <w:sz w:val="22"/>
        </w:rPr>
        <w:t>Representatives</w:t>
      </w:r>
      <w:r>
        <w:rPr>
          <w:color w:val="000000"/>
        </w:rPr>
        <w:t>”</w:t>
      </w:r>
      <w:r>
        <w:rPr>
          <w:rFonts w:ascii="Times New Roman;serif" w:hAnsi="Times New Roman;serif"/>
          <w:b w:val="false"/>
          <w:color w:val="000000"/>
          <w:sz w:val="22"/>
        </w:rPr>
        <w:t>) of the several Underwriters</w:t>
        <w:br/>
        <w:t xml:space="preserve">    named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hereto</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 Deutsche Bank Securities Inc.</w:t>
        <w:br/>
        <w:t>1 Columbus Circle</w:t>
        <w:br/>
        <w:t>New York, New York 10019</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 Huntington Securities, Inc.</w:t>
        <w:br/>
        <w:t>41 S. High Street, 5th Floor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Columbus, Ohio 43287</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 ING Financial Markets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1133 Avenue of the Americas</w:t>
        <w:br/>
        <w:t>New York, New York 10036</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 Morgan Stanley &amp; Co. LLC</w:t>
        <w:br/>
        <w:t>1585 Broadway</w:t>
        <w:br/>
        <w:t>New York, New York 10036</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 RBC Capital Markets,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Brookfield Place</w:t>
        <w:br/>
        <w:t>200 Vesey Street, 8th Floor</w:t>
        <w:br/>
        <w:t>New York, New York 10281</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 Wells Fargo Securities, LLC</w:t>
        <w:br/>
        <w:t>550 South Tryon Street</w:t>
        <w:br/>
        <w:t>Charlotte, North Carolina 28202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2"/>
        </w:rPr>
        <w:t>Capital Southwest Corporation, a Texas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xml:space="preserve">), confirms its agreement with the underwriters listed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hereto (the “</w:t>
      </w:r>
      <w:r>
        <w:rPr>
          <w:rFonts w:ascii="Times New Roman;serif" w:hAnsi="Times New Roman;serif"/>
          <w:b/>
          <w:i/>
          <w:color w:val="000000"/>
          <w:sz w:val="22"/>
        </w:rPr>
        <w:t>Underwriters</w:t>
      </w:r>
      <w:r>
        <w:rPr>
          <w:color w:val="000000"/>
        </w:rPr>
        <w:t>”</w:t>
      </w:r>
      <w:r>
        <w:rPr>
          <w:rFonts w:ascii="Times New Roman;serif" w:hAnsi="Times New Roman;serif"/>
          <w:b w:val="false"/>
          <w:color w:val="000000"/>
          <w:sz w:val="22"/>
        </w:rPr>
        <w:t>), for whom Deutsche Bank Securities Inc. (“</w:t>
      </w:r>
      <w:r>
        <w:rPr>
          <w:rFonts w:ascii="Times New Roman;serif" w:hAnsi="Times New Roman;serif"/>
          <w:b/>
          <w:i/>
          <w:color w:val="000000"/>
          <w:sz w:val="22"/>
        </w:rPr>
        <w:t>Deutsche Bank</w:t>
      </w:r>
      <w:r>
        <w:rPr>
          <w:color w:val="000000"/>
        </w:rPr>
        <w:t>”</w:t>
      </w:r>
      <w:r>
        <w:rPr>
          <w:rFonts w:ascii="Times New Roman;serif" w:hAnsi="Times New Roman;serif"/>
          <w:b w:val="false"/>
          <w:color w:val="000000"/>
          <w:sz w:val="22"/>
        </w:rPr>
        <w:t>), Huntington Securities, Inc., ING Financial Markets LLC, Morgan Stanley &amp; Co. LLC, RBC Capital Markets, LLC and Wells Fargo Securities, LLC are acting as Representatives, with respect to the issue and sale by the Company and the purchase by the Underwriters, acting severally and not jointly (the “</w:t>
      </w:r>
      <w:r>
        <w:rPr>
          <w:rFonts w:ascii="Times New Roman;serif" w:hAnsi="Times New Roman;serif"/>
          <w:b/>
          <w:i/>
          <w:color w:val="000000"/>
          <w:sz w:val="22"/>
        </w:rPr>
        <w:t>Offering</w:t>
      </w:r>
      <w:r>
        <w:rPr>
          <w:color w:val="000000"/>
        </w:rPr>
        <w:t>”</w:t>
      </w:r>
      <w:r>
        <w:rPr>
          <w:rFonts w:ascii="Times New Roman;serif" w:hAnsi="Times New Roman;serif"/>
          <w:b w:val="false"/>
          <w:color w:val="000000"/>
          <w:sz w:val="22"/>
        </w:rPr>
        <w:t>), of $350,000,000 aggregate principal amount of 6.750% Notes due 2031 (the “</w:t>
      </w:r>
      <w:r>
        <w:rPr>
          <w:rFonts w:ascii="Times New Roman;serif" w:hAnsi="Times New Roman;serif"/>
          <w:b/>
          <w:i/>
          <w:color w:val="000000"/>
          <w:sz w:val="22"/>
        </w:rPr>
        <w:t>Securities</w:t>
      </w:r>
      <w:r>
        <w:rPr>
          <w:color w:val="000000"/>
        </w:rPr>
        <w:t>”</w:t>
      </w:r>
      <w:r>
        <w:rPr>
          <w:rFonts w:ascii="Times New Roman;serif" w:hAnsi="Times New Roman;serif"/>
          <w:b w:val="false"/>
          <w:color w:val="000000"/>
          <w:sz w:val="22"/>
        </w:rPr>
        <w:t xml:space="preserve">), as set forth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hereto.</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The Securities will be issued under an indenture dated as of October 23, 2017 (the “</w:t>
      </w:r>
      <w:r>
        <w:rPr>
          <w:rFonts w:ascii="Times New Roman;serif" w:hAnsi="Times New Roman;serif"/>
          <w:b/>
          <w:i/>
          <w:color w:val="000000"/>
          <w:sz w:val="22"/>
        </w:rPr>
        <w:t>Base Indenture</w:t>
      </w:r>
      <w:r>
        <w:rPr>
          <w:color w:val="000000"/>
        </w:rPr>
        <w:t>”</w:t>
      </w:r>
      <w:r>
        <w:rPr>
          <w:rFonts w:ascii="Times New Roman;serif" w:hAnsi="Times New Roman;serif"/>
          <w:b w:val="false"/>
          <w:color w:val="000000"/>
          <w:sz w:val="22"/>
        </w:rPr>
        <w:t>), as supplemented by the Eighth Supplemental Indenture, to be dated as of September 15, 2026 (the “</w:t>
      </w:r>
      <w:r>
        <w:rPr>
          <w:rFonts w:ascii="Times New Roman;serif" w:hAnsi="Times New Roman;serif"/>
          <w:b/>
          <w:i/>
          <w:color w:val="000000"/>
          <w:sz w:val="22"/>
        </w:rPr>
        <w:t>Eighth Supplemental Indenture</w:t>
      </w:r>
      <w:r>
        <w:rPr>
          <w:color w:val="000000"/>
        </w:rPr>
        <w:t xml:space="preserve">” </w:t>
      </w:r>
      <w:r>
        <w:rPr>
          <w:rFonts w:ascii="Times New Roman;serif" w:hAnsi="Times New Roman;serif"/>
          <w:b w:val="false"/>
          <w:color w:val="000000"/>
          <w:sz w:val="22"/>
        </w:rPr>
        <w:t>and, collectively with the Base Indenture, the “</w:t>
      </w:r>
      <w:r>
        <w:rPr>
          <w:rFonts w:ascii="Times New Roman;serif" w:hAnsi="Times New Roman;serif"/>
          <w:b/>
          <w:i/>
          <w:color w:val="000000"/>
          <w:sz w:val="22"/>
        </w:rPr>
        <w:t>Indenture</w:t>
      </w:r>
      <w:r>
        <w:rPr>
          <w:color w:val="000000"/>
        </w:rPr>
        <w:t>”</w:t>
      </w:r>
      <w:r>
        <w:rPr>
          <w:rFonts w:ascii="Times New Roman;serif" w:hAnsi="Times New Roman;serif"/>
          <w:b w:val="false"/>
          <w:color w:val="000000"/>
          <w:sz w:val="22"/>
        </w:rPr>
        <w:t>), between the Company and U.S. Bank Trust Company, National Association (as successor in interest to U.S. Bank National Association), as trustee (the “</w:t>
      </w:r>
      <w:r>
        <w:rPr>
          <w:rFonts w:ascii="Times New Roman;serif" w:hAnsi="Times New Roman;serif"/>
          <w:b/>
          <w:i/>
          <w:color w:val="000000"/>
          <w:sz w:val="22"/>
        </w:rPr>
        <w:t>Trustee</w:t>
      </w:r>
      <w:r>
        <w:rPr>
          <w:color w:val="000000"/>
        </w:rPr>
        <w:t>”</w:t>
      </w:r>
      <w:r>
        <w:rPr>
          <w:rFonts w:ascii="Times New Roman;serif" w:hAnsi="Times New Roman;serif"/>
          <w:b w:val="false"/>
          <w:color w:val="000000"/>
          <w:sz w:val="22"/>
        </w:rPr>
        <w:t>). The Securities will be issued to Cede &amp; Co. as nominee of the Depository Trust Company (“</w:t>
      </w:r>
      <w:r>
        <w:rPr>
          <w:rFonts w:ascii="Times New Roman;serif" w:hAnsi="Times New Roman;serif"/>
          <w:b/>
          <w:i/>
          <w:color w:val="000000"/>
          <w:sz w:val="22"/>
        </w:rPr>
        <w:t>DTC</w:t>
      </w:r>
      <w:r>
        <w:rPr>
          <w:color w:val="000000"/>
        </w:rPr>
        <w:t>”</w:t>
      </w:r>
      <w:r>
        <w:rPr>
          <w:rFonts w:ascii="Times New Roman;serif" w:hAnsi="Times New Roman;serif"/>
          <w:b w:val="false"/>
          <w:color w:val="000000"/>
          <w:sz w:val="22"/>
        </w:rPr>
        <w:t>) pursuant to a blanket letter of representations (the “</w:t>
      </w:r>
      <w:r>
        <w:rPr>
          <w:rFonts w:ascii="Times New Roman;serif" w:hAnsi="Times New Roman;serif"/>
          <w:b/>
          <w:i/>
          <w:color w:val="000000"/>
          <w:sz w:val="22"/>
        </w:rPr>
        <w:t>DTC Agreement</w:t>
      </w:r>
      <w:r>
        <w:rPr>
          <w:color w:val="000000"/>
        </w:rPr>
        <w:t>”</w:t>
      </w:r>
      <w:r>
        <w:rPr>
          <w:rFonts w:ascii="Times New Roman;serif" w:hAnsi="Times New Roman;serif"/>
          <w:b w:val="false"/>
          <w:color w:val="000000"/>
          <w:sz w:val="22"/>
        </w:rPr>
        <w:t>) between the Company and DTC. The Company understands that the Underwriters propose to make a public offering of the Securities as soon as the Underwriters deem advisable after this Agreement has been executed and delivered.</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Company owns (i) 100% of the equity interests in Capital Southwest Equity Investments, Inc. (“</w:t>
      </w:r>
      <w:r>
        <w:rPr>
          <w:rFonts w:ascii="Times New Roman;serif" w:hAnsi="Times New Roman;serif"/>
          <w:b/>
          <w:i/>
          <w:color w:val="000000"/>
          <w:sz w:val="22"/>
        </w:rPr>
        <w:t>CSEI</w:t>
      </w:r>
      <w:r>
        <w:rPr>
          <w:color w:val="000000"/>
        </w:rPr>
        <w:t>”</w:t>
      </w:r>
      <w:r>
        <w:rPr>
          <w:rFonts w:ascii="Times New Roman;serif" w:hAnsi="Times New Roman;serif"/>
          <w:b w:val="false"/>
          <w:color w:val="000000"/>
          <w:sz w:val="22"/>
        </w:rPr>
        <w:t>), (ii) 100% of the equity interests in Capital Southwest SPV LLC (“</w:t>
      </w:r>
      <w:r>
        <w:rPr>
          <w:rFonts w:ascii="Times New Roman;serif" w:hAnsi="Times New Roman;serif"/>
          <w:b/>
          <w:i/>
          <w:color w:val="000000"/>
          <w:sz w:val="22"/>
        </w:rPr>
        <w:t>CS SPV</w:t>
      </w:r>
      <w:r>
        <w:rPr>
          <w:color w:val="000000"/>
        </w:rPr>
        <w:t>”</w:t>
      </w:r>
      <w:r>
        <w:rPr>
          <w:rFonts w:ascii="Times New Roman;serif" w:hAnsi="Times New Roman;serif"/>
          <w:b w:val="false"/>
          <w:color w:val="000000"/>
          <w:sz w:val="22"/>
        </w:rPr>
        <w:t>), (iii) 100% of the limited partnership interests in Capital Southwest SBIC I, LP (the “</w:t>
      </w:r>
      <w:r>
        <w:rPr>
          <w:rFonts w:ascii="Times New Roman;serif" w:hAnsi="Times New Roman;serif"/>
          <w:b/>
          <w:i/>
          <w:color w:val="000000"/>
          <w:sz w:val="22"/>
        </w:rPr>
        <w:t>SBIC Fund I</w:t>
      </w:r>
      <w:r>
        <w:rPr>
          <w:color w:val="000000"/>
        </w:rPr>
        <w:t>”</w:t>
      </w:r>
      <w:r>
        <w:rPr>
          <w:rFonts w:ascii="Times New Roman;serif" w:hAnsi="Times New Roman;serif"/>
          <w:b w:val="false"/>
          <w:color w:val="000000"/>
          <w:sz w:val="22"/>
        </w:rPr>
        <w:t>), (iv) 100% of the limited partnership interests in Capital Southwest SBIC II, LP (the “</w:t>
      </w:r>
      <w:r>
        <w:rPr>
          <w:rFonts w:ascii="Times New Roman;serif" w:hAnsi="Times New Roman;serif"/>
          <w:b/>
          <w:i/>
          <w:color w:val="000000"/>
          <w:sz w:val="22"/>
        </w:rPr>
        <w:t>SBIC Fund II</w:t>
      </w:r>
      <w:r>
        <w:rPr>
          <w:color w:val="000000"/>
        </w:rPr>
        <w:t>”</w:t>
      </w:r>
      <w:r>
        <w:rPr>
          <w:rFonts w:ascii="Times New Roman;serif" w:hAnsi="Times New Roman;serif"/>
          <w:b w:val="false"/>
          <w:color w:val="000000"/>
          <w:sz w:val="22"/>
        </w:rPr>
        <w:t>) and (v) 100% of the equity interests of Capital Southwest SBIC I GP, LLC (the “</w:t>
      </w:r>
      <w:r>
        <w:rPr>
          <w:rFonts w:ascii="Times New Roman;serif" w:hAnsi="Times New Roman;serif"/>
          <w:b/>
          <w:i/>
          <w:color w:val="000000"/>
          <w:sz w:val="22"/>
        </w:rPr>
        <w:t>SBIC GP</w:t>
      </w:r>
      <w:r>
        <w:rPr>
          <w:color w:val="000000"/>
        </w:rPr>
        <w:t>”</w:t>
      </w:r>
      <w:r>
        <w:rPr>
          <w:rFonts w:ascii="Times New Roman;serif" w:hAnsi="Times New Roman;serif"/>
          <w:b w:val="false"/>
          <w:color w:val="000000"/>
          <w:sz w:val="22"/>
        </w:rPr>
        <w:t>). CSEI, CS SPV, the SBIC Fund I, the SBIC Fund II and the SBIC GP, together with the Company, are referred to in this Agreement as the “</w:t>
      </w:r>
      <w:r>
        <w:rPr>
          <w:rFonts w:ascii="Times New Roman;serif" w:hAnsi="Times New Roman;serif"/>
          <w:b/>
          <w:i/>
          <w:color w:val="000000"/>
          <w:sz w:val="22"/>
        </w:rPr>
        <w:t>Capital Southwest Entities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Pursuant to the Investment Company Act of 1940, as amended, and the rules and regulations promulgated thereunder (collectively, the “</w:t>
      </w:r>
      <w:r>
        <w:rPr>
          <w:rFonts w:ascii="Times New Roman;serif" w:hAnsi="Times New Roman;serif"/>
          <w:b/>
          <w:i/>
          <w:color w:val="000000"/>
          <w:sz w:val="22"/>
        </w:rPr>
        <w:t>1940 Act</w:t>
      </w:r>
      <w:r>
        <w:rPr>
          <w:color w:val="000000"/>
        </w:rPr>
        <w:t>”</w:t>
      </w:r>
      <w:r>
        <w:rPr>
          <w:rFonts w:ascii="Times New Roman;serif" w:hAnsi="Times New Roman;serif"/>
          <w:b w:val="false"/>
          <w:color w:val="000000"/>
          <w:sz w:val="22"/>
        </w:rPr>
        <w:t>), the Company has filed with the United States Securities and Exchange Commission (the “</w:t>
      </w:r>
      <w:r>
        <w:rPr>
          <w:rFonts w:ascii="Times New Roman;serif" w:hAnsi="Times New Roman;serif"/>
          <w:b/>
          <w:i/>
          <w:color w:val="000000"/>
          <w:sz w:val="22"/>
        </w:rPr>
        <w:t>Commission</w:t>
      </w:r>
      <w:r>
        <w:rPr>
          <w:color w:val="000000"/>
        </w:rPr>
        <w:t>”</w:t>
      </w:r>
      <w:r>
        <w:rPr>
          <w:rFonts w:ascii="Times New Roman;serif" w:hAnsi="Times New Roman;serif"/>
          <w:b w:val="false"/>
          <w:color w:val="000000"/>
          <w:sz w:val="22"/>
        </w:rPr>
        <w:t>) a Notification of Election to be Subject to Sections 55 through 65 of the 1940 Act filed on Form N-54A (File No. 814-00061) (the “</w:t>
      </w:r>
      <w:r>
        <w:rPr>
          <w:rFonts w:ascii="Times New Roman;serif" w:hAnsi="Times New Roman;serif"/>
          <w:b/>
          <w:i/>
          <w:color w:val="000000"/>
          <w:sz w:val="22"/>
        </w:rPr>
        <w:t>BDC Election</w:t>
      </w:r>
      <w:r>
        <w:rPr>
          <w:color w:val="000000"/>
        </w:rPr>
        <w:t>”</w:t>
      </w:r>
      <w:r>
        <w:rPr>
          <w:rFonts w:ascii="Times New Roman;serif" w:hAnsi="Times New Roman;serif"/>
          <w:b w:val="false"/>
          <w:color w:val="000000"/>
          <w:sz w:val="22"/>
        </w:rPr>
        <w:t>), pursuant to which the Company elected to be treated as a business development company (“</w:t>
      </w:r>
      <w:r>
        <w:rPr>
          <w:rFonts w:ascii="Times New Roman;serif" w:hAnsi="Times New Roman;serif"/>
          <w:b/>
          <w:i/>
          <w:color w:val="000000"/>
          <w:sz w:val="22"/>
        </w:rPr>
        <w:t>BDC</w:t>
      </w:r>
      <w:r>
        <w:rPr>
          <w:color w:val="000000"/>
        </w:rPr>
        <w:t>”</w:t>
      </w:r>
      <w:r>
        <w:rPr>
          <w:rFonts w:ascii="Times New Roman;serif" w:hAnsi="Times New Roman;serif"/>
          <w:b w:val="false"/>
          <w:color w:val="000000"/>
          <w:sz w:val="22"/>
        </w:rPr>
        <w:t>) under the 1940 Act. The Company has elected to be treated for federal income tax purposes as a regulated investment company (“</w:t>
      </w:r>
      <w:r>
        <w:rPr>
          <w:rFonts w:ascii="Times New Roman;serif" w:hAnsi="Times New Roman;serif"/>
          <w:b/>
          <w:i/>
          <w:color w:val="000000"/>
          <w:sz w:val="22"/>
        </w:rPr>
        <w:t>RIC</w:t>
      </w:r>
      <w:r>
        <w:rPr>
          <w:color w:val="000000"/>
        </w:rPr>
        <w:t>”</w:t>
      </w:r>
      <w:r>
        <w:rPr>
          <w:rFonts w:ascii="Times New Roman;serif" w:hAnsi="Times New Roman;serif"/>
          <w:b w:val="false"/>
          <w:color w:val="000000"/>
          <w:sz w:val="22"/>
        </w:rPr>
        <w:t>) under Subchapter M of the Internal Revenue Code of 1986, as amended (the “</w:t>
      </w:r>
      <w:r>
        <w:rPr>
          <w:rFonts w:ascii="Times New Roman;serif" w:hAnsi="Times New Roman;serif"/>
          <w:b/>
          <w:i/>
          <w:color w:val="000000"/>
          <w:sz w:val="22"/>
        </w:rPr>
        <w:t>Code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Pursuant to the Securities Act of 1933, as amended, and the rules and regulations promulgated thereunder (collectively, the “</w:t>
      </w:r>
      <w:r>
        <w:rPr>
          <w:rFonts w:ascii="Times New Roman;serif" w:hAnsi="Times New Roman;serif"/>
          <w:b/>
          <w:i/>
          <w:color w:val="000000"/>
          <w:sz w:val="22"/>
        </w:rPr>
        <w:t>1933 Act</w:t>
      </w:r>
      <w:r>
        <w:rPr>
          <w:color w:val="000000"/>
        </w:rPr>
        <w:t>”</w:t>
      </w:r>
      <w:r>
        <w:rPr>
          <w:rFonts w:ascii="Times New Roman;serif" w:hAnsi="Times New Roman;serif"/>
          <w:b w:val="false"/>
          <w:color w:val="000000"/>
          <w:sz w:val="22"/>
        </w:rPr>
        <w:t>), the Company has prepared and filed with the Commission a shelf registration statement on Form N-2 (File No. 333-282873), including a related prospectus, for the registration of the offer and sale of the Company’s common stock and debt securities to be issued from time to time in accordance with Rule 415 of the 1933 Act by the Company. Such registration statement became effective immediately upon its filing with the Commission on October 29, 2024 pursuant to Rule 462(e) under the 1933 Act. Promptly after execution and delivery of this Agreement, the Company will prepare and file a prospectus relating to the Securities in accordance with the provisions of Rule 430B and Rule 424(b) under the 1933 Act. The information with respect to the Securities and the offering thereof included or incorporated by reference in such prospectus that was omitted from such registration statement at the time it became effective but that is deemed to be part of such registration statement pursuant to Rule 430B under 1933 Act at the time it becomes effective is referred to as “</w:t>
      </w:r>
      <w:r>
        <w:rPr>
          <w:rFonts w:ascii="Times New Roman;serif" w:hAnsi="Times New Roman;serif"/>
          <w:b/>
          <w:i/>
          <w:color w:val="000000"/>
          <w:sz w:val="22"/>
        </w:rPr>
        <w:t>Rule 430B Information</w:t>
      </w:r>
      <w:r>
        <w:rPr>
          <w:rFonts w:ascii="Times New Roman;serif" w:hAnsi="Times New Roman;serif"/>
          <w:b w:val="false"/>
          <w:color w:val="000000"/>
          <w:sz w:val="22"/>
        </w:rPr>
        <w:t xml:space="preserve">.” Unless the context otherwise requires, such registration statement, including all documents filed as a part thereof, and including all post-effective amendments thereto filed on or prior to the date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9410"/>
                <wp:effectExtent l="0" t="0" r="0" b="0"/>
                <wp:wrapNone/>
                <wp:docPr id="6" name="Frame6"/>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hereof and any Rule 430B Information contained in a prospectus relating to the Securities subsequently filed with the Commission pursuant to Rule 424(b) under the 1933 Act and deemed to be part of the registration statement and also including any registration statement filed pursuant to Rule 462(b) promulgated under the 1933 Act, is referred herein as the “</w:t>
      </w:r>
      <w:r>
        <w:rPr>
          <w:rFonts w:ascii="Times New Roman;serif" w:hAnsi="Times New Roman;serif"/>
          <w:b/>
          <w:i/>
          <w:color w:val="000000"/>
          <w:sz w:val="22"/>
        </w:rPr>
        <w:t>Registration Statement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base prospectus, dated October 29, 2024, included in the Registration Statement at the time it first became effective on October 29, 2024 (including all documents incorporated by reference therein, and the information, if any, deemed to be part of the Registration Statement pursuant to the rules of the Commission promulgated under the 1933 Act at the time of effectiveness pursuant to Rule 430B and Rule 424 under the 1933 Act) is referred to herein as the “</w:t>
      </w:r>
      <w:r>
        <w:rPr>
          <w:rFonts w:ascii="Times New Roman;serif" w:hAnsi="Times New Roman;serif"/>
          <w:b/>
          <w:i/>
          <w:color w:val="000000"/>
          <w:sz w:val="22"/>
        </w:rPr>
        <w:t>Base Prospectus</w:t>
      </w:r>
      <w:r>
        <w:rPr>
          <w:color w:val="000000"/>
        </w:rPr>
        <w:t>”</w:t>
      </w:r>
      <w:r>
        <w:rPr>
          <w:rFonts w:ascii="Times New Roman;serif" w:hAnsi="Times New Roman;serif"/>
          <w:b w:val="false"/>
          <w:color w:val="000000"/>
          <w:sz w:val="22"/>
        </w:rPr>
        <w:t>; the preliminary prospectus supplement, dated September 10, 2026, relating to the Securities filed with the Commission pursuant to Rule 424 under the 1933 Act, is referred to collectively with the Base Prospectus as the “</w:t>
      </w:r>
      <w:r>
        <w:rPr>
          <w:rFonts w:ascii="Times New Roman;serif" w:hAnsi="Times New Roman;serif"/>
          <w:b/>
          <w:i/>
          <w:color w:val="000000"/>
          <w:sz w:val="22"/>
        </w:rPr>
        <w:t>Preliminary Prospectus</w:t>
      </w:r>
      <w:r>
        <w:rPr>
          <w:color w:val="000000"/>
        </w:rPr>
        <w:t>”</w:t>
      </w:r>
      <w:r>
        <w:rPr>
          <w:rFonts w:ascii="Times New Roman;serif" w:hAnsi="Times New Roman;serif"/>
          <w:b w:val="false"/>
          <w:color w:val="000000"/>
          <w:sz w:val="22"/>
        </w:rPr>
        <w:t>; the final prospectus supplement to be filed with the Commission pursuant to Rule 424(b) under the 1933 Act on or before the second business day after the date hereof (or such earlier time as may be required under the 1933 Act), is referred to herein as the “</w:t>
      </w:r>
      <w:r>
        <w:rPr>
          <w:rFonts w:ascii="Times New Roman;serif" w:hAnsi="Times New Roman;serif"/>
          <w:b/>
          <w:i/>
          <w:color w:val="000000"/>
          <w:sz w:val="22"/>
        </w:rPr>
        <w:t>Prospectus Supplement</w:t>
      </w:r>
      <w:r>
        <w:rPr>
          <w:color w:val="000000"/>
        </w:rPr>
        <w:t xml:space="preserve">” </w:t>
      </w:r>
      <w:r>
        <w:rPr>
          <w:rFonts w:ascii="Times New Roman;serif" w:hAnsi="Times New Roman;serif"/>
          <w:b w:val="false"/>
          <w:color w:val="000000"/>
          <w:sz w:val="22"/>
        </w:rPr>
        <w:t>(and together with the Base Prospectus,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Preliminary Prospectus, together with the information set forth on </w:t>
      </w:r>
      <w:r>
        <w:rPr>
          <w:rFonts w:ascii="Times New Roman;serif" w:hAnsi="Times New Roman;serif"/>
          <w:b w:val="false"/>
          <w:color w:val="000000"/>
          <w:sz w:val="22"/>
          <w:u w:val="single"/>
        </w:rPr>
        <w:t>Annex I</w:t>
      </w:r>
      <w:r>
        <w:rPr>
          <w:color w:val="000000"/>
        </w:rPr>
        <w:t xml:space="preserve"> </w:t>
      </w:r>
      <w:r>
        <w:rPr>
          <w:rFonts w:ascii="Times New Roman;serif" w:hAnsi="Times New Roman;serif"/>
          <w:b w:val="false"/>
          <w:color w:val="000000"/>
          <w:sz w:val="22"/>
        </w:rPr>
        <w:t>hereto is hereinafter referred to as the “</w:t>
      </w:r>
      <w:r>
        <w:rPr>
          <w:rFonts w:ascii="Times New Roman;serif" w:hAnsi="Times New Roman;serif"/>
          <w:b/>
          <w:i/>
          <w:color w:val="000000"/>
          <w:sz w:val="22"/>
        </w:rPr>
        <w:t>Disclosure Package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All references in this Agreement to financial statements and schedules and other information which is “included” or “stated” in the Registration Statement, the Preliminary Prospectus, the Prospectus Supplement or the Prospectus (and all other references of like import) shall be deemed to mean and include all such financial statements and schedules and other information which is or is deemed to be incorporated by reference in or otherwise deemed under the rules of the Commission promulgated thereunder or otherwise to be a part of or included in the Registration Statement, the Preliminary Prospectus, the Prospectus Supplement or the Prospectus, as the case may be, as of any specified date; and all references in this Agreement to amendments or supplements to the Registration Statement, the Preliminary Prospectus, the Prospectus Supplement or the Prospectus, including those made pursuant to Rule 424 under the 1933 Act, shall be deemed to mean and include, without limitation, the filing of any document under the Securities Exchange Act of 1934, as amended, and the rules and regulations promulgated thereunder (collectively, the “</w:t>
      </w:r>
      <w:r>
        <w:rPr>
          <w:rFonts w:ascii="Times New Roman;serif" w:hAnsi="Times New Roman;serif"/>
          <w:b/>
          <w:i/>
          <w:color w:val="000000"/>
          <w:sz w:val="22"/>
        </w:rPr>
        <w:t>1934 Act</w:t>
      </w:r>
      <w:r>
        <w:rPr>
          <w:color w:val="000000"/>
        </w:rPr>
        <w:t>”</w:t>
      </w:r>
      <w:r>
        <w:rPr>
          <w:rFonts w:ascii="Times New Roman;serif" w:hAnsi="Times New Roman;serif"/>
          <w:b w:val="false"/>
          <w:color w:val="000000"/>
          <w:sz w:val="22"/>
        </w:rPr>
        <w:t>), which is or is deemed to be incorporated by reference in or otherwise deemed to be a part of or included in the Registration Statement, the Preliminary Prospectus, the Prospectus Supplement or the Prospectus, as the case may be, as of any specified date. Any reference herein to the Registration Statement, the Preliminary Prospectus, the Prospectus Supplement or the Prospectus shall be deemed to refer to and include the documents that are incorporated by reference therein pursuant to the 1933 Act as in effect as of the Applicable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All references in this Agreement to the Registration Statement, the Preliminary Prospectus, the Prospectus or any amendments or supplements to any of the foregoing, shall include any copy thereof filed with the Commission pursuant to the Electronic Data Gathering Analysis and Retrieval System, or any successor system (“</w:t>
      </w:r>
      <w:r>
        <w:rPr>
          <w:rFonts w:ascii="Times New Roman;serif" w:hAnsi="Times New Roman;serif"/>
          <w:b/>
          <w:i/>
          <w:color w:val="000000"/>
          <w:sz w:val="22"/>
        </w:rPr>
        <w:t>EDGAR</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    </w:t>
      </w:r>
      <w:r>
        <w:rPr>
          <w:rFonts w:ascii="Times New Roman;serif" w:hAnsi="Times New Roman;serif"/>
          <w:b w:val="false"/>
          <w:color w:val="000000"/>
          <w:sz w:val="22"/>
          <w:u w:val="single"/>
        </w:rPr>
        <w:t>REPRESENTATIONS AND WARRANTIES OF THE COMPANY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Company represents and warrants to and agrees with each of the Underwriters, as of the date hereof, the Applicable Time (defined below) and the Closing Time referred to in </w:t>
      </w:r>
      <w:r>
        <w:rPr>
          <w:rFonts w:ascii="Times New Roman;serif" w:hAnsi="Times New Roman;serif"/>
          <w:b w:val="false"/>
          <w:color w:val="000000"/>
          <w:sz w:val="22"/>
          <w:u w:val="single"/>
        </w:rPr>
        <w:t>Section 2(b)</w:t>
      </w:r>
      <w:r>
        <w:rPr>
          <w:color w:val="000000"/>
        </w:rPr>
        <w:t> </w:t>
      </w:r>
      <w:r>
        <w:rPr>
          <w:rFonts w:ascii="Times New Roman;serif" w:hAnsi="Times New Roman;serif"/>
          <w:b w:val="false"/>
          <w:color w:val="000000"/>
          <w:sz w:val="22"/>
        </w:rPr>
        <w:t>hereof, as follows: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9410"/>
                <wp:effectExtent l="0" t="0" r="0" b="0"/>
                <wp:wrapNone/>
                <wp:docPr id="7" name="Frame7"/>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Compliance with Registration Requirements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The Company has prepared and filed with the Commission the Registration Statement. The Company meets the requirements for use of Form N-2 under the 1933 Act. The Registration Statement has become effective under the 1933 Act, and no stop order suspending the effectiveness of the Registration Statement or suspending the use of the Preliminary Prospectus or the Prospectus has been issued, and no proceedings for any such purpose, have been instituted or are pending or, to the knowledge of the Company, have been threatened or are contemplated by the Commission, and any request on the part of the Commission for additional information with respect thereto has been complied with.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    At the respective times the Registration Statement, and any post-effective amendment thereto, became effective and at the Closing Time, as hereinafter defined, the Registration Statement, and all amendments and supplements thereto, complied and will comply in all material respects with the requirements of the 1933 Act and did not and will not contain any untrue statement of a material fact or omit to state any material fact required to be stated therein or necessary to make the statements therein not misleading. Neither the Prospectus nor any amendment or supplement thereto, at the time the Prospectus or any such amendment or supplement thereto was issued and at the Closing Time, included or will include any untrue statement of a material fact or omitted or will omit to state any material fact necessary in order to make the statements therein, in the light of the circumstances under which they were made, not misleading. The representations and warranties in this subsection shall not apply to statements in or omissions from the Registration Statement or the Prospectus (including any amendments or supplements to the Registration Statement or the Prospectus) made in reliance upon and in conformity with information furnished to the Company in writing by or on behalf of any Underwriter for use in the Registration Statement or the Prospectus (or any amendments or supplements to the Registration Statement or the Prospectus), it being understood and agreed that the only such information furnished to the Company in writing by the Underwriters consists of the information described in </w:t>
      </w:r>
      <w:r>
        <w:rPr>
          <w:rFonts w:ascii="Times New Roman;serif" w:hAnsi="Times New Roman;serif"/>
          <w:b w:val="false"/>
          <w:color w:val="000000"/>
          <w:sz w:val="22"/>
          <w:u w:val="single"/>
        </w:rPr>
        <w:t>Section 6(f)</w:t>
      </w:r>
      <w:r>
        <w:rPr>
          <w:color w:val="000000"/>
        </w:rPr>
        <w:t> </w:t>
      </w:r>
      <w:r>
        <w:rPr>
          <w:rFonts w:ascii="Times New Roman;serif" w:hAnsi="Times New Roman;serif"/>
          <w:b w:val="false"/>
          <w:color w:val="000000"/>
          <w:sz w:val="22"/>
        </w:rPr>
        <w:t>below.</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    The Disclosure Package as of the Applicable Time does not include any untrue statement of a material fact or omit to state any material fact necessary in order to make the statements therein, in the light of the circumstances under which they were made, not misleading; each Additional Disclosure Item (as defined in </w:t>
      </w:r>
      <w:r>
        <w:rPr>
          <w:rFonts w:ascii="Times New Roman;serif" w:hAnsi="Times New Roman;serif"/>
          <w:b w:val="false"/>
          <w:color w:val="000000"/>
          <w:sz w:val="22"/>
          <w:u w:val="single"/>
        </w:rPr>
        <w:t>Section 3(f)</w:t>
      </w:r>
      <w:r>
        <w:rPr>
          <w:color w:val="000000"/>
        </w:rPr>
        <w:t xml:space="preserve"> </w:t>
      </w:r>
      <w:r>
        <w:rPr>
          <w:rFonts w:ascii="Times New Roman;serif" w:hAnsi="Times New Roman;serif"/>
          <w:b w:val="false"/>
          <w:color w:val="000000"/>
          <w:sz w:val="22"/>
        </w:rPr>
        <w:t xml:space="preserve">hereof) listed on </w:t>
      </w:r>
      <w:r>
        <w:rPr>
          <w:rFonts w:ascii="Times New Roman;serif" w:hAnsi="Times New Roman;serif"/>
          <w:b w:val="false"/>
          <w:color w:val="000000"/>
          <w:sz w:val="22"/>
          <w:u w:val="single"/>
        </w:rPr>
        <w:t>Schedule B</w:t>
      </w:r>
      <w:r>
        <w:rPr>
          <w:color w:val="000000"/>
        </w:rPr>
        <w:t xml:space="preserve"> </w:t>
      </w:r>
      <w:r>
        <w:rPr>
          <w:rFonts w:ascii="Times New Roman;serif" w:hAnsi="Times New Roman;serif"/>
          <w:b w:val="false"/>
          <w:color w:val="000000"/>
          <w:sz w:val="22"/>
        </w:rPr>
        <w:t>hereto complied with the requirements pertaining thereto under the 1933 Act, does not and will not conflict with the information contained in the Registration Statement or the Disclosure Package and each such Additional Disclosure Item, as supplemented by and taken together with the Disclosure Package as of the Applicable Time, did not and will not include any untrue statement of a material fact or omit to state any material fact necessary in order to make the statements therein, in the light of the circumstances under which they were made, not misleading. As used in this subsection and elsewhere in this Agreement, “</w:t>
      </w:r>
      <w:r>
        <w:rPr>
          <w:rFonts w:ascii="Times New Roman;serif" w:hAnsi="Times New Roman;serif"/>
          <w:b/>
          <w:i/>
          <w:color w:val="000000"/>
          <w:sz w:val="22"/>
        </w:rPr>
        <w:t>Applicable Time</w:t>
      </w:r>
      <w:r>
        <w:rPr>
          <w:color w:val="000000"/>
        </w:rPr>
        <w:t xml:space="preserve">” </w:t>
      </w:r>
      <w:r>
        <w:rPr>
          <w:rFonts w:ascii="Times New Roman;serif" w:hAnsi="Times New Roman;serif"/>
          <w:b w:val="false"/>
          <w:color w:val="000000"/>
          <w:sz w:val="22"/>
        </w:rPr>
        <w:t>means 4:45 P.M. (Eastern Time) on September 10, 2026; provided that, if, subsequent to the date of this Agreement, the Company and the Underwriters have determined that the Disclosure Package included an untrue statement of material fact or omitted a statement of material fact necessary to make the information therein not misleading, and have agreed, in connection with the public offering of the Securities, to provide an opportunity to purchasers to terminate their old contracts and enter into new contracts, then “</w:t>
      </w:r>
      <w:r>
        <w:rPr>
          <w:rFonts w:ascii="Times New Roman;serif" w:hAnsi="Times New Roman;serif"/>
          <w:b/>
          <w:i/>
          <w:color w:val="000000"/>
          <w:sz w:val="22"/>
        </w:rPr>
        <w:t>Applicable Time</w:t>
      </w:r>
      <w:r>
        <w:rPr>
          <w:color w:val="000000"/>
        </w:rPr>
        <w:t xml:space="preserve">” </w:t>
      </w:r>
      <w:r>
        <w:rPr>
          <w:rFonts w:ascii="Times New Roman;serif" w:hAnsi="Times New Roman;serif"/>
          <w:b w:val="false"/>
          <w:color w:val="000000"/>
          <w:sz w:val="22"/>
        </w:rPr>
        <w:t xml:space="preserve">will refer to the information available to purchasers at the time of entry into the first such new contract. The representations and warranties in this subsection shall not apply to statements in or omissions from the Disclosure Package based upon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9410"/>
                <wp:effectExtent l="0" t="0" r="0" b="0"/>
                <wp:wrapNone/>
                <wp:docPr id="8" name="Frame8"/>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and in conformity with information relating to any Underwriter furnished to the Company in writing by any Underwriter or its representative expressly for use therein, it being understood and agreed that the only such information furnished by the Underwriters to the Company consists of the information described in </w:t>
      </w:r>
      <w:r>
        <w:rPr>
          <w:rFonts w:ascii="Times New Roman;serif" w:hAnsi="Times New Roman;serif"/>
          <w:b w:val="false"/>
          <w:color w:val="000000"/>
          <w:sz w:val="22"/>
          <w:u w:val="single"/>
        </w:rPr>
        <w:t>Section 6(f)</w:t>
      </w:r>
      <w:r>
        <w:rPr>
          <w:color w:val="000000"/>
        </w:rPr>
        <w:t xml:space="preserve"> </w:t>
      </w:r>
      <w:r>
        <w:rPr>
          <w:rFonts w:ascii="Times New Roman;serif" w:hAnsi="Times New Roman;serif"/>
          <w:b w:val="false"/>
          <w:color w:val="000000"/>
          <w:sz w:val="22"/>
        </w:rPr>
        <w:t>below.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The Preliminary Prospectus when first filed under Rule 424 and as of its date complied in all material respects with the 1933 Act and, if filed by electronic transmission pursuant to EDGAR (except as may be permitted by Regulation S-T under the 1933 Act), was substantially identical to the copy thereof delivered to the Underwriters for use in connection with this Offering. The Prospectus Supplement when first filed under Rule 424 and as of its date will comply in all material respects with the 1933 Act and, if filed by electronic transmission pursuant to EDGAR (except as may be permitted by Regulation S-T under the 1933 Act), will be substantially identical to the copy thereof delivered to the Underwriters for use in connection with this Offering.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Preparation of the Financial Statements</w:t>
      </w:r>
      <w:r>
        <w:rPr>
          <w:rFonts w:ascii="Times New Roman;serif" w:hAnsi="Times New Roman;serif"/>
          <w:b w:val="false"/>
          <w:color w:val="000000"/>
          <w:sz w:val="22"/>
        </w:rPr>
        <w:t>. The consolidated financial statements, together with the related schedules and notes thereto, filed with the Commission as a part of, or incorporated by reference in, the Registration Statement and included in the Prospectus and the Disclosure Package present fairly the consolidated financial position of the Capital Southwest Entities as of and at the dates indicated and the results of their operations and cash flows for the periods specified. Such financial statements have been prepared in conformity with accounting principles generally accepted in the United States (</w:t>
      </w:r>
      <w:r>
        <w:rPr>
          <w:color w:val="000000"/>
        </w:rPr>
        <w:t>“</w:t>
      </w:r>
      <w:r>
        <w:rPr>
          <w:rFonts w:ascii="Times New Roman;serif" w:hAnsi="Times New Roman;serif"/>
          <w:b/>
          <w:i/>
          <w:color w:val="000000"/>
          <w:sz w:val="22"/>
        </w:rPr>
        <w:t>GAAP</w:t>
      </w:r>
      <w:r>
        <w:rPr>
          <w:color w:val="000000"/>
        </w:rPr>
        <w:t>”</w:t>
      </w:r>
      <w:r>
        <w:rPr>
          <w:rFonts w:ascii="Times New Roman;serif" w:hAnsi="Times New Roman;serif"/>
          <w:b w:val="false"/>
          <w:color w:val="000000"/>
          <w:sz w:val="22"/>
        </w:rPr>
        <w:t xml:space="preserve">) applied on a consistent basis throughout the periods involved, except as may be expressly stated in the related notes thereto. </w:t>
      </w:r>
      <w:r>
        <w:rPr>
          <w:rFonts w:ascii="Times New Roman;serif" w:hAnsi="Times New Roman;serif"/>
          <w:b w:val="false"/>
          <w:color w:val="000000"/>
          <w:sz w:val="22"/>
          <w:shd w:fill="FFFFFF" w:val="clear"/>
        </w:rPr>
        <w:t xml:space="preserve">The supporting schedules, if any, included or incorporated by reference in the Registration Statement, the Disclosure Package and the Prospectus present fairly in all material respects in accordance with GAAP the information required to be stated therein. Any summary financial information of the </w:t>
      </w:r>
      <w:r>
        <w:rPr>
          <w:rFonts w:ascii="Times New Roman;serif" w:hAnsi="Times New Roman;serif"/>
          <w:b w:val="false"/>
          <w:color w:val="000000"/>
          <w:sz w:val="22"/>
        </w:rPr>
        <w:t>Capital Southwest Entities and CapTrin Partners, LLC (“</w:t>
      </w:r>
      <w:r>
        <w:rPr>
          <w:rFonts w:ascii="Times New Roman;serif" w:hAnsi="Times New Roman;serif"/>
          <w:b/>
          <w:i/>
          <w:color w:val="000000"/>
          <w:sz w:val="22"/>
        </w:rPr>
        <w:t>CapTrin</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 xml:space="preserve">included or incorporated by reference in the Registration Statement, the Disclosure Package and the Prospectus have been derived from the accounting records and other books and records of the </w:t>
      </w:r>
      <w:r>
        <w:rPr>
          <w:rFonts w:ascii="Times New Roman;serif" w:hAnsi="Times New Roman;serif"/>
          <w:b w:val="false"/>
          <w:color w:val="000000"/>
          <w:sz w:val="22"/>
        </w:rPr>
        <w:t xml:space="preserve">Capital Southwest Entities or CapTrin, as applicable, </w:t>
      </w:r>
      <w:r>
        <w:rPr>
          <w:rFonts w:ascii="Times New Roman;serif" w:hAnsi="Times New Roman;serif"/>
          <w:b w:val="false"/>
          <w:color w:val="000000"/>
          <w:sz w:val="22"/>
          <w:shd w:fill="FFFFFF" w:val="clear"/>
        </w:rPr>
        <w:t xml:space="preserve">and present fairly in all material respects the information shown therein. </w:t>
      </w:r>
      <w:r>
        <w:rPr>
          <w:rFonts w:ascii="Times New Roman;serif" w:hAnsi="Times New Roman;serif"/>
          <w:b w:val="false"/>
          <w:color w:val="000000"/>
          <w:sz w:val="22"/>
        </w:rPr>
        <w:t xml:space="preserve">Other than the financial statements included in the Registration Statement, the Disclosure Package, and the Prospectus, no other financial statements or supporting schedules are required to be included therein. All disclosures contained in the Registration Statement, the Disclosure Package or the Prospectus regarding “non-GAAP financial measures” (as such term is defined by the rules and regulations of the Commission) comply or will comply with Regulation G under the 1934 Act and Item 10 of Regulation S-K of the 1933 Act, to the extent applicable. </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Internal Control over Financial Reporting; Independent Accountant</w:t>
      </w:r>
      <w:r>
        <w:rPr>
          <w:rFonts w:ascii="Times New Roman;serif" w:hAnsi="Times New Roman;serif"/>
          <w:b w:val="false"/>
          <w:color w:val="000000"/>
          <w:sz w:val="22"/>
        </w:rPr>
        <w:t>. The Company maintains a system of internal control over financial reporting (as such term is defined in Rule 13a-15(f) and 15d-15(f) under the 1934 Act). The Company’s auditors and the audit committee of the Company’s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xml:space="preserve">) have been advised of (1) any known significant deficiencies in the design or operation of internal control over financial reporting that could adversely affect the ability to record, process, summarize, and report financial data and (2) any known fraud, whether or not material, that involves management or other employees who have a role in the Company’s internal control over financial reporting; and any such deficiencies or fraud will not result in a Material Adverse Effect (as defined below). The Company’s internal control over financial reporting is effective and the Company is not aware of any material weakness in its internal control over financial reporting. </w:t>
      </w:r>
      <w:r>
        <w:rPr>
          <w:rFonts w:ascii="Times New Roman;serif" w:hAnsi="Times New Roman;serif"/>
          <w:b w:val="false"/>
          <w:color w:val="000000"/>
          <w:sz w:val="22"/>
          <w:shd w:fill="FFFFFF" w:val="clear"/>
        </w:rPr>
        <w:t>RSM US LLP, the Company’s current</w:t>
      </w:r>
      <w:r>
        <w:rPr>
          <w:color w:val="000000"/>
        </w:rPr>
        <w:t xml:space="preserve"> </w:t>
      </w:r>
      <w:r>
        <w:rPr>
          <w:rFonts w:ascii="Times New Roman;serif" w:hAnsi="Times New Roman;serif"/>
          <w:b w:val="false"/>
          <w:color w:val="000000"/>
          <w:sz w:val="22"/>
        </w:rPr>
        <w:t>independent accountant,</w:t>
      </w:r>
      <w:r>
        <w:rPr>
          <w:color w:val="000000"/>
          <w:shd w:fill="FFFFFF" w:val="clear"/>
        </w:rPr>
        <w:t xml:space="preserve"> </w:t>
      </w:r>
      <w:r>
        <w:rPr>
          <w:rFonts w:ascii="Times New Roman;serif" w:hAnsi="Times New Roman;serif"/>
          <w:b w:val="false"/>
          <w:color w:val="000000"/>
          <w:sz w:val="22"/>
          <w:shd w:fill="FFFFFF" w:val="clear"/>
        </w:rPr>
        <w:t xml:space="preserve">which audited certain financial statements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9410"/>
                <wp:effectExtent l="0" t="0" r="0" b="0"/>
                <wp:wrapNone/>
                <wp:docPr id="9" name="Frame9"/>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of the Company and whose reports with respect to the financial statements of the Company are incorporated by reference in the Registration Statement, the </w:t>
      </w:r>
      <w:r>
        <w:rPr>
          <w:rFonts w:ascii="Times New Roman;serif" w:hAnsi="Times New Roman;serif"/>
          <w:b w:val="false"/>
          <w:color w:val="000000"/>
          <w:sz w:val="22"/>
        </w:rPr>
        <w:t xml:space="preserve">Disclosure Package </w:t>
      </w:r>
      <w:r>
        <w:rPr>
          <w:rFonts w:ascii="Times New Roman;serif" w:hAnsi="Times New Roman;serif"/>
          <w:b w:val="false"/>
          <w:color w:val="000000"/>
          <w:sz w:val="22"/>
          <w:shd w:fill="FFFFFF" w:val="clear"/>
        </w:rPr>
        <w:t>and the Prospectus, is an independent registered public accounting firm as required by the 1933 Act, the 1940 Act, the 1934 Act and the rules of the Public Company Accounting Oversight Board (the “</w:t>
      </w:r>
      <w:r>
        <w:rPr>
          <w:rFonts w:ascii="Times New Roman;serif" w:hAnsi="Times New Roman;serif"/>
          <w:b/>
          <w:i/>
          <w:color w:val="000000"/>
          <w:sz w:val="22"/>
          <w:shd w:fill="FFFFFF" w:val="clear"/>
        </w:rPr>
        <w:t>PCAOB</w:t>
      </w:r>
      <w:r>
        <w:rPr>
          <w:color w:val="000000"/>
          <w:shd w:fill="FFFFFF" w:val="clear"/>
        </w:rPr>
        <w:t>”</w:t>
      </w:r>
      <w:r>
        <w:rPr>
          <w:rFonts w:ascii="Times New Roman;serif" w:hAnsi="Times New Roman;serif"/>
          <w:b w:val="false"/>
          <w:color w:val="000000"/>
          <w:sz w:val="22"/>
          <w:shd w:fill="FFFFFF" w:val="clear"/>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Disclosure Controls</w:t>
      </w:r>
      <w:r>
        <w:rPr>
          <w:rFonts w:ascii="Times New Roman;serif" w:hAnsi="Times New Roman;serif"/>
          <w:b w:val="false"/>
          <w:color w:val="000000"/>
          <w:sz w:val="22"/>
        </w:rPr>
        <w:t>. The Company has established and maintains disclosure controls and procedures (as such term is defined in Rule 13a-15 and 15d-15 under the 1934 Act) that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(ii) will be evaluated for effectiveness as of the end of each fiscal quarter and fiscal year of the Company, and (iii) are effective to perform the functions for which they were established.</w:t>
      </w:r>
    </w:p>
    <w:p>
      <w:pPr>
        <w:pStyle w:val="TextBody"/>
        <w:bidi w:val="0"/>
        <w:spacing w:lineRule="auto" w:line="288" w:before="0" w:after="24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No Material Adverse Change</w:t>
      </w:r>
      <w:r>
        <w:rPr>
          <w:rFonts w:ascii="Times New Roman;serif" w:hAnsi="Times New Roman;serif"/>
          <w:b w:val="false"/>
          <w:color w:val="000000"/>
          <w:sz w:val="22"/>
        </w:rPr>
        <w:t xml:space="preserve">. Except as otherwise disclosed in the Disclosure Package and the Prospectus, subsequent to the respective dates as of which information is given in the Disclosure Package and the Prospectus: (i) there has been no material adverse change, or any development that could reasonably be expected, either individually or in the aggregate, to result in a material adverse change, in the condition, financial or otherwise, or in the earnings, net asset value, prospects, business or operations, whether or not arising from transactions in the ordinary course of business, of the Capital Southwest Entities, considered as one entity, or CapTrin (any such change or effect, where the context so requires is called a </w:t>
      </w:r>
      <w:r>
        <w:rPr>
          <w:color w:val="000000"/>
        </w:rPr>
        <w:t>“</w:t>
      </w:r>
      <w:r>
        <w:rPr>
          <w:rFonts w:ascii="Times New Roman;serif" w:hAnsi="Times New Roman;serif"/>
          <w:b/>
          <w:i/>
          <w:color w:val="000000"/>
          <w:sz w:val="22"/>
        </w:rPr>
        <w:t>Material Adverse Change</w:t>
      </w:r>
      <w:r>
        <w:rPr>
          <w:color w:val="000000"/>
        </w:rPr>
        <w:t xml:space="preserve">” </w:t>
      </w:r>
      <w:r>
        <w:rPr>
          <w:rFonts w:ascii="Times New Roman;serif" w:hAnsi="Times New Roman;serif"/>
          <w:b w:val="false"/>
          <w:color w:val="000000"/>
          <w:sz w:val="22"/>
        </w:rPr>
        <w:t xml:space="preserve">or a </w:t>
      </w:r>
      <w:r>
        <w:rPr>
          <w:color w:val="000000"/>
        </w:rPr>
        <w:t>“</w:t>
      </w:r>
      <w:r>
        <w:rPr>
          <w:rFonts w:ascii="Times New Roman;serif" w:hAnsi="Times New Roman;serif"/>
          <w:b/>
          <w:i/>
          <w:color w:val="000000"/>
          <w:sz w:val="22"/>
        </w:rPr>
        <w:t>Material Adverse Effect</w:t>
      </w:r>
      <w:r>
        <w:rPr>
          <w:color w:val="000000"/>
        </w:rPr>
        <w:t>”</w:t>
      </w:r>
      <w:r>
        <w:rPr>
          <w:rFonts w:ascii="Times New Roman;serif" w:hAnsi="Times New Roman;serif"/>
          <w:b w:val="false"/>
          <w:color w:val="000000"/>
          <w:sz w:val="22"/>
        </w:rPr>
        <w:t>); (ii) none of the Capital Southwest Entities, considered as one entity, or CapTrin has incurred any material liability or obligation, indirect, direct or contingent, not in the ordinary course of business or entered into any material transaction or agreement not in the ordinary course of business; and (iii) except for regular distributions paid or declared by the Company to its stockholders consistent with past practice or any other distributions described in the Disclosure Package and the Prospectus, there has been no dividend or distribution of any kind declared, paid or made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Good Standing of the Company and its Subsidiaries</w:t>
      </w:r>
      <w:r>
        <w:rPr>
          <w:rFonts w:ascii="Times New Roman;serif" w:hAnsi="Times New Roman;serif"/>
          <w:b w:val="false"/>
          <w:color w:val="000000"/>
          <w:sz w:val="22"/>
        </w:rPr>
        <w:t>. Each of the Capital Southwest Entities and CapTrin has been duly organized, is validly existing and in good standing under the laws of the state of jurisdiction of its incorporation or organization and has the corporate, limited liability company or limited partnership power and authority to own, lease and operate its properties and to conduct its business as described in the Prospectus and the Disclosure Package and to execute and deliver this Agreement, the Indenture, the Securities and the DTC Agreement and perform its obligations hereunder and thereunder, as applicable. Each of the Capital Southwest Entities and CapTrin is duly qualified to do business and in good standing as a foreign entity in each jurisdiction in which its ownership or lease of property or the conduct of its businesses requires such qualification, except for such jurisdictions where the failure to be so qualified or in good standing would not, individually or in the aggregate, have a Material Adverse Effect.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All of the issued and outstanding limited liability company interests and partnership interests of the SBIC Fund I, the SBIC Fund II and the SBIC GP, as appropriate, have been duly authorized and validly issued, are fully paid and non-assessable and wholly owned by the Company, directly or indirectly, free and clear of any security interest, mortgage, pledge, lien, encumbrance or claim; and no options, warrants or other rights to purchase, agreements or other obligations to issue or other rights to convert any obligations into ownership interests in any of the SBIC Fund I, the SBIC Fund II or the SBIC GP are outstanding.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9410"/>
                <wp:effectExtent l="0" t="0" r="0" b="0"/>
                <wp:wrapNone/>
                <wp:docPr id="10" name="Frame10"/>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Subsidiaries of the Company</w:t>
      </w:r>
      <w:r>
        <w:rPr>
          <w:rFonts w:ascii="Times New Roman;serif" w:hAnsi="Times New Roman;serif"/>
          <w:b w:val="false"/>
          <w:color w:val="000000"/>
          <w:sz w:val="22"/>
        </w:rPr>
        <w:t xml:space="preserve">. The Company does not own, directly or indirectly, any shares of stock or any other equity or long-term debt securities of any corporation or other entity other than (i) its interests in CSEI, CS SPV, the SBIC Fund I, the SBIC Fund II and the SBIC GP and (ii) those corporations or other entities accounted for by the Company as portfolio investments in accordance with the Commission’s rules and regulations (each a </w:t>
      </w:r>
      <w:r>
        <w:rPr>
          <w:color w:val="000000"/>
        </w:rPr>
        <w:t>“</w:t>
      </w:r>
      <w:r>
        <w:rPr>
          <w:rFonts w:ascii="Times New Roman;serif" w:hAnsi="Times New Roman;serif"/>
          <w:b/>
          <w:i/>
          <w:color w:val="000000"/>
          <w:sz w:val="22"/>
        </w:rPr>
        <w:t>Portfolio Company</w:t>
      </w:r>
      <w:r>
        <w:rPr>
          <w:color w:val="000000"/>
        </w:rPr>
        <w:t xml:space="preserve">” </w:t>
      </w:r>
      <w:r>
        <w:rPr>
          <w:rFonts w:ascii="Times New Roman;serif" w:hAnsi="Times New Roman;serif"/>
          <w:b w:val="false"/>
          <w:color w:val="000000"/>
          <w:sz w:val="22"/>
        </w:rPr>
        <w:t xml:space="preserve">and collectively, the </w:t>
      </w:r>
      <w:r>
        <w:rPr>
          <w:color w:val="000000"/>
        </w:rPr>
        <w:t>“</w:t>
      </w:r>
      <w:r>
        <w:rPr>
          <w:rFonts w:ascii="Times New Roman;serif" w:hAnsi="Times New Roman;serif"/>
          <w:b/>
          <w:i/>
          <w:color w:val="000000"/>
          <w:sz w:val="22"/>
        </w:rPr>
        <w:t>Portfolio Companies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Portfolio Companies</w:t>
      </w:r>
      <w:r>
        <w:rPr>
          <w:rFonts w:ascii="Times New Roman;serif" w:hAnsi="Times New Roman;serif"/>
          <w:b w:val="false"/>
          <w:color w:val="000000"/>
          <w:sz w:val="22"/>
        </w:rPr>
        <w:t xml:space="preserve">. The Company, the SBIC Fund I or the SBIC Fund II, either directly or indirectly through one or more tax blocker or special purpose financing subsidiaries, has duly authorized, executed and delivered agreements (each a </w:t>
      </w:r>
      <w:r>
        <w:rPr>
          <w:color w:val="000000"/>
        </w:rPr>
        <w:t>“</w:t>
      </w:r>
      <w:r>
        <w:rPr>
          <w:rFonts w:ascii="Times New Roman;serif" w:hAnsi="Times New Roman;serif"/>
          <w:b/>
          <w:i/>
          <w:color w:val="000000"/>
          <w:sz w:val="22"/>
        </w:rPr>
        <w:t>Portfolio Company Agreement</w:t>
      </w:r>
      <w:r>
        <w:rPr>
          <w:color w:val="000000"/>
        </w:rPr>
        <w:t>”</w:t>
      </w:r>
      <w:r>
        <w:rPr>
          <w:rFonts w:ascii="Times New Roman;serif" w:hAnsi="Times New Roman;serif"/>
          <w:b w:val="false"/>
          <w:color w:val="000000"/>
          <w:sz w:val="22"/>
        </w:rPr>
        <w:t>) required to make the investments in the Portfolio Companies. Except as otherwise disclosed in the Disclosure Package and the Prospectus, there has been no material change in the total fair value dollar amount of the Portfolio Company investments on non-accrual status.</w:t>
      </w:r>
    </w:p>
    <w:p>
      <w:pPr>
        <w:pStyle w:val="TextBody"/>
        <w:bidi w:val="0"/>
        <w:spacing w:lineRule="auto" w:line="288" w:before="0" w:after="240"/>
        <w:ind w:left="0" w:right="0" w:firstLine="72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Officers and Directors</w:t>
      </w:r>
      <w:r>
        <w:rPr>
          <w:rFonts w:ascii="Times New Roman;serif" w:hAnsi="Times New Roman;serif"/>
          <w:b w:val="false"/>
          <w:color w:val="000000"/>
          <w:sz w:val="22"/>
        </w:rPr>
        <w:t xml:space="preserve">. Except as disclosed in the Prospectus and the Disclosure Package, no person is serving or acting as an officer or director of the Company except in accordance with the applicable provisions of the 1940 Act. Except as disclosed in the Registration Statement, the Disclosure Package and the Prospectus, no director of the Company is (i) an “interested person” (as defined in the 1940 Act) of the Company or (ii) an “affiliated person” (as defined in the 1940 Act) of any Underwriter. For purposes of this </w:t>
      </w:r>
      <w:r>
        <w:rPr>
          <w:rFonts w:ascii="Times New Roman;serif" w:hAnsi="Times New Roman;serif"/>
          <w:b w:val="false"/>
          <w:color w:val="000000"/>
          <w:sz w:val="22"/>
          <w:u w:val="single"/>
        </w:rPr>
        <w:t>Section 1(j)</w:t>
      </w:r>
      <w:r>
        <w:rPr>
          <w:rFonts w:ascii="Times New Roman;serif" w:hAnsi="Times New Roman;serif"/>
          <w:b w:val="false"/>
          <w:color w:val="000000"/>
          <w:sz w:val="22"/>
        </w:rPr>
        <w:t>, the Company shall be entitled to reasonably rely on representations from such officers and directors.</w:t>
      </w:r>
    </w:p>
    <w:p>
      <w:pPr>
        <w:pStyle w:val="TextBody"/>
        <w:bidi w:val="0"/>
        <w:spacing w:lineRule="auto" w:line="288" w:before="0" w:after="240"/>
        <w:ind w:left="0" w:right="0" w:firstLine="720"/>
        <w:jc w:val="both"/>
        <w:rPr/>
      </w:pPr>
      <w:r>
        <w:rPr>
          <w:rFonts w:ascii="Times New Roman;serif" w:hAnsi="Times New Roman;serif"/>
          <w:b w:val="false"/>
          <w:color w:val="000000"/>
          <w:sz w:val="22"/>
        </w:rPr>
        <w:t>(k)    </w:t>
      </w:r>
      <w:r>
        <w:rPr>
          <w:rFonts w:ascii="Times New Roman;serif" w:hAnsi="Times New Roman;serif"/>
          <w:b w:val="false"/>
          <w:color w:val="000000"/>
          <w:sz w:val="22"/>
          <w:u w:val="single"/>
        </w:rPr>
        <w:t>Business Development Company Election</w:t>
      </w:r>
      <w:r>
        <w:rPr>
          <w:rFonts w:ascii="Times New Roman;serif" w:hAnsi="Times New Roman;serif"/>
          <w:b w:val="false"/>
          <w:color w:val="000000"/>
          <w:sz w:val="22"/>
        </w:rPr>
        <w:t>. The Company has filed the BDC Election and, accordingly, has duly elected to be subject to the provisions of Sections 55 through 65 of the 1940 Act. At the time the BDC Election was filed with the Commission, it (i) contained all statements required to be stated therein in accordance with, and complied in all material respects with the requirements of, the 1940 Act and (ii) did not include any untrue statement of material fact or omit to state a material fact necessary to make the statements therein not misleading. The Company has not filed with the Commission any notice of withdrawal of the BDC Election pursuant to Section 54(c) of the 1940 Act, the BDC Election remains in full force and effect, and, to the Company’s knowledge, no order of suspension or revocation of the BDC Election under the 1940 Act has been issued or proceedings therefore initiated or threatened by the Commission. The operations of the Company are in compliance in all material respects with all applicable provisions of the 1940 Act and the rules and regulations of the Commission thereunder, including the provisions applicable to BDCs.</w:t>
      </w:r>
    </w:p>
    <w:p>
      <w:pPr>
        <w:pStyle w:val="TextBody"/>
        <w:bidi w:val="0"/>
        <w:spacing w:lineRule="auto" w:line="288" w:before="0" w:after="240"/>
        <w:ind w:left="0" w:right="0" w:firstLine="72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Capitalization</w:t>
      </w:r>
      <w:r>
        <w:rPr>
          <w:rFonts w:ascii="Times New Roman;serif" w:hAnsi="Times New Roman;serif"/>
          <w:b w:val="false"/>
          <w:color w:val="000000"/>
          <w:sz w:val="22"/>
        </w:rPr>
        <w:t xml:space="preserve">. The authorized, issued and outstanding capital stock of the Company is as set forth in the Prospectus and the Disclosure Package as of the date thereof under the caption “Capitalization” and conforms in all material respects to the description thereof contained elsewhere in the Disclosure Package and the Prospectus. All issued and outstanding shares of common stock of the Company have been duly authorized and validly issued and are fully paid and non-assessable, and have been offered and sold or exchanged by the Company in compliance with all applicable laws (including, without limitation, federal and state securities laws). None of the outstanding shares of common stock of the Company was issued in violation of the preemptive or other similar rights of any security holder of the Company, nor does any person have any preemptive right of first refusal or other right to acquire any of the Securities covered by this Agreement. The Company currently does not have any shares of preferred stock authorized for issuance under its articles of incorporation. The description of the Company’s stock option, stock bonus and other stock plans or arrangements, and the options, restricted stock or other rights granted thereunder, set forth in the Prospectus and the Disclosure Package, accurately and fairly presents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9410"/>
                <wp:effectExtent l="0" t="0" r="0" b="0"/>
                <wp:wrapNone/>
                <wp:docPr id="11" name="Frame11"/>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information required to be shown with respect to such plans, arrangements, options, awards and rights.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(m)    </w:t>
      </w:r>
      <w:r>
        <w:rPr>
          <w:rFonts w:ascii="Times New Roman;serif" w:hAnsi="Times New Roman;serif"/>
          <w:b w:val="false"/>
          <w:color w:val="000000"/>
          <w:sz w:val="22"/>
          <w:u w:val="single"/>
        </w:rPr>
        <w:t>Non-Contravention of Existing Instruments; No Further Authorizations or Approvals Required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    None of the Capital Southwest Entities or CapTrin is in violation of or default under (i) its respective charter, bylaws, limited liability agreement, limited partnership agreement or any similar organizational document; (ii) any indenture, mortgage, loan or credit agreement, note, contract, franchise, lease or other agreement or instrument, and any supplements or amendments thereto, to which it is a party or bound or to which any of its properties or assets are subject, including, in the case of the Company, the SBIC Fund I and the SBIC Fund II, any Portfolio Company Agreement (collectively, “</w:t>
      </w:r>
      <w:r>
        <w:rPr>
          <w:rFonts w:ascii="Times New Roman;serif" w:hAnsi="Times New Roman;serif"/>
          <w:b/>
          <w:i/>
          <w:color w:val="000000"/>
          <w:sz w:val="22"/>
        </w:rPr>
        <w:t>Agreements and Instruments</w:t>
      </w:r>
      <w:r>
        <w:rPr>
          <w:color w:val="000000"/>
        </w:rPr>
        <w:t>”</w:t>
      </w:r>
      <w:r>
        <w:rPr>
          <w:rFonts w:ascii="Times New Roman;serif" w:hAnsi="Times New Roman;serif"/>
          <w:b w:val="false"/>
          <w:color w:val="000000"/>
          <w:sz w:val="22"/>
        </w:rPr>
        <w:t>); and (iii) any statute, law, rule, regulation, judgment, order or decree of any court, regulatory body, administrative agency, governmental body, arbitrator or other authority having jurisdiction over it or any of its properties, as applicable, except with respect to clauses (ii) and (iii) herein, for such violations or defaults as would not, individually or in the aggregate, have a Material Adverse Effect. No person has the right to act as an underwriter, sales agent or financial advisor to the Company in connection with or by reason of the offer and sale of the Securities contemplated hereby other than the Underwriters pursuant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(ii)    The execution, delivery and performance of this Agreement, the Indenture, the Securities, the DTC Agreement and the consummation of the transactions contemplated herein and in the Prospectus and the Disclosure Package (including the issuance and sale of the Securities and the use of the proceeds from the sale of the Securities as described in the Preliminary Prospectus and the Prospectus under the caption “Use of Proceeds”), and compliance by the Company with its obligations hereunder and thereunder, have been duly authorized by all necessary corporate action, have been effected in accordance with the 1940 Act and do not and will not, whether with or without the giving of notice or passage of time or both, (i) conflict with or constitute a breach of, or default or Repayment Event (as defined herein) under, the Agreements and Instruments or result in the creation or imposition of any lien, charge or encumbrance upon any property or assets of any Capital Southwest Entity pursuant to the terms of the Agreements and Instruments (except to the extent that such breaches, defaults or creations or impositions would not, individually or in the aggregate, be reasonably likely to have a Material Adverse Effect), (ii) result in any violation of the provisions of the Company’s articles of incorporation, or (iii) result in any violation of any law, regulation, or decree applicable to the Company, the SBIC Fund I or the SBIC Fund II. No consent, approval, authorization or other order of, or registration or filing with, any court or other governmental or regulatory authority or agency is required for the execution, delivery and performance of this Agreement by the Company in connection with the offering, issuance, sale or delivery of the Securities hereunder, or under the Indenture, the Securities or the consummation of the transactions contemplated hereby and by the Prospectus and the Disclosure Package, except such as have already been obtained or made under the 1933 Act and the 1940 Act and such as may be required under any applicable state securities or blue sky laws, from the Financial Industry Regulatory Authority, Inc. (“</w:t>
      </w:r>
      <w:r>
        <w:rPr>
          <w:rFonts w:ascii="Times New Roman;serif" w:hAnsi="Times New Roman;serif"/>
          <w:b/>
          <w:i/>
          <w:color w:val="000000"/>
          <w:sz w:val="22"/>
        </w:rPr>
        <w:t>FINRA</w:t>
      </w:r>
      <w:r>
        <w:rPr>
          <w:color w:val="000000"/>
        </w:rPr>
        <w:t>”</w:t>
      </w:r>
      <w:r>
        <w:rPr>
          <w:rFonts w:ascii="Times New Roman;serif" w:hAnsi="Times New Roman;serif"/>
          <w:b w:val="false"/>
          <w:color w:val="000000"/>
          <w:sz w:val="22"/>
        </w:rPr>
        <w:t>), or under the rules and regulations of the Nasdaq Stock Market (“</w:t>
      </w:r>
      <w:r>
        <w:rPr>
          <w:rFonts w:ascii="Times New Roman;serif" w:hAnsi="Times New Roman;serif"/>
          <w:b/>
          <w:i/>
          <w:color w:val="000000"/>
          <w:sz w:val="22"/>
        </w:rPr>
        <w:t>NASDAQ</w:t>
      </w:r>
      <w:r>
        <w:rPr>
          <w:color w:val="000000"/>
        </w:rPr>
        <w:t>”</w:t>
      </w:r>
      <w:r>
        <w:rPr>
          <w:rFonts w:ascii="Times New Roman;serif" w:hAnsi="Times New Roman;serif"/>
          <w:b w:val="false"/>
          <w:color w:val="000000"/>
          <w:sz w:val="22"/>
        </w:rPr>
        <w: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a Capital Southwest Entity, as applicable.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9410"/>
                <wp:effectExtent l="0" t="0" r="0" b="0"/>
                <wp:wrapNone/>
                <wp:docPr id="12" name="Frame12"/>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Base Indenture has been duly authorized, executed and delivered by the Company and constitutes a valid and binding obligation of the Company, enforceable against the Company in accordance with its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The Eighth Supplemental Indenture has been duly authorized and, at the Closing Time, will be executed and delivered by the Company and, when executed and delivered by the Trustee, will constitute a valid and binding obligation of the Company, enforceable against the Company in accordance with its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The DTC Agreement has been duly authorized, executed and delivered by the Company and constitutes a valid and binding obligation of the Company, enforceable against the Company in accordance with its terms, except as the enforcement thereof may be subject to (A) bankruptcy, insolvency, reorganization, moratorium or other similar laws now or thereafter in effect relating to creditors’ rights generally and (B) general principles of equity and the discretion of the court before which any proceeding therefor may be brought.</w:t>
      </w:r>
    </w:p>
    <w:p>
      <w:pPr>
        <w:pStyle w:val="TextBody"/>
        <w:bidi w:val="0"/>
        <w:spacing w:lineRule="auto" w:line="288" w:before="0" w:after="240"/>
        <w:ind w:left="0" w:right="0" w:firstLine="720"/>
        <w:jc w:val="both"/>
        <w:rPr/>
      </w:pPr>
      <w:r>
        <w:rPr>
          <w:rFonts w:ascii="Times New Roman;serif" w:hAnsi="Times New Roman;serif"/>
          <w:b w:val="false"/>
          <w:color w:val="000000"/>
          <w:sz w:val="22"/>
        </w:rPr>
        <w:t>(vi)    </w:t>
      </w:r>
      <w:r>
        <w:rPr>
          <w:rFonts w:ascii="Times New Roman;serif" w:hAnsi="Times New Roman;serif"/>
          <w:b w:val="false"/>
          <w:color w:val="000000"/>
          <w:sz w:val="22"/>
          <w:shd w:fill="FFFFFF" w:val="clear"/>
        </w:rPr>
        <w:t>The Indenture has been duly qualified under the Trust Indenture Act of 1939, as amended.</w:t>
      </w:r>
    </w:p>
    <w:p>
      <w:pPr>
        <w:pStyle w:val="TextBody"/>
        <w:bidi w:val="0"/>
        <w:spacing w:lineRule="auto" w:line="288" w:before="0" w:after="240"/>
        <w:ind w:left="0" w:right="0" w:firstLine="720"/>
        <w:jc w:val="both"/>
        <w:rPr/>
      </w:pPr>
      <w:r>
        <w:rPr>
          <w:rFonts w:ascii="Times New Roman;serif" w:hAnsi="Times New Roman;serif"/>
          <w:b w:val="false"/>
          <w:color w:val="000000"/>
          <w:sz w:val="22"/>
        </w:rPr>
        <w:t>(n)    </w:t>
      </w:r>
      <w:r>
        <w:rPr>
          <w:rFonts w:ascii="Times New Roman;serif" w:hAnsi="Times New Roman;serif"/>
          <w:b w:val="false"/>
          <w:color w:val="000000"/>
          <w:sz w:val="22"/>
          <w:u w:val="single"/>
        </w:rPr>
        <w:t>Material Agreements</w:t>
      </w:r>
      <w:r>
        <w:rPr>
          <w:rFonts w:ascii="Times New Roman;serif" w:hAnsi="Times New Roman;serif"/>
          <w:b w:val="false"/>
          <w:color w:val="000000"/>
          <w:sz w:val="22"/>
        </w:rPr>
        <w:t>. Each material agreement described in the Disclosure Package and Prospectus (each such agreement, a “</w:t>
      </w:r>
      <w:r>
        <w:rPr>
          <w:rFonts w:ascii="Times New Roman;serif" w:hAnsi="Times New Roman;serif"/>
          <w:b/>
          <w:i/>
          <w:color w:val="000000"/>
          <w:sz w:val="22"/>
        </w:rPr>
        <w:t>Material Agreement</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i/>
          <w:color w:val="000000"/>
          <w:sz w:val="22"/>
        </w:rPr>
        <w:t>Material Agreements</w:t>
      </w:r>
      <w:r>
        <w:rPr>
          <w:color w:val="000000"/>
        </w:rPr>
        <w:t>”</w:t>
      </w:r>
      <w:r>
        <w:rPr>
          <w:rFonts w:ascii="Times New Roman;serif" w:hAnsi="Times New Roman;serif"/>
          <w:b w:val="false"/>
          <w:color w:val="000000"/>
          <w:sz w:val="22"/>
        </w:rPr>
        <w:t>) has been accurately and fully described in all material respects. The Company has not sent or received notice of, or otherwise communicated or received communication with respect to, termination of any Material Agreement, nor has any such termination been threatened by any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(o)    </w:t>
      </w:r>
      <w:r>
        <w:rPr>
          <w:rFonts w:ascii="Times New Roman;serif" w:hAnsi="Times New Roman;serif"/>
          <w:b w:val="false"/>
          <w:color w:val="000000"/>
          <w:sz w:val="22"/>
          <w:u w:val="single"/>
        </w:rPr>
        <w:t>Authorization and Description of Securities</w:t>
      </w:r>
      <w:r>
        <w:rPr>
          <w:rFonts w:ascii="Times New Roman;serif" w:hAnsi="Times New Roman;serif"/>
          <w:b w:val="false"/>
          <w:color w:val="000000"/>
          <w:sz w:val="22"/>
        </w:rPr>
        <w:t>. The Securities to be sold pursuant to this Agreement have been duly authorized by the Board and such Securities, when duly executed, issued and authenticated in the manner provided for in the Indenture and delivered against payment of the consideration specified in this Agreement, will be valid and legally binding obligations of the Company enforceable in accordance with their terms, except as the enforcement thereof may be limited by bankruptcy, insolvency (including, without limitation, all laws relating to fraudulent transfers), reorganization, moratorium or other similar laws affecting the enforcement of creditors’ rights generally or by general equitable principles (regardless of whether enforcement is considered in a proceeding in equity or at law). The Securities and the Indenture conform in all material respects to all statements relating thereto contained in the Registration Statement, the Preliminary Prospectus and the Prospectus and such descriptions conform to the rights set forth in the instruments defining the same, to the extent such rights are set forth; and the issuance of the Securities is not subject to the preemptive or other similar rights of any securityholder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(p)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(q)    </w:t>
      </w:r>
      <w:r>
        <w:rPr>
          <w:rFonts w:ascii="Times New Roman;serif" w:hAnsi="Times New Roman;serif"/>
          <w:b w:val="false"/>
          <w:color w:val="000000"/>
          <w:sz w:val="22"/>
          <w:u w:val="single"/>
        </w:rPr>
        <w:t>Intellectual Property Rights</w:t>
      </w:r>
      <w:r>
        <w:rPr>
          <w:rFonts w:ascii="Times New Roman;serif" w:hAnsi="Times New Roman;serif"/>
          <w:b w:val="false"/>
          <w:color w:val="000000"/>
          <w:sz w:val="22"/>
        </w:rPr>
        <w:t xml:space="preserve">. Each of the Capital Southwest Entities and CapTrin owns or possesses sufficient trademarks, trade names, patent rights, copyrights, domain names, licenses,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9410"/>
                <wp:effectExtent l="0" t="0" r="0" b="0"/>
                <wp:wrapNone/>
                <wp:docPr id="13" name="Frame13"/>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approvals, trade secrets and other similar rights (collectively, “</w:t>
      </w:r>
      <w:r>
        <w:rPr>
          <w:rFonts w:ascii="Times New Roman;serif" w:hAnsi="Times New Roman;serif"/>
          <w:b/>
          <w:i/>
          <w:color w:val="000000"/>
          <w:sz w:val="22"/>
        </w:rPr>
        <w:t>Intellectual Property Rights</w:t>
      </w:r>
      <w:r>
        <w:rPr>
          <w:color w:val="000000"/>
        </w:rPr>
        <w:t>”</w:t>
      </w:r>
      <w:r>
        <w:rPr>
          <w:rFonts w:ascii="Times New Roman;serif" w:hAnsi="Times New Roman;serif"/>
          <w:b w:val="false"/>
          <w:color w:val="000000"/>
          <w:sz w:val="22"/>
        </w:rPr>
        <w:t>) reasonably necessary to conduct its businesses as described in the Prospectus and the Disclosure Package; and the expected expiration of any of such Intellectual Property Rights would not result in a Material Adverse Effect. None of the Capital Southwest Entities or CapTrin has received any notice of infringement or conflict with asserted intellectual property rights of others, which infringement or conflict, if the subject of an unfavorable decision, would result in a Material Adverse Effect. To the Company’s knowledge, none of the technology employed by the Capital Southwest Entities and/or CapTrin has been obtained or is being used by them in violation of any contractual obligation binding on them or any of their officers, directors or employees or otherwise in violation of the rights of any persons.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(r)    </w:t>
      </w:r>
      <w:r>
        <w:rPr>
          <w:rFonts w:ascii="Times New Roman;serif" w:hAnsi="Times New Roman;serif"/>
          <w:b w:val="false"/>
          <w:color w:val="000000"/>
          <w:sz w:val="22"/>
          <w:u w:val="single"/>
        </w:rPr>
        <w:t>All Necessary Permits, etc</w:t>
      </w:r>
      <w:r>
        <w:rPr>
          <w:rFonts w:ascii="Times New Roman;serif" w:hAnsi="Times New Roman;serif"/>
          <w:b w:val="false"/>
          <w:color w:val="000000"/>
          <w:sz w:val="22"/>
        </w:rPr>
        <w:t>. Each of the Capital Southwest Entities and CapTrin possesses such valid and current certificates, authorizations or permits issued by the appropriate state, federal or foreign regulatory agencies or bodies necessary to conduct its respective business, and the Company has neither received nor is aware of any notice of proceedings relating to the revocation or modification of, or non-compliance with, any such certificate, authorization or permit which, singly or in the aggregate, if the subject of an unfavorable decision, ruling or finding, could result in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(s)    </w:t>
      </w:r>
      <w:r>
        <w:rPr>
          <w:rFonts w:ascii="Times New Roman;serif" w:hAnsi="Times New Roman;serif"/>
          <w:b w:val="false"/>
          <w:color w:val="000000"/>
          <w:sz w:val="22"/>
          <w:u w:val="single"/>
        </w:rPr>
        <w:t>Absence of Proceedings</w:t>
      </w:r>
      <w:r>
        <w:rPr>
          <w:rFonts w:ascii="Times New Roman;serif" w:hAnsi="Times New Roman;serif"/>
          <w:b w:val="false"/>
          <w:color w:val="000000"/>
          <w:sz w:val="22"/>
        </w:rPr>
        <w:t>. There is no action, suit, proceeding, inquiry or investigation before or brought by any court or governmental agency or body, domestic or foreign, now pending, or, to the knowledge of the Company, threatened, against any of the Capital Southwest Entities or CapTrin which is required to be disclosed in the Registration Statement, the Prospectus or the Disclosure Package (other than as disclosed therein), or which might reasonably be expected to result in a Material Adverse Effect, or which might reasonably be expected to materially and adversely affect the consummation of the transactions contemplated in this Agreement, the Indenture, or the performance by the Company of its obligations under this Agreement, the Indenture or the DTC Agreement. All pending legal or governmental proceedings to which any Capital Southwest Entity or CapTrin is a party or of which any of such Capital Southwest Entity’s or CapTrin’s properties or assets are the subject which are not described in the Registration Statement, the Prospectus or the Disclosure Package, including ordinary routine litigation incidental to the business, could not, individually or in the aggregate,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(t)    </w:t>
      </w:r>
      <w:r>
        <w:rPr>
          <w:rFonts w:ascii="Times New Roman;serif" w:hAnsi="Times New Roman;serif"/>
          <w:b w:val="false"/>
          <w:color w:val="000000"/>
          <w:sz w:val="22"/>
          <w:u w:val="single"/>
        </w:rPr>
        <w:t>Accuracy of Descriptions and Exhibits</w:t>
      </w:r>
      <w:r>
        <w:rPr>
          <w:rFonts w:ascii="Times New Roman;serif" w:hAnsi="Times New Roman;serif"/>
          <w:b w:val="false"/>
          <w:color w:val="000000"/>
          <w:sz w:val="22"/>
        </w:rPr>
        <w:t xml:space="preserve">. There are no contracts or documents that are required to be described in the Registration Statement, the Prospectus or the Disclosure Package or to be filed as exhibits thereto that have not been so described, filed or incorporated by reference as required; provided, however, that the Company will file this Agreement and the Eighth Supplemental Indenture as exhibits to a Current Report on Form 8-K under the 1934 Act. </w:t>
      </w:r>
    </w:p>
    <w:p>
      <w:pPr>
        <w:pStyle w:val="TextBody"/>
        <w:bidi w:val="0"/>
        <w:spacing w:lineRule="auto" w:line="288" w:before="0" w:after="240"/>
        <w:ind w:left="0" w:right="0" w:firstLine="720"/>
        <w:jc w:val="both"/>
        <w:rPr/>
      </w:pPr>
      <w:r>
        <w:rPr>
          <w:rFonts w:ascii="Times New Roman;serif" w:hAnsi="Times New Roman;serif"/>
          <w:b w:val="false"/>
          <w:color w:val="000000"/>
          <w:sz w:val="22"/>
        </w:rPr>
        <w:t>(u)    </w:t>
      </w:r>
      <w:r>
        <w:rPr>
          <w:rFonts w:ascii="Times New Roman;serif" w:hAnsi="Times New Roman;serif"/>
          <w:b w:val="false"/>
          <w:color w:val="000000"/>
          <w:sz w:val="22"/>
          <w:u w:val="single"/>
        </w:rPr>
        <w:t>Regulated Investment Company</w:t>
      </w:r>
      <w:r>
        <w:rPr>
          <w:rFonts w:ascii="Times New Roman;serif" w:hAnsi="Times New Roman;serif"/>
          <w:b w:val="false"/>
          <w:color w:val="000000"/>
          <w:sz w:val="22"/>
        </w:rPr>
        <w:t>. The Company has been and is in compliance with the requirements of Subchapter M of the Code to qualify as a RIC under the Code. The Company will direct the investment of the net proceeds of the Offering of the Securities and continue to conduct its activities in such a manner as to comply with the requirements of Subchapter M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2"/>
        </w:rPr>
        <w:t>(v)    </w:t>
      </w:r>
      <w:r>
        <w:rPr>
          <w:rFonts w:ascii="Times New Roman;serif" w:hAnsi="Times New Roman;serif"/>
          <w:b w:val="false"/>
          <w:color w:val="000000"/>
          <w:sz w:val="22"/>
          <w:u w:val="single"/>
        </w:rPr>
        <w:t>Registered Management Investment Company Status</w:t>
      </w:r>
      <w:r>
        <w:rPr>
          <w:rFonts w:ascii="Times New Roman;serif" w:hAnsi="Times New Roman;serif"/>
          <w:b w:val="false"/>
          <w:color w:val="000000"/>
          <w:sz w:val="22"/>
        </w:rPr>
        <w:t>. None of the Capital Southwest Entities or CapTrin is, or after giving effect to the Offering and sale of the Securities, will be a “registered management investment company” or an entity “controlled” by a “registered management investment company,” as such terms are used under the 1940 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9410"/>
                <wp:effectExtent l="0" t="0" r="0" b="0"/>
                <wp:wrapNone/>
                <wp:docPr id="14" name="Frame14"/>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(w)    </w:t>
      </w:r>
      <w:r>
        <w:rPr>
          <w:rFonts w:ascii="Times New Roman;serif" w:hAnsi="Times New Roman;serif"/>
          <w:b w:val="false"/>
          <w:color w:val="000000"/>
          <w:sz w:val="22"/>
          <w:u w:val="single"/>
        </w:rPr>
        <w:t>Insurance</w:t>
      </w:r>
      <w:r>
        <w:rPr>
          <w:rFonts w:ascii="Times New Roman;serif" w:hAnsi="Times New Roman;serif"/>
          <w:b w:val="false"/>
          <w:color w:val="000000"/>
          <w:sz w:val="22"/>
        </w:rPr>
        <w:t>. The Capital Southwest Entities and CapTrin maintain insurance covering their properties, operations, personnel and business as they deem adequate; such insurance insures against such losses and risks to an extent which is adequate in accordance with customary industry practice to protect the Capital Southwest Entities and CapTrin, as applicable, and their business; all such insurance is fully in force on the date hereof and will be fully in force at the time of purchase of the Securities.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(x)    </w:t>
      </w:r>
      <w:r>
        <w:rPr>
          <w:rFonts w:ascii="Times New Roman;serif" w:hAnsi="Times New Roman;serif"/>
          <w:b w:val="false"/>
          <w:color w:val="000000"/>
          <w:sz w:val="22"/>
          <w:u w:val="single"/>
        </w:rPr>
        <w:t>Statistical, Demographic or Market-Related Data</w:t>
      </w:r>
      <w:r>
        <w:rPr>
          <w:rFonts w:ascii="Times New Roman;serif" w:hAnsi="Times New Roman;serif"/>
          <w:b w:val="false"/>
          <w:color w:val="000000"/>
          <w:sz w:val="22"/>
        </w:rPr>
        <w:t>. All statistical, demographic or market-related data included in the Registration Statement, the Disclosure Package or the Prospectus are based on or derived from sources that the Company believes to be reliable and accurate and all such data included in the Registration Statement, the Disclosure Package or the Prospectus accurately reflects the materials upon which it is based or from which it was derived.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(y)    </w:t>
      </w:r>
      <w:r>
        <w:rPr>
          <w:rFonts w:ascii="Times New Roman;serif" w:hAnsi="Times New Roman;serif"/>
          <w:b w:val="false"/>
          <w:color w:val="000000"/>
          <w:sz w:val="22"/>
          <w:u w:val="single"/>
        </w:rPr>
        <w:t>Investments</w:t>
      </w:r>
      <w:r>
        <w:rPr>
          <w:rFonts w:ascii="Times New Roman;serif" w:hAnsi="Times New Roman;serif"/>
          <w:b w:val="false"/>
          <w:color w:val="000000"/>
          <w:sz w:val="22"/>
        </w:rPr>
        <w:t>. Except as provided for in the 1940 Act, the Code and the Small Business Investment Act of 1958, as amended, and the regulations promulgated thereunder (the “</w:t>
      </w:r>
      <w:r>
        <w:rPr>
          <w:rFonts w:ascii="Times New Roman;serif" w:hAnsi="Times New Roman;serif"/>
          <w:b/>
          <w:i/>
          <w:color w:val="000000"/>
          <w:sz w:val="22"/>
        </w:rPr>
        <w:t>SBA Regulations</w:t>
      </w:r>
      <w:r>
        <w:rPr>
          <w:color w:val="000000"/>
        </w:rPr>
        <w:t>”</w:t>
      </w:r>
      <w:r>
        <w:rPr>
          <w:rFonts w:ascii="Times New Roman;serif" w:hAnsi="Times New Roman;serif"/>
          <w:b w:val="false"/>
          <w:color w:val="000000"/>
          <w:sz w:val="22"/>
        </w:rPr>
        <w:t>), there are no material restrictions, limitations or regulations with respect to the ability of the Company, the SBIC Fund I or the SBIC Fund II to invest its assets as described in the Disclosure Package or the Prospectus.</w:t>
      </w:r>
    </w:p>
    <w:p>
      <w:pPr>
        <w:pStyle w:val="TextBody"/>
        <w:bidi w:val="0"/>
        <w:spacing w:lineRule="auto" w:line="288" w:before="0" w:after="240"/>
        <w:ind w:left="0" w:right="0" w:firstLine="720"/>
        <w:jc w:val="both"/>
        <w:rPr/>
      </w:pPr>
      <w:r>
        <w:rPr>
          <w:rFonts w:ascii="Times New Roman;serif" w:hAnsi="Times New Roman;serif"/>
          <w:b w:val="false"/>
          <w:color w:val="000000"/>
          <w:sz w:val="22"/>
        </w:rPr>
        <w:t>(z)    </w:t>
      </w:r>
      <w:r>
        <w:rPr>
          <w:rFonts w:ascii="Times New Roman;serif" w:hAnsi="Times New Roman;serif"/>
          <w:b w:val="false"/>
          <w:color w:val="000000"/>
          <w:sz w:val="22"/>
          <w:u w:val="single"/>
        </w:rPr>
        <w:t>Tax Law Compliance</w:t>
      </w:r>
      <w:r>
        <w:rPr>
          <w:rFonts w:ascii="Times New Roman;serif" w:hAnsi="Times New Roman;serif"/>
          <w:b w:val="false"/>
          <w:color w:val="000000"/>
          <w:sz w:val="22"/>
        </w:rPr>
        <w:t>. Each of the Capital Southwest Entities and CapTrin has filed all necessary federal, state, local and foreign tax returns and have paid all taxes required to be paid by any of them and, if due and payable, any related or similar assessment, fine or penalty levied against any of them, in each case, except (i) to the extent that such taxes, assessments, fines or penalties have not become due or are being contested in good faith or (ii) where failure to do so would not, individually or in the aggregate, reasonably be expected to have a Material Adverse Effect. The Company has made adequate charges, accruals and reserves in the applicable financial statements referred to in the Prospectus and the Disclosure Package in respect of all material federal, state, local and foreign taxes for all periods as to which the tax liability of the Capital Southwest Entities have not been finally determined. The Company is not aware of any tax deficiency that has been or might be asserted or threatened against any of the Capital Southwest Entities or CapTrin that could result in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(aa)    </w:t>
      </w:r>
      <w:r>
        <w:rPr>
          <w:rFonts w:ascii="Times New Roman;serif" w:hAnsi="Times New Roman;serif"/>
          <w:b w:val="false"/>
          <w:color w:val="000000"/>
          <w:sz w:val="22"/>
          <w:u w:val="single"/>
        </w:rPr>
        <w:t>Distribution of Offering Materials</w:t>
      </w:r>
      <w:r>
        <w:rPr>
          <w:rFonts w:ascii="Times New Roman;serif" w:hAnsi="Times New Roman;serif"/>
          <w:b w:val="false"/>
          <w:color w:val="000000"/>
          <w:sz w:val="22"/>
        </w:rPr>
        <w:t xml:space="preserve">. The Company has not distributed and will not distribute any offering material in connection with the Offering and sale of the Securities other than the Registration Statement, the Prospectus, the Disclosure Package and the Additional Disclosure Items (as defined in </w:t>
      </w:r>
      <w:r>
        <w:rPr>
          <w:rFonts w:ascii="Times New Roman;serif" w:hAnsi="Times New Roman;serif"/>
          <w:b w:val="false"/>
          <w:color w:val="000000"/>
          <w:sz w:val="22"/>
          <w:u w:val="single"/>
        </w:rPr>
        <w:t>Section 3(f)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(bb)    </w:t>
      </w:r>
      <w:r>
        <w:rPr>
          <w:rFonts w:ascii="Times New Roman;serif" w:hAnsi="Times New Roman;serif"/>
          <w:b w:val="false"/>
          <w:color w:val="000000"/>
          <w:sz w:val="22"/>
          <w:u w:val="single"/>
        </w:rPr>
        <w:t>Absence of Registration Rights</w:t>
      </w:r>
      <w:r>
        <w:rPr>
          <w:rFonts w:ascii="Times New Roman;serif" w:hAnsi="Times New Roman;serif"/>
          <w:b w:val="false"/>
          <w:color w:val="000000"/>
          <w:sz w:val="22"/>
        </w:rPr>
        <w:t>. Except as disclosed in the Prospectus and the Disclosure Package, there are no persons with registration rights or other similar rights to have any securities registered pursuant to the Registration Statement or otherwise registered by the Company under the 1933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(cc)    </w:t>
      </w:r>
      <w:r>
        <w:rPr>
          <w:rFonts w:ascii="Times New Roman;serif" w:hAnsi="Times New Roman;serif"/>
          <w:b w:val="false"/>
          <w:color w:val="000000"/>
          <w:sz w:val="22"/>
          <w:u w:val="single"/>
        </w:rPr>
        <w:t>Nasdaq Stock Market</w:t>
      </w:r>
      <w:r>
        <w:rPr>
          <w:rFonts w:ascii="Times New Roman;serif" w:hAnsi="Times New Roman;serif"/>
          <w:b w:val="false"/>
          <w:color w:val="000000"/>
          <w:sz w:val="22"/>
        </w:rPr>
        <w:t>. The common stock of the Company is registered pursuant to Section 12(b) of the 1934 Act and has been approved for listing on the Nasdaq Global Select Market and the Company has taken no action designed to, or likely to have the effect of, terminating the registration of the common stock of the Company under the 1934 Act or delisting the common stock of the Company from the Nasdaq Global Select Market, nor has the Company received any notification that the Commission or the Nasdaq Global Select Market is contemplating terminating such registration or listing. The Company has continued to satisfy, in all material respects, all requirements for listing the Company’s common stock for trading on the Nasdaq Global Select Market.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9410"/>
                <wp:effectExtent l="0" t="0" r="0" b="0"/>
                <wp:wrapNone/>
                <wp:docPr id="15" name="Frame15"/>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(dd)    </w:t>
      </w:r>
      <w:r>
        <w:rPr>
          <w:rFonts w:ascii="Times New Roman;serif" w:hAnsi="Times New Roman;serif"/>
          <w:b w:val="false"/>
          <w:color w:val="000000"/>
          <w:sz w:val="22"/>
          <w:u w:val="single"/>
        </w:rPr>
        <w:t>No Price Stabilization or Manipulation</w:t>
      </w:r>
      <w:r>
        <w:rPr>
          <w:rFonts w:ascii="Times New Roman;serif" w:hAnsi="Times New Roman;serif"/>
          <w:b w:val="false"/>
          <w:color w:val="000000"/>
          <w:sz w:val="22"/>
        </w:rPr>
        <w:t>. The Company has not taken and will not take, directly or indirectly, any action designed to or that might be reasonably expected to cause or result in stabilization or manipulation of the price of any security of the Company to facilitate the sale or resale of the Securities.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(ee)    </w:t>
      </w:r>
      <w:r>
        <w:rPr>
          <w:rFonts w:ascii="Times New Roman;serif" w:hAnsi="Times New Roman;serif"/>
          <w:b w:val="false"/>
          <w:color w:val="000000"/>
          <w:sz w:val="22"/>
          <w:u w:val="single"/>
        </w:rPr>
        <w:t>Material Relationship with the Underwriters</w:t>
      </w:r>
      <w:r>
        <w:rPr>
          <w:rFonts w:ascii="Times New Roman;serif" w:hAnsi="Times New Roman;serif"/>
          <w:b w:val="false"/>
          <w:color w:val="000000"/>
          <w:sz w:val="22"/>
        </w:rPr>
        <w:t>. Except as disclosed in the Disclosure Package and the Prospectus (including with respect to (i) the program with certain Underwriters or certain affiliates thereof through which the Company may sell shares of its common stock by means of at-the-market offerings from time to time, (ii) the Company’s senior secured revolving credit facility with a certain Underwriter or certain affiliates thereof, (iii) CapTrin’s special purpose vehicle financing facility with a certain Underwriter or certain affiliates thereof and (iv) the Company’s special purpose vehicle financing facility with a certain Underwriter or certain affiliates thereof), none of the Capital Southwest Entities or CapTrin has any material lending or other relationship with a bank or lending institution affiliated with any of the Underwriters.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(ff)    </w:t>
      </w:r>
      <w:r>
        <w:rPr>
          <w:rFonts w:ascii="Times New Roman;serif" w:hAnsi="Times New Roman;serif"/>
          <w:b w:val="false"/>
          <w:color w:val="000000"/>
          <w:sz w:val="22"/>
          <w:u w:val="single"/>
        </w:rPr>
        <w:t>No Unlawful Contributions or Other Payments</w:t>
      </w:r>
      <w:r>
        <w:rPr>
          <w:rFonts w:ascii="Times New Roman;serif" w:hAnsi="Times New Roman;serif"/>
          <w:b w:val="false"/>
          <w:color w:val="000000"/>
          <w:sz w:val="22"/>
        </w:rPr>
        <w:t>. Neither the Capital Southwest Entities nor CapTrin nor, to the Company’s knowledge, any employee or agent of any of the Capital Southwest Entities or CapTrin, has made any contribution or other payment to any official of, or candidate for, any federal, state or foreign office in violation of any law or of the character required to be disclosed in the Prospectus and the Disclosure Package.</w:t>
      </w:r>
    </w:p>
    <w:p>
      <w:pPr>
        <w:pStyle w:val="TextBody"/>
        <w:bidi w:val="0"/>
        <w:spacing w:lineRule="auto" w:line="288" w:before="0" w:after="240"/>
        <w:ind w:left="0" w:right="0" w:firstLine="720"/>
        <w:jc w:val="both"/>
        <w:rPr/>
      </w:pPr>
      <w:r>
        <w:rPr>
          <w:rFonts w:ascii="Times New Roman;serif" w:hAnsi="Times New Roman;serif"/>
          <w:b w:val="false"/>
          <w:color w:val="000000"/>
          <w:sz w:val="22"/>
        </w:rPr>
        <w:t>(gg)    </w:t>
      </w:r>
      <w:r>
        <w:rPr>
          <w:rFonts w:ascii="Times New Roman;serif" w:hAnsi="Times New Roman;serif"/>
          <w:b w:val="false"/>
          <w:color w:val="000000"/>
          <w:sz w:val="22"/>
          <w:u w:val="single"/>
        </w:rPr>
        <w:t>No Outstanding Loans or Other Indebtedness</w:t>
      </w:r>
      <w:r>
        <w:rPr>
          <w:rFonts w:ascii="Times New Roman;serif" w:hAnsi="Times New Roman;serif"/>
          <w:b w:val="false"/>
          <w:color w:val="000000"/>
          <w:sz w:val="22"/>
        </w:rPr>
        <w:t>. There are no outstanding loans, advances (except normal advances for business expenses in the ordinary course of business) or guarantees of indebtedness by the Company to or for the benefit of any of the officers or directors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(hh)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Each of the Capital Southwest Entities and CapTrin (i) is conducting its business in compliance with all laws, rules, regulations, decisions, directives and orders except for such failure to comply which would not reasonably be expected to result in a Material Adverse Effect and (ii) is conducting its business in compliance in all material respects with the applicable requirements of the SBA Regulations and the 1940 Act, except for such failure to comply which would not reasonably be expected to result in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(ii)    </w:t>
      </w:r>
      <w:r>
        <w:rPr>
          <w:rFonts w:ascii="Times New Roman;serif" w:hAnsi="Times New Roman;serif"/>
          <w:b w:val="false"/>
          <w:color w:val="000000"/>
          <w:sz w:val="22"/>
          <w:u w:val="single"/>
        </w:rPr>
        <w:t>Compliance with the Sarbanes-Oxley Act of 2002</w:t>
      </w:r>
      <w:r>
        <w:rPr>
          <w:rFonts w:ascii="Times New Roman;serif" w:hAnsi="Times New Roman;serif"/>
          <w:b w:val="false"/>
          <w:color w:val="000000"/>
          <w:sz w:val="22"/>
        </w:rPr>
        <w:t>. The Company and, to its knowledge, its officers and directors (in such capacity) are in compliance with the provisions of the Sarbanes-Oxley Act of 2002 and the Commission’s published rules promulgated thereunder that are applicable to the Company as of the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(jj)    </w:t>
      </w:r>
      <w:r>
        <w:rPr>
          <w:rFonts w:ascii="Times New Roman;serif" w:hAnsi="Times New Roman;serif"/>
          <w:b w:val="false"/>
          <w:color w:val="000000"/>
          <w:sz w:val="22"/>
          <w:u w:val="single"/>
        </w:rPr>
        <w:t>Anti-Money Laundering, Foreign Corrupt Practices Act Compliance</w:t>
      </w:r>
      <w:r>
        <w:rPr>
          <w:rFonts w:ascii="Times New Roman;serif" w:hAnsi="Times New Roman;serif"/>
          <w:b w:val="false"/>
          <w:color w:val="000000"/>
          <w:sz w:val="22"/>
        </w:rPr>
        <w:t>. The operations of the Capital Southwest Entities and CapTrin are and have been conducted at all times in compliance with applicable financial record-keeping and reporting requirements, including those of the Currency and Foreign Transactions Reporting Act of 1970, as amended, those of the Bank Secrecy Act, as amended by Title III of the Uniting and Strengthening America by Providing Appropriate Tools Required to Intercept and Obstruct Terrorism Act of 2001 (USA PATRIOT Act), and the applicable money laundering statutes of all jurisdictions in which the Capital Southwest Entities, CapTrin and their respective affiliates conduct business, and the applicable rules and regulations thereunder, and any related or similar rules, regulations or guidelines, issued, administered or enforced by any governmental or regulatory agency (collectively, the “</w:t>
      </w:r>
      <w:r>
        <w:rPr>
          <w:rFonts w:ascii="Times New Roman;serif" w:hAnsi="Times New Roman;serif"/>
          <w:b/>
          <w:i/>
          <w:color w:val="000000"/>
          <w:sz w:val="22"/>
        </w:rPr>
        <w:t>Anti</w:t>
      </w:r>
      <w:r>
        <w:rPr>
          <w:rFonts w:ascii="Times New Roman;serif" w:hAnsi="Times New Roman;serif"/>
          <w:b/>
          <w:color w:val="000000"/>
          <w:sz w:val="22"/>
        </w:rPr>
        <w:t>-</w:t>
      </w:r>
      <w:r>
        <w:rPr>
          <w:rFonts w:ascii="Times New Roman;serif" w:hAnsi="Times New Roman;serif"/>
          <w:b/>
          <w:i/>
          <w:color w:val="000000"/>
          <w:sz w:val="22"/>
        </w:rPr>
        <w:t>Money Laundering Laws</w:t>
      </w:r>
      <w:r>
        <w:rPr>
          <w:color w:val="000000"/>
        </w:rPr>
        <w:t>”</w:t>
      </w:r>
      <w:r>
        <w:rPr>
          <w:rFonts w:ascii="Times New Roman;serif" w:hAnsi="Times New Roman;serif"/>
          <w:b w:val="false"/>
          <w:color w:val="000000"/>
          <w:sz w:val="22"/>
        </w:rPr>
        <w:t xml:space="preserve">), and no action, suit or proceeding by or before any court or governmental agency, authority or body or any arbitrator involving the Capital Southwest Entities or CapTrin with respect to the Anti-Money Laundering Laws is pending or, to the Company’s knowledge,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9410"/>
                <wp:effectExtent l="0" t="0" r="0" b="0"/>
                <wp:wrapNone/>
                <wp:docPr id="16" name="Frame16"/>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threatened. Neither the Capital Southwest Entities nor CapTrin nor, to the knowledge of the Company, any director, officer, partner, manager, agent, employee or other person acting on behalf of the Capital Southwest Entities or CapTrin has (i) used any corporate funds for any unlawful contribution, gift, entertainment or other unlawful expenses relating to political activity; (ii) made any direct or indirect unlawful payment to any foreign or domestic government official or employee; (iii) violated or is in violation of any provision of the Foreign Corrupt Practices Act of 1977, as amended, or any other applicable anti-bribery or anti-corruption law, including the UK Bribery Act 2010; (iv) made any bribe, rebate, payoff, influence payment, kickback or other unlawful payment; or (v) made any payment of funds or received or retained funds in violation of any such law, rule or regulation.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(kk)    </w:t>
      </w:r>
      <w:r>
        <w:rPr>
          <w:rFonts w:ascii="Times New Roman;serif" w:hAnsi="Times New Roman;serif"/>
          <w:b w:val="false"/>
          <w:color w:val="000000"/>
          <w:sz w:val="22"/>
          <w:u w:val="single"/>
        </w:rPr>
        <w:t>No Sanctions by the Office of Foreign Assets Control</w:t>
      </w:r>
      <w:r>
        <w:rPr>
          <w:rFonts w:ascii="Times New Roman;serif" w:hAnsi="Times New Roman;serif"/>
          <w:b w:val="false"/>
          <w:color w:val="000000"/>
          <w:sz w:val="22"/>
        </w:rPr>
        <w:t>. None of the Capital Southwest Entities, CapTrin or any director or officer of the Capital Southwest Entities or, to the knowledge of the Company, any agent, employee or representative of the Capital Southwest Entities or CapTrin, or other person acting on behalf of the Capital Southwest Entities or CapTrin is currently the subject or target of any sanctions administered or enforced by the U.S. government (including, without limitation, the Office of Foreign Assets Control of the U.S. Treasury Department or the U.S. Department of State and including the designation as a “specially designated national” or “blocked person”), the United Nations Security Council, the European Union, His Majesty’s Treasury of the United Kingdom, Japan (including the Ministry of Foreign Affairs and the Ministry of Economy, Trade and Industry), or other relevant sanctions authority (collectively, “</w:t>
      </w:r>
      <w:r>
        <w:rPr>
          <w:rFonts w:ascii="Times New Roman;serif" w:hAnsi="Times New Roman;serif"/>
          <w:b/>
          <w:i/>
          <w:color w:val="000000"/>
          <w:sz w:val="22"/>
        </w:rPr>
        <w:t>Sanctions</w:t>
      </w:r>
      <w:r>
        <w:rPr>
          <w:color w:val="000000"/>
        </w:rPr>
        <w:t>”</w:t>
      </w:r>
      <w:r>
        <w:rPr>
          <w:rFonts w:ascii="Times New Roman;serif" w:hAnsi="Times New Roman;serif"/>
          <w:b w:val="false"/>
          <w:color w:val="000000"/>
          <w:sz w:val="22"/>
        </w:rPr>
        <w:t>), is located, organized, or resident in a Sanctioned Country (defined below), or is owned or controlled by, or acting on behalf of, a person that is the subject or target of Sanctions, and none of the Capital Southwest Entities, CapTrin or any of their respective affiliates is located, organized or resident in a country or territory that is the target of Sanctions, including Cuba, Iran, North Korea, the Crimea, Donetsk, Luhansk, Zaporizhzhia, and Kherson Regions of Ukraine, Sudan or any other country or territory that is, or whose government is, the subject of comprehensive Sanctions (each, a “</w:t>
      </w:r>
      <w:r>
        <w:rPr>
          <w:rFonts w:ascii="Times New Roman;serif" w:hAnsi="Times New Roman;serif"/>
          <w:b/>
          <w:i/>
          <w:color w:val="000000"/>
          <w:sz w:val="22"/>
        </w:rPr>
        <w:t>Sanctioned Country</w:t>
      </w:r>
      <w:r>
        <w:rPr>
          <w:color w:val="000000"/>
        </w:rPr>
        <w:t>”</w:t>
      </w:r>
      <w:r>
        <w:rPr>
          <w:rFonts w:ascii="Times New Roman;serif" w:hAnsi="Times New Roman;serif"/>
          <w:b w:val="false"/>
          <w:color w:val="000000"/>
          <w:sz w:val="22"/>
        </w:rPr>
        <w:t>); and the Company and the Capital Southwest Entities will not directly or indirectly use the proceeds of the Offering, or lend, contribute or otherwise make available such proceeds to any subsidiary, joint venture partner, affiliate, or other person or entity (i) to fund or facilitate any unlawful activities of or business with any person that, at the time of such funding or facilitation, is the subject or target of Sanctions, is owned or controlled by a person that is the subject or target of Sanctions, or is organized, resident, or located in a Sanctioned Country, or (ii) to fund or facilitate any unlawful activities of or business in any Sanctioned Country, or (iii) in any other manner that will result in a violation by any person (including any person participating in the transaction, whether as underwriter, advisor, investor or otherwise) of Sanctions. Since April 24, 2019, none of the Capital Southwest Entities or their respective affiliates have engaged in or is now engaged in, and none of the Capital Southwest Entities or CapTrin will engage in, any dealings or transactions with any person that at the time of the dealing or transaction is or was the subject or target of Sanctions or with any Sanctioned Country.</w:t>
      </w:r>
    </w:p>
    <w:p>
      <w:pPr>
        <w:pStyle w:val="TextBody"/>
        <w:bidi w:val="0"/>
        <w:spacing w:lineRule="auto" w:line="288" w:before="0" w:after="240"/>
        <w:ind w:left="0" w:right="0" w:firstLine="720"/>
        <w:jc w:val="both"/>
        <w:rPr/>
      </w:pPr>
      <w:r>
        <w:rPr>
          <w:rFonts w:ascii="Times New Roman;serif" w:hAnsi="Times New Roman;serif"/>
          <w:b w:val="false"/>
          <w:color w:val="000000"/>
          <w:sz w:val="22"/>
        </w:rPr>
        <w:t>(ll)    </w:t>
      </w:r>
      <w:r>
        <w:rPr>
          <w:rFonts w:ascii="Times New Roman;serif" w:hAnsi="Times New Roman;serif"/>
          <w:b w:val="false"/>
          <w:color w:val="000000"/>
          <w:sz w:val="22"/>
          <w:u w:val="single"/>
        </w:rPr>
        <w:t>No Discrimination</w:t>
      </w:r>
      <w:r>
        <w:rPr>
          <w:rFonts w:ascii="Times New Roman;serif" w:hAnsi="Times New Roman;serif"/>
          <w:b w:val="false"/>
          <w:i/>
          <w:color w:val="000000"/>
          <w:sz w:val="22"/>
        </w:rPr>
        <w:t xml:space="preserve">. </w:t>
      </w:r>
      <w:r>
        <w:rPr>
          <w:rFonts w:ascii="Times New Roman;serif" w:hAnsi="Times New Roman;serif"/>
          <w:b w:val="false"/>
          <w:color w:val="000000"/>
          <w:sz w:val="22"/>
          <w:shd w:fill="FFFFFF" w:val="clear"/>
        </w:rPr>
        <w:t>None of the Capital Southwest Entities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would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(mm)    </w:t>
      </w:r>
      <w:r>
        <w:rPr>
          <w:rFonts w:ascii="Times New Roman;serif" w:hAnsi="Times New Roman;serif"/>
          <w:b w:val="false"/>
          <w:color w:val="000000"/>
          <w:sz w:val="22"/>
          <w:u w:val="single"/>
        </w:rPr>
        <w:t>1934 Act Compliance</w:t>
      </w:r>
      <w:r>
        <w:rPr>
          <w:rFonts w:ascii="Times New Roman;serif" w:hAnsi="Times New Roman;serif"/>
          <w:b w:val="false"/>
          <w:color w:val="000000"/>
          <w:sz w:val="22"/>
        </w:rPr>
        <w:t xml:space="preserve">. The documents deemed to be incorporated by reference in the Registration Statement, the Preliminary Prospectus and the Prospectus, at the time they are filed with the Commission, comply and will comply, as applicable, in all material respects with the requirements of the 1934 Act, and, when read together with the other information in the Registration Statement, the Preliminary Prospectus and the Prospectus, as of the date hereof, the Applicable Time and the Closing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9410"/>
                <wp:effectExtent l="0" t="0" r="0" b="0"/>
                <wp:wrapNone/>
                <wp:docPr id="17" name="Frame17"/>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Time, do not and will not, as applicable,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(nn)    </w:t>
      </w:r>
      <w:r>
        <w:rPr>
          <w:rFonts w:ascii="Times New Roman;serif" w:hAnsi="Times New Roman;serif"/>
          <w:b w:val="false"/>
          <w:color w:val="000000"/>
          <w:sz w:val="22"/>
          <w:u w:val="single"/>
        </w:rPr>
        <w:t>ERISA</w:t>
      </w:r>
      <w:r>
        <w:rPr>
          <w:rFonts w:ascii="Times New Roman;serif" w:hAnsi="Times New Roman;serif"/>
          <w:b w:val="false"/>
          <w:color w:val="000000"/>
          <w:sz w:val="22"/>
        </w:rPr>
        <w:t>. Each employee benefit plan, within the meaning of Section 3(3) of the Employee Retirement Income Security Act of 1974, as amended (“</w:t>
      </w:r>
      <w:r>
        <w:rPr>
          <w:rFonts w:ascii="Times New Roman;serif" w:hAnsi="Times New Roman;serif"/>
          <w:b/>
          <w:i/>
          <w:color w:val="000000"/>
          <w:sz w:val="22"/>
        </w:rPr>
        <w:t>ERISA</w:t>
      </w:r>
      <w:r>
        <w:rPr>
          <w:color w:val="000000"/>
        </w:rPr>
        <w:t>”</w:t>
      </w:r>
      <w:r>
        <w:rPr>
          <w:rFonts w:ascii="Times New Roman;serif" w:hAnsi="Times New Roman;serif"/>
          <w:b w:val="false"/>
          <w:color w:val="000000"/>
          <w:sz w:val="22"/>
        </w:rPr>
        <w:t>), and all stock purchase, stock option, stock-based severance, employment, change-in-control, medical, disability, fringe benefit, bonus, incentive, deferred compensation, employee loan and all other employee benefit plans, agreements, programs, policies or other arrangements, whether or not subject to ERISA, that is maintained, administered or contributed to by any of the Capital Southwest Entities for employees or former employees, directors or independent contractors of the Capital Southwest Entities or under which any of the Capital Southwest Entities has had or has any present or future obligation or liability, has been maintained in material compliance with its terms and the requirements of any applicable federal, state, local and foreign laws, statutes, orders, rules and regulations, including but not limited to ERISA and the Code;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no event has occurred (including a “reportable event” as such term is defined in Section 4043 of ERISA) and no condition exists that would subject the Company to any material tax, fine, lien, penalty, or liability imposed by ERISA, the Code or other applicable law;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(oo)    </w:t>
      </w:r>
      <w:r>
        <w:rPr>
          <w:rFonts w:ascii="Times New Roman;serif" w:hAnsi="Times New Roman;serif"/>
          <w:b w:val="false"/>
          <w:color w:val="000000"/>
          <w:sz w:val="22"/>
          <w:u w:val="single"/>
        </w:rPr>
        <w:t>Related Party Transactions</w:t>
      </w:r>
      <w:r>
        <w:rPr>
          <w:rFonts w:ascii="Times New Roman;serif" w:hAnsi="Times New Roman;serif"/>
          <w:b w:val="false"/>
          <w:color w:val="000000"/>
          <w:sz w:val="22"/>
        </w:rPr>
        <w:t>. There are no business relationships or related-party transactions involving the Capital Southwest Entities or any other person required to be described in the Preliminary Prospectus or the Prospectus which have not been described as required.</w:t>
      </w:r>
    </w:p>
    <w:p>
      <w:pPr>
        <w:pStyle w:val="TextBody"/>
        <w:bidi w:val="0"/>
        <w:spacing w:lineRule="auto" w:line="288" w:before="0" w:after="240"/>
        <w:ind w:left="0" w:right="0" w:firstLine="720"/>
        <w:jc w:val="both"/>
        <w:rPr/>
      </w:pPr>
      <w:r>
        <w:rPr>
          <w:rFonts w:ascii="Times New Roman;serif" w:hAnsi="Times New Roman;serif"/>
          <w:b w:val="false"/>
          <w:color w:val="000000"/>
          <w:sz w:val="22"/>
        </w:rPr>
        <w:t>(pp)    </w:t>
      </w:r>
      <w:r>
        <w:rPr>
          <w:rFonts w:ascii="Times New Roman;serif" w:hAnsi="Times New Roman;serif"/>
          <w:b w:val="false"/>
          <w:color w:val="000000"/>
          <w:sz w:val="22"/>
          <w:u w:val="single"/>
          <w:shd w:fill="FFFFFF" w:val="clear"/>
        </w:rPr>
        <w:t>Rule 405 Confirmation</w:t>
      </w:r>
      <w:r>
        <w:rPr>
          <w:rFonts w:ascii="Times New Roman;serif" w:hAnsi="Times New Roman;serif"/>
          <w:b w:val="false"/>
          <w:color w:val="000000"/>
          <w:sz w:val="22"/>
          <w:shd w:fill="FFFFFF" w:val="clear"/>
        </w:rPr>
        <w:t>. At the time of filing the Registration Statement and any post-effective amendment thereto, at the earliest time thereafter that the Company or another offering participant made a bona fide offer (within the meaning of Rule 164(h)(2) under the 1933 Act) of the Securities and at the date hereof, the Company was not and is not an “ineligible issuer,” as defined in Rule 405 under the 1933 Act, without taking account of any determination by the Commission pursuant to Rule 405 that it is not necessary that the Company be considered an ineligible issuer.</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(qq)    </w:t>
      </w:r>
      <w:r>
        <w:rPr>
          <w:rFonts w:ascii="Times New Roman;serif" w:hAnsi="Times New Roman;serif"/>
          <w:b w:val="false"/>
          <w:color w:val="000000"/>
          <w:sz w:val="22"/>
          <w:u w:val="single"/>
        </w:rPr>
        <w:t>Certificates</w:t>
      </w:r>
      <w:r>
        <w:rPr>
          <w:rFonts w:ascii="Times New Roman;serif" w:hAnsi="Times New Roman;serif"/>
          <w:b w:val="false"/>
          <w:color w:val="000000"/>
          <w:sz w:val="22"/>
        </w:rPr>
        <w:t>. Any certificate signed by any officer of the Company and delivered to any of the Underwriters or to counsel for the Underwriters shall be deemed a representation and warranty by the Company to each Underwriter as to the matters covered therein.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(rr)    </w:t>
      </w:r>
      <w:r>
        <w:rPr>
          <w:rFonts w:ascii="Times New Roman;serif" w:hAnsi="Times New Roman;serif"/>
          <w:b w:val="false"/>
          <w:color w:val="000000"/>
          <w:sz w:val="22"/>
          <w:u w:val="single"/>
        </w:rPr>
        <w:t>FINRA Matters</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 xml:space="preserve">To the Company’s knowledge, there are no affiliations or associations between any member of FINRA and any of the Company’s officers, directors or 5% or greater securityholders, except as set forth in the Registration Statement, the Disclosure Package and the Prospectus. </w:t>
      </w:r>
      <w:r>
        <w:rPr>
          <w:rFonts w:ascii="Times New Roman;serif" w:hAnsi="Times New Roman;serif"/>
          <w:b w:val="false"/>
          <w:color w:val="000000"/>
          <w:sz w:val="22"/>
        </w:rPr>
        <w:t>To the extent applicable, all of the information provided to the Representatives or to counsel for the Underwriters by the Company in connection with any letters, filings or other supplemental information provided to FINRA pursuant to FINRA Rules 2310 or 5121 is true, complete and correct in all material respects.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9410"/>
                <wp:effectExtent l="0" t="0" r="0" b="0"/>
                <wp:wrapNone/>
                <wp:docPr id="18" name="Frame18"/>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(ss)    </w:t>
      </w:r>
      <w:r>
        <w:rPr>
          <w:rFonts w:ascii="Times New Roman;serif" w:hAnsi="Times New Roman;serif"/>
          <w:b w:val="false"/>
          <w:color w:val="000000"/>
          <w:sz w:val="22"/>
          <w:u w:val="single"/>
        </w:rPr>
        <w:t>Subsidiary Dividend Payments</w:t>
      </w:r>
      <w:r>
        <w:rPr>
          <w:rFonts w:ascii="Times New Roman;serif" w:hAnsi="Times New Roman;serif"/>
          <w:b w:val="false"/>
          <w:color w:val="000000"/>
          <w:sz w:val="22"/>
        </w:rPr>
        <w:t>. Subject to the SBA Regulations, and except as disclosed in the Registration Statement, the Disclosure Package and the Prospectus and for such prohibitions pursuant to the SBA Regulations or that would not reasonably be expected to result in a Material Adverse Effect, neither the SBIC Fund I nor the SBIC Fund II is currently prohibited, directly or indirectly, from paying any dividends to the Company, from making any other distribution on such subsidiary’s equity interests, from repaying to the Company any loans or advances to such subsidiary from the Company or from transferring any of such subsidiary’s property or assets to the Company or any other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(tt)    </w:t>
      </w:r>
      <w:r>
        <w:rPr>
          <w:rFonts w:ascii="Times New Roman;serif" w:hAnsi="Times New Roman;serif"/>
          <w:b w:val="false"/>
          <w:color w:val="000000"/>
          <w:sz w:val="22"/>
          <w:u w:val="single"/>
        </w:rPr>
        <w:t>SBIC License and SBA Debentures</w:t>
      </w:r>
      <w:r>
        <w:rPr>
          <w:rFonts w:ascii="Times New Roman;serif" w:hAnsi="Times New Roman;serif"/>
          <w:b w:val="false"/>
          <w:i/>
          <w:color w:val="000000"/>
          <w:sz w:val="22"/>
        </w:rPr>
        <w:t xml:space="preserve">. </w:t>
      </w:r>
      <w:r>
        <w:rPr>
          <w:rFonts w:ascii="Times New Roman;serif" w:hAnsi="Times New Roman;serif"/>
          <w:b w:val="false"/>
          <w:color w:val="000000"/>
          <w:sz w:val="22"/>
        </w:rPr>
        <w:t>Each of the SBIC Fund I and the SBIC Fund II is licensed to operate as a Small Business Investment Company (“</w:t>
      </w:r>
      <w:r>
        <w:rPr>
          <w:rFonts w:ascii="Times New Roman;serif" w:hAnsi="Times New Roman;serif"/>
          <w:b/>
          <w:i/>
          <w:color w:val="000000"/>
          <w:sz w:val="22"/>
        </w:rPr>
        <w:t>SBIC</w:t>
      </w:r>
      <w:r>
        <w:rPr>
          <w:color w:val="000000"/>
        </w:rPr>
        <w:t>”</w:t>
      </w:r>
      <w:r>
        <w:rPr>
          <w:rFonts w:ascii="Times New Roman;serif" w:hAnsi="Times New Roman;serif"/>
          <w:b w:val="false"/>
          <w:color w:val="000000"/>
          <w:sz w:val="22"/>
        </w:rPr>
        <w:t>) by the U.S. Small Business Administration (“</w:t>
      </w:r>
      <w:r>
        <w:rPr>
          <w:rFonts w:ascii="Times New Roman;serif" w:hAnsi="Times New Roman;serif"/>
          <w:b/>
          <w:i/>
          <w:color w:val="000000"/>
          <w:sz w:val="22"/>
        </w:rPr>
        <w:t>SBA</w:t>
      </w:r>
      <w:r>
        <w:rPr>
          <w:color w:val="000000"/>
        </w:rPr>
        <w:t>”</w:t>
      </w:r>
      <w:r>
        <w:rPr>
          <w:rFonts w:ascii="Times New Roman;serif" w:hAnsi="Times New Roman;serif"/>
          <w:b w:val="false"/>
          <w:color w:val="000000"/>
          <w:sz w:val="22"/>
        </w:rPr>
        <w:t>). Each of the SBIC Fund I’s and the SBIC Fund II’s respective license to operate as an SBIC is in good standing with, and has not been revoked or suspended by, the SBA and no adverse regulatory findings contained in any examinations reports prepared by the SBA regarding either the SBIC Fund I or the SBIC Fund II are outstanding or unresolved. Each of the SBIC Fund I and the SBIC Fund II is conducting its business in compliance in all material respects with the applicable requirements of the SBA. Each of the SBIC Fund I and the SBIC Fund II may incur leverage by issuing SBA-guaranteed debentures (“</w:t>
      </w:r>
      <w:r>
        <w:rPr>
          <w:rFonts w:ascii="Times New Roman;serif" w:hAnsi="Times New Roman;serif"/>
          <w:b/>
          <w:i/>
          <w:color w:val="000000"/>
          <w:sz w:val="22"/>
        </w:rPr>
        <w:t>SBA Debentures</w:t>
      </w:r>
      <w:r>
        <w:rPr>
          <w:color w:val="000000"/>
        </w:rPr>
        <w:t>”</w:t>
      </w:r>
      <w:r>
        <w:rPr>
          <w:rFonts w:ascii="Times New Roman;serif" w:hAnsi="Times New Roman;serif"/>
          <w:b w:val="false"/>
          <w:color w:val="000000"/>
          <w:sz w:val="22"/>
        </w:rPr>
        <w:t xml:space="preserve">), subject to the issuance of a capital commitment by the SBA and other customary procedures, in the amounts and on the terms described in the Disclosure Package and the Prospectus. Neither the SBIC Fund I nor the SBIC Fund II is in default under the terms of any debenture which it has issued to the SBA for guaranty by the SBA or any other material monetary obligation, and no event, which with the passage of time, notice or both has occurred, which would be a default or event of default thereunder. </w:t>
      </w:r>
    </w:p>
    <w:p>
      <w:pPr>
        <w:pStyle w:val="TextBody"/>
        <w:bidi w:val="0"/>
        <w:spacing w:lineRule="auto" w:line="288" w:before="0" w:after="240"/>
        <w:ind w:left="0" w:right="0" w:firstLine="720"/>
        <w:jc w:val="both"/>
        <w:rPr/>
      </w:pPr>
      <w:r>
        <w:rPr>
          <w:rFonts w:ascii="Times New Roman;serif" w:hAnsi="Times New Roman;serif"/>
          <w:b w:val="false"/>
          <w:color w:val="000000"/>
          <w:sz w:val="22"/>
        </w:rPr>
        <w:t>(uu)    </w:t>
      </w:r>
      <w:r>
        <w:rPr>
          <w:rFonts w:ascii="Times New Roman;serif" w:hAnsi="Times New Roman;serif"/>
          <w:b w:val="false"/>
          <w:color w:val="000000"/>
          <w:sz w:val="22"/>
          <w:u w:val="single"/>
        </w:rPr>
        <w:t>Company Not Ineligible Issuer and Shelf Eligibility</w:t>
      </w:r>
      <w:r>
        <w:rPr>
          <w:rFonts w:ascii="Times New Roman;serif" w:hAnsi="Times New Roman;serif"/>
          <w:b w:val="false"/>
          <w:color w:val="000000"/>
          <w:sz w:val="22"/>
        </w:rPr>
        <w:t xml:space="preserve">. The Company is not an ineligible issuer, as defined in Rule 405 under the 1933 Act, at the times specified in Rule 405 under the 1933 Act in connection with the offering of the Securities, and is </w:t>
      </w:r>
      <w:r>
        <w:rPr>
          <w:rFonts w:ascii="Times New Roman;serif" w:hAnsi="Times New Roman;serif"/>
          <w:b w:val="false"/>
          <w:color w:val="000000"/>
          <w:sz w:val="22"/>
          <w:shd w:fill="FFFFFF" w:val="clear"/>
        </w:rPr>
        <w:t>eligible to rely on General Instruction A.2 of Form N-2, including the transaction requirements set forth in </w:t>
      </w:r>
      <w:r>
        <w:rPr>
          <w:rFonts w:ascii="Times New Roman;serif" w:hAnsi="Times New Roman;serif"/>
          <w:b w:val="false"/>
          <w:color w:val="000000"/>
          <w:sz w:val="22"/>
        </w:rPr>
        <w:t>General Instruction</w:t>
      </w:r>
      <w:r>
        <w:rPr>
          <w:color w:val="000000"/>
          <w:shd w:fill="FFFFFF" w:val="clear"/>
        </w:rPr>
        <w:t> </w:t>
      </w:r>
      <w:r>
        <w:rPr>
          <w:rFonts w:ascii="Times New Roman;serif" w:hAnsi="Times New Roman;serif"/>
          <w:b w:val="false"/>
          <w:color w:val="000000"/>
          <w:sz w:val="22"/>
          <w:shd w:fill="FFFFFF" w:val="clear"/>
        </w:rPr>
        <w:t>I.B.1 of Form S-3.</w:t>
      </w:r>
    </w:p>
    <w:p>
      <w:pPr>
        <w:pStyle w:val="TextBody"/>
        <w:bidi w:val="0"/>
        <w:spacing w:lineRule="auto" w:line="288" w:before="0" w:after="240"/>
        <w:ind w:left="0" w:right="0" w:firstLine="720"/>
        <w:jc w:val="both"/>
        <w:rPr/>
      </w:pPr>
      <w:r>
        <w:rPr>
          <w:rFonts w:ascii="Times New Roman;serif" w:hAnsi="Times New Roman;serif"/>
          <w:b w:val="false"/>
          <w:color w:val="000000"/>
          <w:sz w:val="22"/>
        </w:rPr>
        <w:t>(vv)    </w:t>
      </w:r>
      <w:r>
        <w:rPr>
          <w:rFonts w:ascii="Times New Roman;serif" w:hAnsi="Times New Roman;serif"/>
          <w:b w:val="false"/>
          <w:color w:val="000000"/>
          <w:sz w:val="22"/>
          <w:u w:val="single"/>
        </w:rPr>
        <w:t>WKSI Status</w:t>
      </w:r>
      <w:r>
        <w:rPr>
          <w:rFonts w:ascii="Times New Roman;serif" w:hAnsi="Times New Roman;serif"/>
          <w:b w:val="false"/>
          <w:color w:val="000000"/>
          <w:sz w:val="22"/>
        </w:rPr>
        <w:t>. (i) At the time of filing the Registration Statement, (ii) at the time of the most recent amendment thereto for the purposes of complying with Section 10(a)(3) of the 1933 Act (whether such amendment was by a post-effective amendment, a report incorporated by reference pursuant to Section 13 or 15(d) of the 1934 Act or a form of prospectus), (iii) at the time the Company or any person acting on its behalf (within the meaning, for this clause only, of Rule 163(c) under the 1933 Act) made any offer relating to the Securities in reliance on the exemption of Rule 163 under the 1933 Act, and (iv) as of the date hereof, the Company was and is a “well known seasoned issuer” as defined in Rule 405 under the 1933 Act. The Registration Statement is an “automatic shelf registration statement,” as defined in Rule 405 under the 1933 Act, that automatically became effective not more than three years prior to the date hereof; the Company has not received from the Commission any notice pursuant to Rule 401(g)(2) under the 1933 Act objecting to use of the automatic shelf registration statement form and the Company has not otherwise ceased to be eligible to use the automatic shelf registration form.</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    </w:t>
      </w:r>
      <w:r>
        <w:rPr>
          <w:rFonts w:ascii="Times New Roman;serif" w:hAnsi="Times New Roman;serif"/>
          <w:b w:val="false"/>
          <w:color w:val="000000"/>
          <w:sz w:val="22"/>
          <w:u w:val="single"/>
        </w:rPr>
        <w:t>SALE AND DELIVERY TO UNDERWRITERS; CLOSING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Sale of Securities</w:t>
      </w:r>
      <w:r>
        <w:rPr>
          <w:rFonts w:ascii="Times New Roman;serif" w:hAnsi="Times New Roman;serif"/>
          <w:b w:val="false"/>
          <w:color w:val="000000"/>
          <w:sz w:val="22"/>
        </w:rPr>
        <w:t xml:space="preserve">. On the basis of the representations, warranties and covenants contained herein and subject to the terms and conditions set forth herein, the Company agrees to sell to each Underwriter, severally and not jointly, and each Underwriter, severally and not jointly, agrees to purchase from the Company, the respective principal amounts of Securities set forth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 xml:space="preserve">hereto opposite its name at a purchase price of 97.985% of the principal amount of the Securities, plus any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9410"/>
                <wp:effectExtent l="0" t="0" r="0" b="0"/>
                <wp:wrapNone/>
                <wp:docPr id="19" name="Frame19"/>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additional aggregate principal amount of Securities which such Underwriter may become obligated to purchase pursuant to the provisions of </w:t>
      </w:r>
      <w:r>
        <w:rPr>
          <w:rFonts w:ascii="Times New Roman;serif" w:hAnsi="Times New Roman;serif"/>
          <w:b w:val="false"/>
          <w:color w:val="000000"/>
          <w:sz w:val="22"/>
          <w:u w:val="single"/>
        </w:rPr>
        <w:t>Section 10</w:t>
      </w:r>
      <w:r>
        <w:rPr>
          <w:color w:val="000000"/>
        </w:rPr>
        <w:t xml:space="preserve"> </w:t>
      </w:r>
      <w:r>
        <w:rPr>
          <w:rFonts w:ascii="Times New Roman;serif" w:hAnsi="Times New Roman;serif"/>
          <w:b w:val="false"/>
          <w:color w:val="000000"/>
          <w:sz w:val="22"/>
        </w:rPr>
        <w:t>hereof (the “</w:t>
      </w:r>
      <w:r>
        <w:rPr>
          <w:rFonts w:ascii="Times New Roman;serif" w:hAnsi="Times New Roman;serif"/>
          <w:b/>
          <w:i/>
          <w:color w:val="000000"/>
          <w:sz w:val="22"/>
        </w:rPr>
        <w:t>Purchase Price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Payment</w:t>
      </w:r>
      <w:r>
        <w:rPr>
          <w:rFonts w:ascii="Times New Roman;serif" w:hAnsi="Times New Roman;serif"/>
          <w:b w:val="false"/>
          <w:color w:val="000000"/>
          <w:sz w:val="22"/>
        </w:rPr>
        <w:t xml:space="preserve">. Payment of the Purchase Price for, and delivery of certificates, if any, for the Securities shall be made at the offices of Dechert LLP, 1900 K Street, N.W., Washington, D.C. 20006, or at such other place as shall be agreed upon by the Underwriters and the Company, at 10:00 AM (Eastern Time) on September 15, 2026 (unless postponed in accordance with the provisions of </w:t>
      </w:r>
      <w:r>
        <w:rPr>
          <w:rFonts w:ascii="Times New Roman;serif" w:hAnsi="Times New Roman;serif"/>
          <w:b w:val="false"/>
          <w:color w:val="000000"/>
          <w:sz w:val="22"/>
          <w:u w:val="single"/>
        </w:rPr>
        <w:t>Section 10</w:t>
      </w:r>
      <w:r>
        <w:rPr>
          <w:rFonts w:ascii="Times New Roman;serif" w:hAnsi="Times New Roman;serif"/>
          <w:b w:val="false"/>
          <w:color w:val="000000"/>
          <w:sz w:val="22"/>
        </w:rPr>
        <w:t>), or at such earlier or later time, but in any case not later than ten (10) business days after such date as shall be agreed upon by the Representatives and the Company (such time and date of payment and delivery being herein called the “</w:t>
      </w:r>
      <w:r>
        <w:rPr>
          <w:rFonts w:ascii="Times New Roman;serif" w:hAnsi="Times New Roman;serif"/>
          <w:b/>
          <w:i/>
          <w:color w:val="000000"/>
          <w:sz w:val="22"/>
        </w:rPr>
        <w:t>Closing Time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Payment shall be made to the Company by wire transfer of immediately available funds to a bank account designated by the Company, against delivery to the Underwriters for the respective accounts of the Underwriters of the Securities to be purchased by them. It is understood that each Underwriter has authorized the Representatives, for their account, to accept delivery of, receipt for, and make payment of the Purchase Price for, the Securities that it has agreed to purchase. Any of the Representatives, individually and not as a representative of the Underwriters,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Denominations; Registration</w:t>
      </w:r>
      <w:r>
        <w:rPr>
          <w:rFonts w:ascii="Times New Roman;serif" w:hAnsi="Times New Roman;serif"/>
          <w:b w:val="false"/>
          <w:color w:val="000000"/>
          <w:sz w:val="22"/>
        </w:rPr>
        <w:t>. The Securities shall be electronically transferred at the Closing Time, in such denominations and registered in such names as the Underwriters may request in writing at least two (2) full business days before the Closing Time. The Securities purchased hereunder shall be delivered at the Closing Time through the facilities of DTC or another mutually agreeable facility, against payment of the Purchase Price therefore in immediately available funds to the order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    </w:t>
      </w:r>
      <w:r>
        <w:rPr>
          <w:rFonts w:ascii="Times New Roman;serif" w:hAnsi="Times New Roman;serif"/>
          <w:b w:val="false"/>
          <w:color w:val="000000"/>
          <w:sz w:val="22"/>
          <w:u w:val="single"/>
        </w:rPr>
        <w:t>COVENANTS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agrees with each Underwriter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Compliance with Securities Regulations and Commission Requests</w:t>
      </w:r>
      <w:r>
        <w:rPr>
          <w:rFonts w:ascii="Times New Roman;serif" w:hAnsi="Times New Roman;serif"/>
          <w:b w:val="false"/>
          <w:color w:val="000000"/>
          <w:sz w:val="22"/>
        </w:rPr>
        <w:t xml:space="preserve">. The Company will comply with the requirements of Rule 415, Rule 430B and Rule 424(b) under the 1933 Act and will notify the Underwriters as soon as practicable, and, in the cases clauses (ii)-(v) of this </w:t>
      </w:r>
      <w:r>
        <w:rPr>
          <w:rFonts w:ascii="Times New Roman;serif" w:hAnsi="Times New Roman;serif"/>
          <w:b w:val="false"/>
          <w:color w:val="000000"/>
          <w:sz w:val="22"/>
          <w:u w:val="single"/>
        </w:rPr>
        <w:t>Section 3(a)</w:t>
      </w:r>
      <w:r>
        <w:rPr>
          <w:rFonts w:ascii="Times New Roman;serif" w:hAnsi="Times New Roman;serif"/>
          <w:b w:val="false"/>
          <w:color w:val="000000"/>
          <w:sz w:val="22"/>
        </w:rPr>
        <w:t xml:space="preserve">, confirm the notice in writing, (i) when any post-effective amendment to the Registration Statement shall become effective, or any supplement to the Prospectus or any Additional Disclosure Item, or any amendment or supplement to the foregoing, shall have been filed, (ii) of the receipt of any comments from the Commission, (iii) of any request by the Commission for any amendment to the Registration Statement or any amendment or supplement to the Preliminary Prospectus, the Prospectus, any Additional Disclosure Item or for additional information, (iv) of the issuance by the Commission of any stop order suspending the effectiveness of the Registration Statement or of any order preventing or suspending the use of the Preliminary Prospectus, the Prospectus, or any Additional Disclosure Item or any amendment or supplement to any of the foregoing, or any notice from the Commission objecting to the use of the form of the Registration Statement or any post-effective amendment thereto, or of the suspension of the qualification of the Securities for offering or sale in any jurisdiction or of the initiation or threatening of any proceedings for any of such purposes, or of any examination pursuant to Section 8(e) of the 1933 Act concerning the Registration Statement and (v) if the Company becomes the subject of a proceeding under Section 8A of the 1933 Act in connection with the Offering. The Company will promptly effect the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9410"/>
                <wp:effectExtent l="0" t="0" r="0" b="0"/>
                <wp:wrapNone/>
                <wp:docPr id="20" name="Frame20"/>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filings necessary pursuant to Rule 424(b) under the 1933 Act and will take such steps as it deems necessary to ascertain promptly whether the form of prospectus transmitted for filing under Rule 424(b) under the 1933 Act was received for filing by the Commission and, in the event that it was not, it will promptly file such prospectus. The Company will make every reasonable effort to prevent the issuance of any stop order and the suspension or loss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Filing of Amendments</w:t>
      </w:r>
      <w:r>
        <w:rPr>
          <w:rFonts w:ascii="Times New Roman;serif" w:hAnsi="Times New Roman;serif"/>
          <w:b w:val="false"/>
          <w:color w:val="000000"/>
          <w:sz w:val="22"/>
        </w:rPr>
        <w:t xml:space="preserve">. The Company will give the Representatives notice of its intention to file or prepare any amendment to the Registration Statement </w:t>
      </w:r>
      <w:r>
        <w:rPr>
          <w:rFonts w:ascii="Times New Roman;serif" w:hAnsi="Times New Roman;serif"/>
          <w:b w:val="false"/>
          <w:color w:val="000000"/>
          <w:sz w:val="22"/>
          <w:shd w:fill="FFFFFF" w:val="clear"/>
        </w:rPr>
        <w:t>(including any filing under Rule 462(b))</w:t>
      </w:r>
      <w:r>
        <w:rPr>
          <w:rFonts w:ascii="Times New Roman;serif" w:hAnsi="Times New Roman;serif"/>
          <w:b w:val="false"/>
          <w:color w:val="000000"/>
          <w:sz w:val="22"/>
        </w:rPr>
        <w:t xml:space="preserve">, any Additional Disclosure Item or any amendment, supplement or revision to any of the Preliminary Prospectus, the Prospectus or any Additional Disclosure Item, and will furnish the Underwriters with copies of any such documents a reasonable amount of time prior to such proposed filing or use, as the case may be, and will not file or use any such document to which the Representatives or counsel for the Underwriters shall reasonably object. </w:t>
      </w:r>
      <w:r>
        <w:rPr>
          <w:rFonts w:ascii="Times New Roman;serif" w:hAnsi="Times New Roman;serif"/>
          <w:b w:val="false"/>
          <w:color w:val="000000"/>
          <w:sz w:val="22"/>
          <w:shd w:fill="FFFFFF" w:val="clear"/>
        </w:rPr>
        <w:t>The Company has given the Underwriters notice of any filings made pursuant to the 1934 Act within 48 hours prior to the Applicable Time; the Company will give the Underwriters notice of its intention to make any such filing from the Applicable Time to the Closing Time and will furnish the Underwriters with copies of any such documents a reasonable amount of time prior to such proposed filing.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Delivery of Registration Statements</w:t>
      </w:r>
      <w:r>
        <w:rPr>
          <w:rFonts w:ascii="Times New Roman;serif" w:hAnsi="Times New Roman;serif"/>
          <w:b w:val="false"/>
          <w:color w:val="000000"/>
          <w:sz w:val="22"/>
        </w:rPr>
        <w:t>. The Company has furnished or will deliver to the Representatives and counsel for the Underwriters, without charge, signed copies of the Registration Statement as originally filed and of each amendment thereto (including exhibits filed therewith or incorporated by reference therein) and signed copies of all consents and certificates of experts, and will also deliver to the Underwriters,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Delivery of Prospectuses</w:t>
      </w:r>
      <w:r>
        <w:rPr>
          <w:rFonts w:ascii="Times New Roman;serif" w:hAnsi="Times New Roman;serif"/>
          <w:b w:val="false"/>
          <w:color w:val="000000"/>
          <w:sz w:val="22"/>
        </w:rPr>
        <w:t>. The Company has delivered to each Underwriter, without charge, as many copies of the Preliminary Prospectus (and will deliver as many copies of the Prospectus) as such Underwriter reasonably requested (or requests), and the Company hereby consents to the use of such copies for purposes permitted by the 1933 Act. The Company will furnish to each Underwriter, without charge, during the period when the Prospectus is required (or, but for the provisions of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pStyle w:val="TextBody"/>
        <w:bidi w:val="0"/>
        <w:spacing w:lineRule="auto" w:line="288" w:before="0" w:after="24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Continued Compliance with Securities Laws</w:t>
      </w:r>
      <w:r>
        <w:rPr>
          <w:rFonts w:ascii="Times New Roman;serif" w:hAnsi="Times New Roman;serif"/>
          <w:b w:val="false"/>
          <w:color w:val="000000"/>
          <w:sz w:val="22"/>
        </w:rPr>
        <w:t xml:space="preserve">. The Company will comply with the applicable provisions of the 1933 Act, the 1934 Act and the 1940 Act so as to permit the completion of the distribution of the Securities as contemplated in this Agreement and in the Prospectus. If at any time when a prospectus is required (or, but for the provisions of Rule 172, would be required) by the 1933 Act to be delivered in connection with sales of the Securities, any event shall occur or condition shall exist as a result of which it is necessary, in the reasonable opinion of counsel for the Underwriters or for the Company, to amend the Registration Statement or amend or supplement the Disclosure Package or the Prospectus in order that the Registration Statement, the Disclosure Package or the Prospectus, as the case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9410"/>
                <wp:effectExtent l="0" t="0" r="0" b="0"/>
                <wp:wrapNone/>
                <wp:docPr id="21" name="Frame21"/>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may be, will not include any untrue statement of a material fact or omit to state a material fact necessary in order to make the statements therein, in the light of the circumstances under which they were made or then prevailing, not misleading or if it is necessary (or if the Representatives or counsel for the Underwriters shall notify the Company that, in their reasonable judgment, it is necessary) to amend the Registration Statement or amend or supplement the Disclosure Package or the Prospectus in order to comply with the requirements of the 1933 Act, the 1934 Act or the 1940 Act, the Company will promptly notify the Representatives of such event or condition and of its intention to file such amendment or supplement or other filing (or, if the Representatives or counsel for the Underwriters shall have notified the Company as aforesaid, the Company will promptly notify the Representatives of its intention to prepare such amendment or supplement or other filing) and will promptly prepare and file with the Commission, subject to Section 3(b) hereof, such amendment or supplement or other filing as may be necessary to correct such untrue statement or omission or to comply with such requirements, and, in the case of an amendment or post-effective amendment to the Registration Statement, the Company will use its reasonable best efforts to have such amendment declared or become effective as soon as practicable, and the Company will furnish to the Underwriters such number of copies of such amendment or supplement or other filing as the Underwriters may reasonably request. </w:t>
      </w:r>
    </w:p>
    <w:p>
      <w:pPr>
        <w:pStyle w:val="TextBody"/>
        <w:bidi w:val="0"/>
        <w:spacing w:lineRule="auto" w:line="288" w:before="0" w:after="24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Additional Disclosure Items</w:t>
      </w:r>
      <w:r>
        <w:rPr>
          <w:rFonts w:ascii="Times New Roman;serif" w:hAnsi="Times New Roman;serif"/>
          <w:b w:val="false"/>
          <w:color w:val="000000"/>
          <w:sz w:val="22"/>
        </w:rPr>
        <w:t xml:space="preserve">. The Company represents and agrees that, without the prior consent of the Representatives, (i) it will not distribute any offering material other than the Registration Statement, the Prospectus, the Disclosure Package and the Additional Disclosure Items, and (ii) other than as set forth in </w:t>
      </w:r>
      <w:r>
        <w:rPr>
          <w:rFonts w:ascii="Times New Roman;serif" w:hAnsi="Times New Roman;serif"/>
          <w:b w:val="false"/>
          <w:color w:val="000000"/>
          <w:sz w:val="22"/>
          <w:u w:val="single"/>
        </w:rPr>
        <w:t>Schedule B</w:t>
      </w:r>
      <w:r>
        <w:rPr>
          <w:color w:val="000000"/>
        </w:rPr>
        <w:t xml:space="preserve"> </w:t>
      </w:r>
      <w:r>
        <w:rPr>
          <w:rFonts w:ascii="Times New Roman;serif" w:hAnsi="Times New Roman;serif"/>
          <w:b w:val="false"/>
          <w:color w:val="000000"/>
          <w:sz w:val="22"/>
        </w:rPr>
        <w:t xml:space="preserve">hereto,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 show or investor presentations (including slides and scripts relating thereto) made to investors by or on behalf of the Company (the materials and information referred to in this </w:t>
      </w:r>
      <w:r>
        <w:rPr>
          <w:rFonts w:ascii="Times New Roman;serif" w:hAnsi="Times New Roman;serif"/>
          <w:b w:val="false"/>
          <w:color w:val="000000"/>
          <w:sz w:val="22"/>
          <w:u w:val="single"/>
        </w:rPr>
        <w:t>Section 3(f)</w:t>
      </w:r>
      <w:r>
        <w:rPr>
          <w:rFonts w:ascii="Times New Roman;serif" w:hAnsi="Times New Roman;serif"/>
          <w:b w:val="false"/>
          <w:color w:val="000000"/>
          <w:sz w:val="22"/>
        </w:rPr>
        <w:t>, other than the Registration Statement, the Prospectus and the Disclosure Package, are herein referred to as an “</w:t>
      </w:r>
      <w:r>
        <w:rPr>
          <w:rFonts w:ascii="Times New Roman;serif" w:hAnsi="Times New Roman;serif"/>
          <w:b/>
          <w:i/>
          <w:color w:val="000000"/>
          <w:sz w:val="22"/>
        </w:rPr>
        <w:t>Additional Disclosure Item</w:t>
      </w:r>
      <w:r>
        <w:rPr>
          <w:color w:val="000000"/>
        </w:rPr>
        <w:t>”</w:t>
      </w:r>
      <w:r>
        <w:rPr>
          <w:rFonts w:ascii="Times New Roman;serif" w:hAnsi="Times New Roman;serif"/>
          <w:b w:val="false"/>
          <w:color w:val="000000"/>
          <w:sz w:val="22"/>
        </w:rPr>
        <w:t xml:space="preserve">); any Additional Disclosure Item the use of which has been consented to by the Representatives is listed on </w:t>
      </w:r>
      <w:r>
        <w:rPr>
          <w:rFonts w:ascii="Times New Roman;serif" w:hAnsi="Times New Roman;serif"/>
          <w:b w:val="false"/>
          <w:color w:val="000000"/>
          <w:sz w:val="22"/>
          <w:u w:val="single"/>
        </w:rPr>
        <w:t>Schedule B</w:t>
      </w:r>
      <w:r>
        <w:rPr>
          <w:color w:val="000000"/>
        </w:rPr>
        <w:t xml:space="preserve"> </w:t>
      </w:r>
      <w:r>
        <w:rPr>
          <w:rFonts w:ascii="Times New Roman;serif" w:hAnsi="Times New Roman;serif"/>
          <w:b w:val="false"/>
          <w:color w:val="000000"/>
          <w:sz w:val="22"/>
        </w:rPr>
        <w:t xml:space="preserve">hereto. </w:t>
      </w:r>
    </w:p>
    <w:p>
      <w:pPr>
        <w:pStyle w:val="TextBody"/>
        <w:bidi w:val="0"/>
        <w:spacing w:lineRule="auto" w:line="288" w:before="0" w:after="24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Amendments or Supplements to the Disclosure Package and Additional Disclosure Items</w:t>
      </w:r>
      <w:r>
        <w:rPr>
          <w:rFonts w:ascii="Times New Roman;serif" w:hAnsi="Times New Roman;serif"/>
          <w:b w:val="false"/>
          <w:color w:val="000000"/>
          <w:sz w:val="22"/>
        </w:rPr>
        <w:t xml:space="preserve">. If there occurs an event or development as a result of which the Disclosure Package or any Additional Disclosure Item would include an untrue statement of a material fact or would omit to state a material fact necessary in order to make the statements therein, in light of the circumstances then prevailing, not misleading, the Company will promptly notify the Underwriters so that any use of the Disclosure Package or any such Additional Disclosure Item, as applicable, may cease until it is amended or supplemented (at the sole cost and expense of the Company). If at any time any Additional Disclosure Item conflicts with the information contained in the Registration Statement or if an event shall occur or condition shall exist as a result of which it is necessary (or, if the Representatives or counsel for the Underwriters shall notify the Company that, in their reasonable judgment, it is necessary) to amend or supplement such Additional Disclosure Item so that it will not include an untrue statement of a material fact or omit to state a material fact necessary in order to make the statements therein, in the light of the circumstances under which they were made or then prevailing, not misleading, or if it is necessary (or, if the Representatives or counsel for the Underwriters shall notify the Company that, in their reasonable judgment, it is necessary) to amend or supplement such Additional Disclosure Item in order to comply with the requirements of the 1933 Act, the Company will promptly notify the Representatives of such event or condition and of its intention to file such amendment or supplement or other filing (or, if the Representatives or counsel for the Underwriters shall have notified the Company as aforesaid, the Company will promptly notify the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9410"/>
                <wp:effectExtent l="0" t="0" r="0" b="0"/>
                <wp:wrapNone/>
                <wp:docPr id="22" name="Frame22"/>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Representatives of its intention to prepare such amendment or supplement or other filing) and will promptly prepare and, if required by the 1933 Act, file with the Commission, subject to Section 3(b) hereof, such amendment or supplement or other filing as may be necessary to eliminate or correct such conflict, untrue statement or omission or to comply with such requirements, and the Company will furnish to the Underwriters such number of copies of such amendment or supplement or other filing as the Underwriters may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Blue Sky Qualifications</w:t>
      </w:r>
      <w:r>
        <w:rPr>
          <w:rFonts w:ascii="Times New Roman;serif" w:hAnsi="Times New Roman;serif"/>
          <w:b w:val="false"/>
          <w:color w:val="000000"/>
          <w:sz w:val="22"/>
        </w:rPr>
        <w:t>. The Company will use its best efforts, in cooperation with the Underwriters, to qualify the Securities for offering and sale, or obtain an exemption for the Securities to be offered and sold, under the applicable securities laws of such states and other jurisdictions (domestic or foreign) as the Representatives may designate and to maintain such qualifications and/or exemptions in effect for so long as required for the distribution of the Securities; provided, however, that the foregoing shall not apply to the extent that the Securities are “covered securities” that are exempt from state regulation of securities offerings pursuant to Section 18 of the 1933 Act; and provided, further,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Rule 158</w:t>
      </w:r>
      <w:r>
        <w:rPr>
          <w:rFonts w:ascii="Times New Roman;serif" w:hAnsi="Times New Roman;serif"/>
          <w:b w:val="false"/>
          <w:color w:val="000000"/>
          <w:sz w:val="22"/>
        </w:rPr>
        <w:t>. The Company will timely file such reports pursuant to the 1934 Act as are necessary in order to make generally available to its security holders as soon as practicable, but in any event not later than 16 months after the date hereof, an earnings statement of the Company for the purposes of, and to provide the benefits contemplated by, the last paragraph of Section 11(a) of the 1933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Company will use the net proceeds received by it from the sale of the Securities in the manner specified in the Prospectus and the Disclosure Package under “Use of Proceeds.”</w:t>
      </w:r>
    </w:p>
    <w:p>
      <w:pPr>
        <w:pStyle w:val="TextBody"/>
        <w:bidi w:val="0"/>
        <w:spacing w:lineRule="auto" w:line="288" w:before="0" w:after="240"/>
        <w:ind w:left="0" w:right="0" w:firstLine="720"/>
        <w:jc w:val="both"/>
        <w:rPr/>
      </w:pPr>
      <w:r>
        <w:rPr>
          <w:rFonts w:ascii="Times New Roman;serif" w:hAnsi="Times New Roman;serif"/>
          <w:b w:val="false"/>
          <w:color w:val="000000"/>
          <w:sz w:val="22"/>
        </w:rPr>
        <w:t>(k)    </w:t>
      </w:r>
      <w:r>
        <w:rPr>
          <w:rFonts w:ascii="Times New Roman;serif" w:hAnsi="Times New Roman;serif"/>
          <w:b w:val="false"/>
          <w:color w:val="000000"/>
          <w:sz w:val="22"/>
          <w:u w:val="single"/>
          <w:shd w:fill="FFFFFF" w:val="clear"/>
        </w:rPr>
        <w:t>Trustee, Paying Agent, and Registrar</w:t>
      </w:r>
      <w:r>
        <w:rPr>
          <w:rFonts w:ascii="Times New Roman;serif" w:hAnsi="Times New Roman;serif"/>
          <w:b w:val="false"/>
          <w:color w:val="000000"/>
          <w:sz w:val="22"/>
          <w:shd w:fill="FFFFFF" w:val="clear"/>
        </w:rPr>
        <w:t>. The Company will maintain a trustee, paying agent and registrar for the Securities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Restriction on Sale of Securities</w:t>
      </w:r>
      <w:r>
        <w:rPr>
          <w:rFonts w:ascii="Times New Roman;serif" w:hAnsi="Times New Roman;serif"/>
          <w:b w:val="false"/>
          <w:color w:val="000000"/>
          <w:sz w:val="22"/>
        </w:rPr>
        <w:t>. During the period beginning from the date hereof and continuing to and including the date that is 30 days after the date of the Prospectus Supplement, the Company will not (i) sell, offer to sell, contract or agree to sell, hypothecate, pledge, grant any option to purchase or otherwise dispose of or agree to dispose of, directly or indirectly, any debt securities issued or guaranteed by the Company that are substantially similar to the Securities or any securities convertible into or exchangeable or exercisable for debt securities issued or guaranteed by the Company that are substantially similar to the Securities, or (ii) file or cause to be declared effective a registration statement under the 1933 Act with respect to any of the foregoing, or otherwise publicly announce an intention to effect any transaction relating to any of the foregoing, without the prior written consent of the Representatives, which may not be unreasonably withheld. The foregoing sentence shall not apply to (i) the registration of the Securities and the sales to the Underwriters pursuant to this Agreement, (ii) borrowings under the Company’s credit facilities described in the Registration Statement, the Disclosure Package and the Prospectus, (iii) the issuance of SBA Debentures by the SBIC Fund II, or (iv) the filing by the Company of a universal shelf registration statement covering various securities, including debt and equity securities and certain purchase rights relating thereto.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9410"/>
                <wp:effectExtent l="0" t="0" r="0" b="0"/>
                <wp:wrapNone/>
                <wp:docPr id="23" name="Frame23"/>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(m)    </w:t>
      </w:r>
      <w:r>
        <w:rPr>
          <w:rFonts w:ascii="Times New Roman;serif" w:hAnsi="Times New Roman;serif"/>
          <w:b w:val="false"/>
          <w:color w:val="000000"/>
          <w:sz w:val="22"/>
          <w:u w:val="single"/>
        </w:rPr>
        <w:t>DTC</w:t>
      </w:r>
      <w:r>
        <w:rPr>
          <w:rFonts w:ascii="Times New Roman;serif" w:hAnsi="Times New Roman;serif"/>
          <w:b w:val="false"/>
          <w:color w:val="000000"/>
          <w:sz w:val="22"/>
        </w:rPr>
        <w:t>. The Company will cooperate with the Underwriters and use its commercially reasonable efforts to permit the offered Securities to be eligible for clearance and settlement through the facilities of DTC.</w:t>
      </w:r>
    </w:p>
    <w:p>
      <w:pPr>
        <w:pStyle w:val="TextBody"/>
        <w:bidi w:val="0"/>
        <w:spacing w:lineRule="auto" w:line="288" w:before="0" w:after="240"/>
        <w:ind w:left="0" w:right="0" w:firstLine="720"/>
        <w:jc w:val="both"/>
        <w:rPr/>
      </w:pPr>
      <w:r>
        <w:rPr>
          <w:rFonts w:ascii="Times New Roman;serif" w:hAnsi="Times New Roman;serif"/>
          <w:b w:val="false"/>
          <w:color w:val="000000"/>
          <w:sz w:val="22"/>
        </w:rPr>
        <w:t>(n)    </w:t>
      </w:r>
      <w:r>
        <w:rPr>
          <w:rFonts w:ascii="Times New Roman;serif" w:hAnsi="Times New Roman;serif"/>
          <w:b w:val="false"/>
          <w:color w:val="000000"/>
          <w:sz w:val="22"/>
          <w:u w:val="single"/>
          <w:shd w:fill="FFFFFF" w:val="clear"/>
        </w:rPr>
        <w:t>BDC Status.</w:t>
      </w:r>
      <w:r>
        <w:rPr>
          <w:color w:val="000000"/>
          <w:shd w:fill="FFFFFF" w:val="clear"/>
        </w:rPr>
        <w:t xml:space="preserve"> </w:t>
      </w:r>
      <w:r>
        <w:rPr>
          <w:rFonts w:ascii="Times New Roman;serif" w:hAnsi="Times New Roman;serif"/>
          <w:b w:val="false"/>
          <w:color w:val="000000"/>
          <w:sz w:val="22"/>
          <w:shd w:fill="FFFFFF" w:val="clear"/>
        </w:rPr>
        <w:t>The Company, during a period of at least 12 months from the Closing Time, will use its commercially reasonable efforts to maintain its status as a BDC.</w:t>
      </w:r>
    </w:p>
    <w:p>
      <w:pPr>
        <w:pStyle w:val="TextBody"/>
        <w:bidi w:val="0"/>
        <w:spacing w:lineRule="auto" w:line="288" w:before="0" w:after="240"/>
        <w:ind w:left="0" w:right="0" w:firstLine="720"/>
        <w:jc w:val="both"/>
        <w:rPr/>
      </w:pPr>
      <w:r>
        <w:rPr>
          <w:rFonts w:ascii="Times New Roman;serif" w:hAnsi="Times New Roman;serif"/>
          <w:b w:val="false"/>
          <w:color w:val="000000"/>
          <w:sz w:val="22"/>
        </w:rPr>
        <w:t>(o)    </w:t>
      </w:r>
      <w:r>
        <w:rPr>
          <w:rFonts w:ascii="Times New Roman;serif" w:hAnsi="Times New Roman;serif"/>
          <w:b w:val="false"/>
          <w:color w:val="000000"/>
          <w:sz w:val="22"/>
          <w:u w:val="single"/>
        </w:rPr>
        <w:t>Reporting Requirements</w:t>
      </w:r>
      <w:r>
        <w:rPr>
          <w:rFonts w:ascii="Times New Roman;serif" w:hAnsi="Times New Roman;serif"/>
          <w:b w:val="false"/>
          <w:color w:val="000000"/>
          <w:sz w:val="22"/>
        </w:rPr>
        <w:t>. During the period when the Prospectus is required (or, but for the provisions of Rule 172, would be required) by the 1933 Act and the 1934 Act to be delivered, the Company will file all documents required to be filed with the Commission pursuant to the 1934 Act within the time periods required by the 1934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(p)    </w:t>
      </w:r>
      <w:r>
        <w:rPr>
          <w:rFonts w:ascii="Times New Roman;serif" w:hAnsi="Times New Roman;serif"/>
          <w:b w:val="false"/>
          <w:color w:val="000000"/>
          <w:sz w:val="22"/>
          <w:u w:val="single"/>
        </w:rPr>
        <w:t>Subchapter M</w:t>
      </w:r>
      <w:r>
        <w:rPr>
          <w:rFonts w:ascii="Times New Roman;serif" w:hAnsi="Times New Roman;serif"/>
          <w:b w:val="false"/>
          <w:color w:val="000000"/>
          <w:sz w:val="22"/>
        </w:rPr>
        <w:t>. The Company has qualified to be taxed as a RIC under Subchapter M of the Code for its taxable years ended December 31, 1988 through December 31, 2025, and will use its commercially reasonable efforts to maintain qualification as a RIC under Subchapter M of the Code for its taxable year ending December 31, 2026 and thereafter.</w:t>
      </w:r>
    </w:p>
    <w:p>
      <w:pPr>
        <w:pStyle w:val="TextBody"/>
        <w:bidi w:val="0"/>
        <w:spacing w:lineRule="auto" w:line="288" w:before="0" w:after="240"/>
        <w:ind w:left="0" w:right="0" w:firstLine="720"/>
        <w:jc w:val="both"/>
        <w:rPr/>
      </w:pPr>
      <w:r>
        <w:rPr>
          <w:rFonts w:ascii="Times New Roman;serif" w:hAnsi="Times New Roman;serif"/>
          <w:b w:val="false"/>
          <w:color w:val="000000"/>
          <w:sz w:val="22"/>
        </w:rPr>
        <w:t>(q)    </w:t>
      </w:r>
      <w:r>
        <w:rPr>
          <w:rFonts w:ascii="Times New Roman;serif" w:hAnsi="Times New Roman;serif"/>
          <w:b w:val="false"/>
          <w:color w:val="000000"/>
          <w:sz w:val="22"/>
          <w:u w:val="single"/>
        </w:rPr>
        <w:t>No Manipulation of Market for Securities</w:t>
      </w:r>
      <w:r>
        <w:rPr>
          <w:rFonts w:ascii="Times New Roman;serif" w:hAnsi="Times New Roman;serif"/>
          <w:b w:val="false"/>
          <w:color w:val="000000"/>
          <w:sz w:val="22"/>
        </w:rPr>
        <w:t>. The Company has not taken and will not take, directly or indirectly, any action designed to cause or to result in, or that might reasonably be expected to cause or result in stabilization or manipulation of the price of any security of the Company to facilitate the sale or resale of the Securities in violation of federal or state securities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(r)    </w:t>
      </w:r>
      <w:r>
        <w:rPr>
          <w:rFonts w:ascii="Times New Roman;serif" w:hAnsi="Times New Roman;serif"/>
          <w:b w:val="false"/>
          <w:color w:val="000000"/>
          <w:sz w:val="22"/>
          <w:u w:val="single"/>
        </w:rPr>
        <w:t>Indenture</w:t>
      </w:r>
      <w:r>
        <w:rPr>
          <w:rFonts w:ascii="Times New Roman;serif" w:hAnsi="Times New Roman;serif"/>
          <w:b w:val="false"/>
          <w:color w:val="000000"/>
          <w:sz w:val="22"/>
        </w:rPr>
        <w:t>. At or prior to the Closing Time, the Company and the Trustee shall have executed and delivered the Indenture, which shall constitute a valid and binding obligation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(s)    </w:t>
      </w:r>
      <w:r>
        <w:rPr>
          <w:rFonts w:ascii="Times New Roman;serif" w:hAnsi="Times New Roman;serif"/>
          <w:b w:val="false"/>
          <w:color w:val="000000"/>
          <w:sz w:val="22"/>
          <w:u w:val="single"/>
        </w:rPr>
        <w:t>SBIC Status</w:t>
      </w:r>
      <w:r>
        <w:rPr>
          <w:rFonts w:ascii="Times New Roman;serif" w:hAnsi="Times New Roman;serif"/>
          <w:b w:val="false"/>
          <w:color w:val="000000"/>
          <w:sz w:val="22"/>
        </w:rPr>
        <w:t>. The Company shall use its best efforts to cause each of the SBIC Fund I and the SBIC Fund II to continue to comply with the requirements for qualification as an SBIC and to meet its respective obligations as an SBIC licensed by the SBA.</w:t>
      </w:r>
    </w:p>
    <w:p>
      <w:pPr>
        <w:pStyle w:val="TextBody"/>
        <w:bidi w:val="0"/>
        <w:spacing w:lineRule="auto" w:line="288" w:before="0" w:after="240"/>
        <w:ind w:left="0" w:right="0" w:firstLine="720"/>
        <w:jc w:val="both"/>
        <w:rPr/>
      </w:pPr>
      <w:r>
        <w:rPr>
          <w:rFonts w:ascii="Times New Roman;serif" w:hAnsi="Times New Roman;serif"/>
          <w:b w:val="false"/>
          <w:color w:val="000000"/>
          <w:sz w:val="22"/>
        </w:rPr>
        <w:t>(t)    </w:t>
      </w:r>
      <w:r>
        <w:rPr>
          <w:rFonts w:ascii="Times New Roman;serif" w:hAnsi="Times New Roman;serif"/>
          <w:b w:val="false"/>
          <w:color w:val="000000"/>
          <w:sz w:val="22"/>
          <w:u w:val="single"/>
        </w:rPr>
        <w:t>Preparation of Prospectus.</w:t>
      </w:r>
      <w:r>
        <w:rPr>
          <w:color w:val="000000"/>
        </w:rPr>
        <w:t xml:space="preserve"> </w:t>
      </w:r>
      <w:r>
        <w:rPr>
          <w:rFonts w:ascii="Times New Roman;serif" w:hAnsi="Times New Roman;serif"/>
          <w:b w:val="false"/>
          <w:color w:val="000000"/>
          <w:sz w:val="22"/>
        </w:rPr>
        <w:t>Immediately following the execution of this Agreement, subject to Section 3(a) hereof, the Company will prepare the Prospectus, which shall contain the selling terms of the Securities, the plan of distribution thereof and such other information as may be required by the 1933 Act or as the Representatives and the Company may reasonably deem appropriate and will file or transmit for filing with the Commission the Prospectus in accordance with the provisions of Rule 430B under the 1933 Act and in the manner and within the time period required by Rule 424(b) under the 1933 Act.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4.    </w:t>
      </w:r>
      <w:r>
        <w:rPr>
          <w:rFonts w:ascii="Times New Roman;serif" w:hAnsi="Times New Roman;serif"/>
          <w:b w:val="false"/>
          <w:color w:val="000000"/>
          <w:sz w:val="22"/>
          <w:u w:val="single"/>
        </w:rPr>
        <w:t>PAYMENT OF EXPENSES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The Company will pay all expenses incident to the performance of its obligations under this Agreement, including (i) the preparation, printing and filing of the Registration Statement (including financial statements and exhibits) as originally filed and of each amendment thereto, (ii) the preparation, printing and delivery to the Underwriters of this Agreement, any agreement among Underwriters and such other documents as may be required in connection with the offering, purchase, sale, issuance or delivery of the Securities, the Indenture and such other documents as may be required in connection therewith, (iii) the preparation, issuance and delivery of the certificates for the Securities, if any, to the Underwriters, including any stock or other transfer taxes and any stamp or other duties payable upon the sale, issuance or delivery of the Securities to the Underwriters, (iv) the fees and disbursements of the Company’s counsel, accountants and other advisers, (v) the printing and delivery to the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9410"/>
                <wp:effectExtent l="0" t="0" r="0" b="0"/>
                <wp:wrapNone/>
                <wp:docPr id="24" name="Frame24"/>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Underwriters of copies of the Prospectus and any amendments or supplements thereto, (vi) the fees and expenses of any transfer agent or registrar for the Securities and of the Trustee, (vii) the filing fees incident to the review by FINRA of the terms of the sale of the Securities, (viii) the transportation, lodging, graphics and other expenses of the Company and its officers related to the preparation for and participation by the Company and its officers in the road show, and (ix) all other reasonable costs and expenses incurred by the Company incident to the performance by the Company of its obligations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Termination of Agreement</w:t>
      </w:r>
      <w:r>
        <w:rPr>
          <w:rFonts w:ascii="Times New Roman;serif" w:hAnsi="Times New Roman;serif"/>
          <w:b w:val="false"/>
          <w:color w:val="000000"/>
          <w:sz w:val="22"/>
        </w:rPr>
        <w:t xml:space="preserve">. If this Agreement is terminated by the Underwriters in accordance with the provisions of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9(a)</w:t>
      </w:r>
      <w:r>
        <w:rPr>
          <w:color w:val="000000"/>
        </w:rPr>
        <w:t> </w:t>
      </w:r>
      <w:r>
        <w:rPr>
          <w:rFonts w:ascii="Times New Roman;serif" w:hAnsi="Times New Roman;serif"/>
          <w:b w:val="false"/>
          <w:color w:val="000000"/>
          <w:sz w:val="22"/>
        </w:rPr>
        <w:t>hereof, the Company shall reimburse, or arrange for an affiliate to reimburse, the Underwriters for all of their out-of-pocket expenses, including the reasonable fees and disbursements of counsel for the Underwriters.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    </w:t>
      </w:r>
      <w:r>
        <w:rPr>
          <w:rFonts w:ascii="Times New Roman;serif" w:hAnsi="Times New Roman;serif"/>
          <w:b w:val="false"/>
          <w:color w:val="000000"/>
          <w:sz w:val="22"/>
          <w:u w:val="single"/>
        </w:rPr>
        <w:t>CONDITIONS OF UNDERWRITERS’ OBLIGATIONS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obligations of the Underwriters hereunder are subject to the accuracy of the representations and warranties of the Company contained in </w:t>
      </w:r>
      <w:r>
        <w:rPr>
          <w:rFonts w:ascii="Times New Roman;serif" w:hAnsi="Times New Roman;serif"/>
          <w:b w:val="false"/>
          <w:color w:val="000000"/>
          <w:sz w:val="22"/>
          <w:u w:val="single"/>
        </w:rPr>
        <w:t>Section 1</w:t>
      </w:r>
      <w:r>
        <w:rPr>
          <w:color w:val="000000"/>
        </w:rPr>
        <w:t xml:space="preserve"> </w:t>
      </w:r>
      <w:r>
        <w:rPr>
          <w:rFonts w:ascii="Times New Roman;serif" w:hAnsi="Times New Roman;serif"/>
          <w:b w:val="false"/>
          <w:color w:val="000000"/>
          <w:sz w:val="22"/>
        </w:rPr>
        <w:t>hereof, in certificates of any officer of the Company delivered pursuant to the provisions hereof, to the performance by the Company of its covenants and other obligations hereunder, and to the following further conditions: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Effectiveness of Registration Statement</w:t>
      </w:r>
      <w:r>
        <w:rPr>
          <w:rFonts w:ascii="Times New Roman;serif" w:hAnsi="Times New Roman;serif"/>
          <w:b w:val="false"/>
          <w:color w:val="000000"/>
          <w:sz w:val="22"/>
        </w:rPr>
        <w:t>. The Registration Statement shall be effective and at the Closing Time no stop order or other temporary or permanent order or decree (whether under the 1933 Act or otherwise) suspending the effectiveness of the Registration Statement or the use of the Prospectus shall have been issued or otherwise be in effect, and no proceedings with respect to either shall have been initiated or, to the knowledge of the Company, threatened by the Commission, and any request on the part of the Commission for additional information shall have been complied with to the reasonable satisfaction of counsel to the Underwriters. The Prospectus shall have been filed with the Commission in accordance with Rule 424 under the 1933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Opinions of Counsel for the Company</w:t>
      </w:r>
      <w:r>
        <w:rPr>
          <w:rFonts w:ascii="Times New Roman;serif" w:hAnsi="Times New Roman;serif"/>
          <w:b w:val="false"/>
          <w:color w:val="000000"/>
          <w:sz w:val="22"/>
        </w:rPr>
        <w:t xml:space="preserve">. At the Closing Time, the Underwriters shall have received the opinions, dated as of the Closing Time, from Eversheds Sutherland (US) LLP, counsel for the Company, in substantially the forms set forth on </w:t>
      </w:r>
      <w:r>
        <w:rPr>
          <w:rFonts w:ascii="Times New Roman;serif" w:hAnsi="Times New Roman;serif"/>
          <w:b w:val="false"/>
          <w:color w:val="000000"/>
          <w:sz w:val="22"/>
          <w:u w:val="single"/>
        </w:rPr>
        <w:t>Schedule C</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Opinion of Counsel for Underwriters</w:t>
      </w:r>
      <w:r>
        <w:rPr>
          <w:rFonts w:ascii="Times New Roman;serif" w:hAnsi="Times New Roman;serif"/>
          <w:b w:val="false"/>
          <w:color w:val="000000"/>
          <w:sz w:val="22"/>
        </w:rPr>
        <w:t>. At the Closing Time, the Underwriters shall have received the favorable opinion, dated as of the Closing Time, from Dechert LLP, counsel for the Underwriters, together with signed or reproduced copies of such letter for each of the other Underwriters with respect to the Registration Statement, the Prospectus and other related matters as the Underwriters may reasonably require. In giving such opinion such counsel may rely, as to all matters governed by the laws of jurisdictions other than the federal law of the United States, upon the opinions of counsel satisfactory to the Underwriters. Such counsel may also state that, insofar as such opinion involves factual matters, they have relied, to the extent they deem proper, upon certificates of officers of the Company and certificates of public officials.</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Officers’ Certificate</w:t>
      </w:r>
      <w:r>
        <w:rPr>
          <w:rFonts w:ascii="Times New Roman;serif" w:hAnsi="Times New Roman;serif"/>
          <w:b w:val="false"/>
          <w:color w:val="000000"/>
          <w:sz w:val="22"/>
        </w:rPr>
        <w:t xml:space="preserve">. At the Closing Time, there shall not have been, since the date hereof or since the respective dates as of which information is given in the Prospectus, any Material Adverse Change or any development involving a prospective Material Adverse Change, and the Underwriters shall have received a certificate of a duly authorized officer of the Company and of the chief financial or chief accounting officer of the Company dated as of the Closing Time, to the effect that (i) there has been no such Material Adverse Change, (ii) the representations and warranties in </w:t>
      </w:r>
      <w:r>
        <w:rPr>
          <w:rFonts w:ascii="Times New Roman;serif" w:hAnsi="Times New Roman;serif"/>
          <w:b w:val="false"/>
          <w:color w:val="000000"/>
          <w:sz w:val="22"/>
          <w:u w:val="single"/>
        </w:rPr>
        <w:t>Section 1</w:t>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9410"/>
                <wp:effectExtent l="0" t="0" r="0" b="0"/>
                <wp:wrapNone/>
                <wp:docPr id="25" name="Frame25"/>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hereof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and no proceedings for any such purpose have been instituted or, to the knowledge of the Company, are pending or are contemplated by the Commission.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Accountant’s Comfort Letter</w:t>
      </w:r>
      <w:r>
        <w:rPr>
          <w:rFonts w:ascii="Times New Roman;serif" w:hAnsi="Times New Roman;serif"/>
          <w:b w:val="false"/>
          <w:color w:val="000000"/>
          <w:sz w:val="22"/>
        </w:rPr>
        <w:t>. At the time of the execution of this Agreement, the Underwriters shall have received from RSM US LLP a letter, dated such date, in form and substance satisfactory to the Underwriters, containing statements and information of the type ordinarily included in accountants’ “comfort letters” to underwriters with respect to the financial statements and certain financial information, including any pro forma financial information contained in the Registration Statement and the Prospectus.</w:t>
      </w:r>
    </w:p>
    <w:p>
      <w:pPr>
        <w:pStyle w:val="TextBody"/>
        <w:bidi w:val="0"/>
        <w:spacing w:lineRule="auto" w:line="288" w:before="0" w:after="24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Bring-down Comfort Letter</w:t>
      </w:r>
      <w:r>
        <w:rPr>
          <w:rFonts w:ascii="Times New Roman;serif" w:hAnsi="Times New Roman;serif"/>
          <w:b w:val="false"/>
          <w:color w:val="000000"/>
          <w:sz w:val="22"/>
        </w:rPr>
        <w:t xml:space="preserve">. At the Closing Time, the Underwriters shall have received from RSM US LLP a letter, dated as of the Closing Time, to the effect that they reaffirm the statements made in the letter furnished pursuant to </w:t>
      </w:r>
      <w:r>
        <w:rPr>
          <w:rFonts w:ascii="Times New Roman;serif" w:hAnsi="Times New Roman;serif"/>
          <w:b w:val="false"/>
          <w:color w:val="000000"/>
          <w:sz w:val="22"/>
          <w:u w:val="single"/>
        </w:rPr>
        <w:t>Section 5(e)</w:t>
      </w:r>
      <w:r>
        <w:rPr>
          <w:color w:val="000000"/>
        </w:rPr>
        <w:t> </w:t>
      </w:r>
      <w:r>
        <w:rPr>
          <w:rFonts w:ascii="Times New Roman;serif" w:hAnsi="Times New Roman;serif"/>
          <w:b w:val="false"/>
          <w:color w:val="000000"/>
          <w:sz w:val="22"/>
        </w:rPr>
        <w:t>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Indenture</w:t>
      </w:r>
      <w:r>
        <w:rPr>
          <w:rFonts w:ascii="Times New Roman;serif" w:hAnsi="Times New Roman;serif"/>
          <w:b w:val="false"/>
          <w:color w:val="000000"/>
          <w:sz w:val="22"/>
        </w:rPr>
        <w:t xml:space="preserve">. At or prior to the Closing Time, the Company and the Trustee shall have executed and delivered the Base Indenture, the Eighth Supplemental Indenture and the Securities.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Maintenance of Rating</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At the Closing Time, the Securities shall be rated at least Baa3 by Moody’s Investor Services, Inc. and BBB- by Fitch Ratings, Inc. and, since the execution of this Agreement, there shall not have been a downgrade in the rating of any of the Company’s debt securities by any “nationally recognized statistical rating organization” (as defined in Section 3(a)(62) of the 1934 Act), or any notice given of any intended or potential decrease in any such rating or of a possible change in any such rating that does not indicate the direction of the possible change, and no such organization shall have publicly announced it has under surveillance or review any such rating.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Chief Financial Officer’s Certificate</w:t>
      </w:r>
      <w:r>
        <w:rPr>
          <w:rFonts w:ascii="Times New Roman;serif" w:hAnsi="Times New Roman;serif"/>
          <w:b w:val="false"/>
          <w:color w:val="000000"/>
          <w:sz w:val="22"/>
        </w:rPr>
        <w:t>. At the time of the execution of this Agreement and the Closing Time, the Underwriters shall have received from the Chief Financial Officer of the Company a certificate in form and substance reasonably satisfactory to the Underwriters.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Additional Documents</w:t>
      </w:r>
      <w:r>
        <w:rPr>
          <w:rFonts w:ascii="Times New Roman;serif" w:hAnsi="Times New Roman;serif"/>
          <w:b w:val="false"/>
          <w:color w:val="000000"/>
          <w:sz w:val="22"/>
        </w:rPr>
        <w:t>. At the Closing Time, counsel for the Underwriters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Underwriters and counsel for the Underwriters.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(k)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(m)    </w:t>
      </w:r>
      <w:r>
        <w:rPr>
          <w:rFonts w:ascii="Times New Roman;serif" w:hAnsi="Times New Roman;serif"/>
          <w:b w:val="false"/>
          <w:color w:val="000000"/>
          <w:sz w:val="22"/>
          <w:u w:val="single"/>
        </w:rPr>
        <w:t>Termination of Agreement</w:t>
      </w:r>
      <w:r>
        <w:rPr>
          <w:rFonts w:ascii="Times New Roman;serif" w:hAnsi="Times New Roman;serif"/>
          <w:b w:val="false"/>
          <w:color w:val="000000"/>
          <w:sz w:val="22"/>
        </w:rPr>
        <w:t xml:space="preserve">. If any condition specified in this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shall not have been fulfilled when and as required to be fulfilled, this Agreement may be terminated by the Underwriters by notice to the Company at any time at or prior to the Closing Time and such termination shall be without liability of any party to any other party except as provided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and except that </w:t>
      </w:r>
      <w:r>
        <w:rPr>
          <w:rFonts w:ascii="Times New Roman;serif" w:hAnsi="Times New Roman;serif"/>
          <w:b w:val="false"/>
          <w:color w:val="000000"/>
          <w:sz w:val="22"/>
          <w:u w:val="single"/>
        </w:rPr>
        <w:t>Section 1</w:t>
      </w:r>
      <w:r>
        <w:rPr>
          <w:rFonts w:ascii="Times New Roman;serif" w:hAnsi="Times New Roman;serif"/>
          <w:b w:val="false"/>
          <w:color w:val="000000"/>
          <w:sz w:val="22"/>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9410"/>
                <wp:effectExtent l="0" t="0" r="0" b="0"/>
                <wp:wrapNone/>
                <wp:docPr id="26" name="Frame26"/>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Section 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17</w:t>
      </w:r>
      <w:r>
        <w:rPr>
          <w:color w:val="000000"/>
        </w:rPr>
        <w:t xml:space="preserve"> </w:t>
      </w:r>
      <w:r>
        <w:rPr>
          <w:rFonts w:ascii="Times New Roman;serif" w:hAnsi="Times New Roman;serif"/>
          <w:b w:val="false"/>
          <w:color w:val="000000"/>
          <w:sz w:val="22"/>
        </w:rPr>
        <w:t>shall survive any such termination and remain in full force and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    </w:t>
      </w:r>
      <w:r>
        <w:rPr>
          <w:rFonts w:ascii="Times New Roman;serif" w:hAnsi="Times New Roman;serif"/>
          <w:b w:val="false"/>
          <w:color w:val="000000"/>
          <w:sz w:val="22"/>
          <w:u w:val="single"/>
        </w:rPr>
        <w:t>INDEMNIFICATION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Indemnification of Underwriters</w:t>
      </w:r>
      <w:r>
        <w:rPr>
          <w:rFonts w:ascii="Times New Roman;serif" w:hAnsi="Times New Roman;serif"/>
          <w:b w:val="false"/>
          <w:color w:val="000000"/>
          <w:sz w:val="22"/>
        </w:rPr>
        <w:t>. The Company agrees to indemnify, defend and hold harmless each Underwriter, its partners, directors, officers and employees, and any person who controls any Underwriter within the meaning of Section 15 of the 1933 Act or Section 20 of the 1934 Act, and the successors and assigns of all of the foregoing persons, from and against: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and all loss, damage, expense, liability or claim whatsoever (including the reasonable cost of any investigation incurred in connection therewith) which, jointly or severally, any such Underwriter or any such person may incur under the 1933 Act, the 1934 Act, the 1940 Act, the common law or otherwise, insofar as such loss, damage, expense, liability or claim arises out of or is based upon (A)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(B) any untrue statement or alleged untrue statement of a material fact included in the Disclosure Package or the Prospectus (or any amendment or supplement thereto), or any Additional Disclosure Item (when taken together with the Disclosure Package), or the omission or alleged omission therefrom of a material fact necessary in order to make the statements therein, in the light of the circumstances under which they were made, not misleading;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    against any and all loss, damage, expense, liability or claim whatsoever, as incurred, to the extent of the aggregate amount paid in settlement of any litigation, or any investigation or proceeding by any governmental agency or body, commenced or threatened, or of any claim whatsoever arises out of or is based upon any such untrue statement or omission referred to in clause (i); provided that (subject to </w:t>
      </w:r>
      <w:r>
        <w:rPr>
          <w:rFonts w:ascii="Times New Roman;serif" w:hAnsi="Times New Roman;serif"/>
          <w:b w:val="false"/>
          <w:color w:val="000000"/>
          <w:sz w:val="22"/>
          <w:u w:val="single"/>
        </w:rPr>
        <w:t>Section 6(e)</w:t>
      </w:r>
      <w:r>
        <w:rPr>
          <w:color w:val="000000"/>
        </w:rPr>
        <w:t> </w:t>
      </w:r>
      <w:r>
        <w:rPr>
          <w:rFonts w:ascii="Times New Roman;serif" w:hAnsi="Times New Roman;serif"/>
          <w:b w:val="false"/>
          <w:color w:val="000000"/>
          <w:sz w:val="22"/>
        </w:rPr>
        <w:t>below) any such settlement is effected with the written consent of the Company;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against any and all expense whatsoever, as incurred (including the fees and disbursements of counsel chosen by the Representatives), reasonably incurred in investigating, preparing or defending against any actual or threatened litigation (including the fees and disbursements of counsel chosen by the Representatives), or any investigation or proceeding by any governmental agency or body, commenced or threatened, or any claim whatsoever based upon any such untrue statement or omission, or any such alleged untrue statement or omission, to the extent that any such expense is not paid under clauses (i) or (ii) above.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Notwithstanding the foregoing, the indemnification provisions set forth in this </w:t>
      </w:r>
      <w:r>
        <w:rPr>
          <w:rFonts w:ascii="Times New Roman;serif" w:hAnsi="Times New Roman;serif"/>
          <w:b w:val="false"/>
          <w:color w:val="000000"/>
          <w:sz w:val="22"/>
          <w:u w:val="single"/>
        </w:rPr>
        <w:t>Section 6(a)</w:t>
      </w:r>
      <w:r>
        <w:rPr>
          <w:color w:val="000000"/>
        </w:rPr>
        <w:t xml:space="preserve"> </w:t>
      </w:r>
      <w:r>
        <w:rPr>
          <w:rFonts w:ascii="Times New Roman;serif" w:hAnsi="Times New Roman;serif"/>
          <w:b w:val="false"/>
          <w:color w:val="000000"/>
          <w:sz w:val="22"/>
        </w:rPr>
        <w:t xml:space="preserve">shall not apply to any loss, damage, expense, liability or claim to the extent arising out of or based upon any untrue statement or omission or alleged untrue statement or omission made in reliance upon and in conformity with written information furnished to the Company by any Underwriter through the Representatives or their counsel expressly for use in the Registration Statement (or any amendment thereto), the Disclosure Package or the Prospectus (or any amendment or supplement thereto) or any Additional Disclosure Item, it being understood and agreed upon that the only such information furnished by any Underwriter consists of the information set forth in </w:t>
      </w:r>
      <w:r>
        <w:rPr>
          <w:rFonts w:ascii="Times New Roman;serif" w:hAnsi="Times New Roman;serif"/>
          <w:b w:val="false"/>
          <w:color w:val="000000"/>
          <w:sz w:val="22"/>
          <w:u w:val="single"/>
        </w:rPr>
        <w:t>Section 6(f)</w:t>
      </w:r>
      <w:r>
        <w:rPr>
          <w:color w:val="000000"/>
        </w:rPr>
        <w:t xml:space="preserve"> </w:t>
      </w:r>
      <w:r>
        <w:rPr>
          <w:rFonts w:ascii="Times New Roman;serif" w:hAnsi="Times New Roman;serif"/>
          <w:b w:val="false"/>
          <w:color w:val="000000"/>
          <w:sz w:val="22"/>
        </w:rPr>
        <w:t xml:space="preserve">below. Moreover, that the Company will not be liable to any Underwriter with respect to the Prospectus, the Disclosure Package or any Additional Disclosure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9410"/>
                <wp:effectExtent l="0" t="0" r="0" b="0"/>
                <wp:wrapNone/>
                <wp:docPr id="27" name="Frame27"/>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Item to the extent that the Company shall sustain the burden of proving that any such loss, damage, expense, liability or claim resulted from the fact that such Underwriter, in contravention of a requirement of this Agreement or applicable law, sold Securities to a person to whom such Underwriter failed to send or give, at or prior to the Closing Time, a copy of the Prospectus, as then amended or supplemented if: (i) the Company shall have previously furnished copies of the Prospectus (sufficiently in advance of the Closing Time to allow for distribution by the Closing Time) to the Underwriter and the loss, damage, expense, liability or claim against such Underwriter resulted from an untrue statement or omission of a material fact contained in or omitted from the Disclosure Package or any Additional Disclosure Item (when taken together with the Disclosure Package) which was corrected in the Prospectus prior to the Closing Time and such Prospectus was required by law to be delivered at or prior to the written confirmation of sale to such person and (ii) such failure to give or send such Prospectus by the Closing Time to the party or parties asserting such loss, damage, expense, liability or claim would have constituted a defense to the claim asserted by such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Indemnification of the Company, Directors and Officers</w:t>
      </w:r>
      <w:r>
        <w:rPr>
          <w:rFonts w:ascii="Times New Roman;serif" w:hAnsi="Times New Roman;serif"/>
          <w:b w:val="false"/>
          <w:color w:val="000000"/>
          <w:sz w:val="22"/>
        </w:rPr>
        <w:t xml:space="preserve">. Each Underwriter severally and not jointly agrees to indemnify and hold harmless the Company, its directors, officers, and each person, if any, who controls the Company within the meaning of Section 15 of the 1933 Act or Section 20 of the 1934 Act against any and all loss, damage, expense, liability or claim described in </w:t>
      </w:r>
      <w:r>
        <w:rPr>
          <w:rFonts w:ascii="Times New Roman;serif" w:hAnsi="Times New Roman;serif"/>
          <w:b w:val="false"/>
          <w:color w:val="000000"/>
          <w:sz w:val="22"/>
          <w:u w:val="single"/>
        </w:rPr>
        <w:t>Section 6(a)</w:t>
      </w:r>
      <w:r>
        <w:rPr>
          <w:rFonts w:ascii="Times New Roman;serif" w:hAnsi="Times New Roman;serif"/>
          <w:b w:val="false"/>
          <w:color w:val="000000"/>
          <w:sz w:val="22"/>
        </w:rPr>
        <w:t xml:space="preserve">, as incurred, but only with respect to untrue statements or omissions, or alleged untrue statements or omissions, made in the Registration Statement (or any amendment thereto), the Disclosure Package or the Prospectus (or any amendment or supplement thereto) or any Additional Disclosure Item (when taken together with the Disclosure Package) in reliance upon and in conformity with written information furnished to the Company by such Underwriter through the Representatives or their counsel expressly for use in the Registration Statement (or any amendment thereto) or the Disclosure Package or the Prospectus (or any amendment or supplement thereto) or any Additional Disclosure Item, it being understood and agreed upon that the only such information furnished by any Underwriter consists of the information set forth in </w:t>
      </w:r>
      <w:r>
        <w:rPr>
          <w:rFonts w:ascii="Times New Roman;serif" w:hAnsi="Times New Roman;serif"/>
          <w:b w:val="false"/>
          <w:color w:val="000000"/>
          <w:sz w:val="22"/>
          <w:u w:val="single"/>
        </w:rPr>
        <w:t>Section 6(f)</w:t>
      </w:r>
      <w:r>
        <w:rPr>
          <w:color w:val="000000"/>
        </w:rPr>
        <w:t> </w:t>
      </w:r>
      <w:r>
        <w:rPr>
          <w:rFonts w:ascii="Times New Roman;serif" w:hAnsi="Times New Roman;serif"/>
          <w:b w:val="false"/>
          <w:color w:val="000000"/>
          <w:sz w:val="22"/>
        </w:rPr>
        <w:t>below.</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Actions against Parties; Notification</w:t>
      </w:r>
      <w:r>
        <w:rPr>
          <w:rFonts w:ascii="Times New Roman;serif" w:hAnsi="Times New Roman;serif"/>
          <w:b w:val="false"/>
          <w:color w:val="000000"/>
          <w:sz w:val="22"/>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w:t>
      </w:r>
      <w:r>
        <w:rPr>
          <w:rFonts w:ascii="Times New Roman;serif" w:hAnsi="Times New Roman;serif"/>
          <w:b w:val="false"/>
          <w:color w:val="000000"/>
          <w:sz w:val="22"/>
          <w:u w:val="single"/>
        </w:rPr>
        <w:t>Section 6(a)</w:t>
      </w:r>
      <w:r>
        <w:rPr>
          <w:rFonts w:ascii="Times New Roman;serif" w:hAnsi="Times New Roman;serif"/>
          <w:b w:val="false"/>
          <w:color w:val="000000"/>
          <w:sz w:val="22"/>
        </w:rPr>
        <w:t xml:space="preserve">, counsel to the indemnified parties shall be selected by the Representatives, and, in the case of parties indemnified pursuant to </w:t>
      </w:r>
      <w:r>
        <w:rPr>
          <w:rFonts w:ascii="Times New Roman;serif" w:hAnsi="Times New Roman;serif"/>
          <w:b w:val="false"/>
          <w:color w:val="000000"/>
          <w:sz w:val="22"/>
          <w:u w:val="single"/>
        </w:rPr>
        <w:t>Section 6(b)</w:t>
      </w:r>
      <w:r>
        <w:rPr>
          <w:rFonts w:ascii="Times New Roman;serif" w:hAnsi="Times New Roman;serif"/>
          <w:b w:val="false"/>
          <w:color w:val="000000"/>
          <w:sz w:val="22"/>
        </w:rPr>
        <w:t xml:space="preser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hereof (whether or not the indemnified parties are actual or potential parties thereto), unless such settlement, compromise or consent (i) includes an unconditional release of each indemnified party from all liability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9410"/>
                <wp:effectExtent l="0" t="0" r="0" b="0"/>
                <wp:wrapNone/>
                <wp:docPr id="28" name="Frame28"/>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arising out of such litigation, investigation, proceeding or claim and (ii) does not include a statement as to or an admission of fault, culpability or a failure to act by or on behalf of any indemnified party.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Settlement without Consent if Failure to Reimburse</w:t>
      </w:r>
      <w:r>
        <w:rPr>
          <w:rFonts w:ascii="Times New Roman;serif" w:hAnsi="Times New Roman;serif"/>
          <w:b w:val="false"/>
          <w:color w:val="000000"/>
          <w:sz w:val="22"/>
        </w:rPr>
        <w:t xml:space="preserve">. If at any time an indemnified party shall have requested an indemnifying party to reimburse the indemnified party for fees and expenses of counsel, such indemnifying party agrees that it shall be liable for any settlement of the nature contemplated by </w:t>
      </w:r>
      <w:r>
        <w:rPr>
          <w:rFonts w:ascii="Times New Roman;serif" w:hAnsi="Times New Roman;serif"/>
          <w:b w:val="false"/>
          <w:color w:val="000000"/>
          <w:sz w:val="22"/>
          <w:u w:val="single"/>
        </w:rPr>
        <w:t>Section 6(a)(ii)</w:t>
      </w:r>
      <w:r>
        <w:rPr>
          <w:color w:val="000000"/>
        </w:rPr>
        <w:t> </w:t>
      </w:r>
      <w:r>
        <w:rPr>
          <w:rFonts w:ascii="Times New Roman;serif" w:hAnsi="Times New Roman;serif"/>
          <w:b w:val="false"/>
          <w:color w:val="000000"/>
          <w:sz w:val="22"/>
        </w:rPr>
        <w:t>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provided that an indemnifying party shall not be liable for any such settlement effected without its consent if such indemnifying party, prior to the date of such settlement, (1) reimburses such indemnified party in accordance with such request for the amount of such fees and expenses of counsel as the indemnifying party believes in good faith to be reasonable, and (2) provides written notice to the indemnified party that the indemnifying party disputes in good faith the reasonableness of the unpaid balance of such fees and expenses.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Information Provided by Underwriters</w:t>
      </w:r>
      <w:r>
        <w:rPr>
          <w:rFonts w:ascii="Times New Roman;serif" w:hAnsi="Times New Roman;serif"/>
          <w:b w:val="false"/>
          <w:color w:val="000000"/>
          <w:sz w:val="22"/>
        </w:rPr>
        <w:t>. The Company and the Underwriters acknowledge and agree that (i) the concession figure appearing under the caption “Underwriting —Commissions and Discounts” in the Prospectus, (ii) the statements set forth in the first sentence of the first paragraph under the caption “Underwriting — Stabilization” in the Prospectus, and (iii) the list of Underwriters and their respective participation in the sale of the Securities, which is set forth in the first table under the caption “Underwriting” in the Prospectus, constitute the only information furnished in writing by or on behalf of the several Underwriters.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    </w:t>
      </w:r>
      <w:r>
        <w:rPr>
          <w:rFonts w:ascii="Times New Roman;serif" w:hAnsi="Times New Roman;serif"/>
          <w:b w:val="false"/>
          <w:color w:val="000000"/>
          <w:sz w:val="22"/>
          <w:u w:val="single"/>
        </w:rPr>
        <w:t>CONTRIBUTION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the indemnification provided for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total underwriting discount received by the Underwriters (whether from the Company or otherwise), in each case as set forth on the cover of the Prospectus Supplement bear to the aggregate principal offering amount of the Securities as set forth on such cover.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9410"/>
                <wp:effectExtent l="0" t="0" r="0" b="0"/>
                <wp:wrapNone/>
                <wp:docPr id="29" name="Frame29"/>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Company and the Underwriters agree that it would not be just and equitable if contribution pursuant to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were determined by pro rata allocation (even if the Underwriters were treated as one entity for such purpose) or by any other method of allocation which does not take account of the equitable considerations referred to above in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xml:space="preserve">. The aggregate amount of losses, liabilities, claims, damages and expenses incurred by an indemnified party and referred to above in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any such untrue or alleged untrue statement or omission or alleged omission.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Notwithstanding the provisions of this</w:t>
      </w:r>
      <w:r>
        <w:rPr>
          <w:color w:val="000000"/>
          <w:u w:val="single"/>
        </w:rPr>
        <w:t xml:space="preserve"> </w:t>
      </w:r>
      <w:r>
        <w:rPr>
          <w:rFonts w:ascii="Times New Roman;serif" w:hAnsi="Times New Roman;serif"/>
          <w:b w:val="false"/>
          <w:color w:val="000000"/>
          <w:sz w:val="22"/>
          <w:u w:val="single"/>
        </w:rPr>
        <w:t>Section 7</w:t>
      </w:r>
      <w:r>
        <w:rPr>
          <w:rFonts w:ascii="Times New Roman;serif" w:hAnsi="Times New Roman;serif"/>
          <w:b w:val="false"/>
          <w:color w:val="000000"/>
          <w:sz w:val="22"/>
        </w:rPr>
        <w:t>, no person guilty of fraudulent misrepresentation (within the meaning of Section 11(f) of the 1933 Act) shall be entitled to contribution from any person who was not guilty of such fraudulent misrepresentation.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xml:space="preserve">, each person, if any, who controls an Underwriter within the meaning of Section 15 of the 1933 Act or Section 20 of the 1934 Act shall have the same rights to contribution as such Underwriter, and each director and officer of the Company and each person, if any, who controls the Company, within the meaning of Section 15 of the 1933 Act or Section 20 of the 1934 Act shall have the same rights to contribution as the Company. The Underwriters’ respective obligations to contribute pursuant to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are several in proportion to the number of Securities set forth opposite their respective names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hereto and not joint.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 other provision of Section 6 or this Section 7, any indemnification or contribution by the Company shall be subject to the requirements and limitations of Section 17(i) of the 1940 Act.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    </w:t>
      </w:r>
      <w:r>
        <w:rPr>
          <w:rFonts w:ascii="Times New Roman;serif" w:hAnsi="Times New Roman;serif"/>
          <w:b w:val="false"/>
          <w:color w:val="000000"/>
          <w:sz w:val="22"/>
          <w:u w:val="single"/>
        </w:rPr>
        <w:t>REPRESENTATIONS AND WARRANTIES TO SURVIVE DELIVERY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representations, warranties and covenants contained in this Agreement or in certificates of officers of the Company submitted pursuant hereto, shall remain operative and in full force and effect, regardless of any investigation made by or on behalf of any Underwriter, any person controlling any Underwriter or any affiliate of any Underwriter, or by or on behalf of the Company, its officers or directors or any person controlling the Company, and shall survive the acceptance of and payment for any of the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    </w:t>
      </w:r>
      <w:r>
        <w:rPr>
          <w:rFonts w:ascii="Times New Roman;serif" w:hAnsi="Times New Roman;serif"/>
          <w:b w:val="false"/>
          <w:color w:val="000000"/>
          <w:sz w:val="22"/>
          <w:u w:val="single"/>
        </w:rPr>
        <w:t>TERMINATION OF AGREEMENT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Termination; General</w:t>
      </w:r>
      <w:r>
        <w:rPr>
          <w:rFonts w:ascii="Times New Roman;serif" w:hAnsi="Times New Roman;serif"/>
          <w:b w:val="false"/>
          <w:color w:val="000000"/>
          <w:sz w:val="22"/>
        </w:rPr>
        <w:t xml:space="preserve">. The Underwriters may terminate this Agreement, by notice to the Company, at any time at or prior to the Closing Time (i) if there has been, since the time of execution of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9410"/>
                <wp:effectExtent l="0" t="0" r="0" b="0"/>
                <wp:wrapNone/>
                <wp:docPr id="30" name="Frame30"/>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Agreement or since the date of the Prospectus Supplement, any Material Adverse Change whether or not arising in the ordinary course of business, or (ii) if there has occurred any material adverse change in the financial markets in the United States or the international financial markets, any material outbreak of hostilities or material escalation thereof or other calamity or crisis or any change or development involving a prospective change in national or international political, financial or economic conditions, in each case the effect of which is such as to make it, in the judgment of the Underwriters, impracticable or inadvisable to market the Securities or to enforce contracts for the sale of the Securities, or (iii) if trading in the common stock of the Company has been suspended or materially limited by the Commission or Nasdaq, or if trading generally on the New York Stock Exchange or Nasdaq markets has been suspended or materially limited, or minimum or maximum prices for trading have been fixed, or maximum ranges for prices have been required, by any of said exchanges or by such system or by order of the Commission, Nasdaq or any other governmental authority, or a material disruption has occurred in commercial banking or securities settlement or clearance services in the United States, or (iv) if a banking moratorium has been declared by either Federal or New York state authorities.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Liabilities</w:t>
      </w:r>
      <w:r>
        <w:rPr>
          <w:rFonts w:ascii="Times New Roman;serif" w:hAnsi="Times New Roman;serif"/>
          <w:b w:val="false"/>
          <w:color w:val="000000"/>
          <w:sz w:val="22"/>
        </w:rPr>
        <w:t xml:space="preserve">. If this Agreement is terminated pursuant to this </w:t>
      </w:r>
      <w:r>
        <w:rPr>
          <w:rFonts w:ascii="Times New Roman;serif" w:hAnsi="Times New Roman;serif"/>
          <w:b w:val="false"/>
          <w:color w:val="000000"/>
          <w:sz w:val="22"/>
          <w:u w:val="single"/>
        </w:rPr>
        <w:t>Section 9</w:t>
      </w:r>
      <w:r>
        <w:rPr>
          <w:rFonts w:ascii="Times New Roman;serif" w:hAnsi="Times New Roman;serif"/>
          <w:b w:val="false"/>
          <w:color w:val="000000"/>
          <w:sz w:val="22"/>
        </w:rPr>
        <w:t xml:space="preserve">, such termination shall be without liability of any party to any other party except as provided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hereof, and provided further that </w:t>
      </w:r>
      <w:r>
        <w:rPr>
          <w:rFonts w:ascii="Times New Roman;serif" w:hAnsi="Times New Roman;serif"/>
          <w:b w:val="false"/>
          <w:color w:val="000000"/>
          <w:sz w:val="22"/>
          <w:u w:val="single"/>
        </w:rPr>
        <w:t>Section 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13</w:t>
      </w:r>
      <w:r>
        <w:rPr>
          <w:color w:val="000000"/>
        </w:rPr>
        <w:t xml:space="preserve"> </w:t>
      </w:r>
      <w:r>
        <w:rPr>
          <w:rFonts w:ascii="Times New Roman;serif" w:hAnsi="Times New Roman;serif"/>
          <w:b w:val="false"/>
          <w:color w:val="000000"/>
          <w:sz w:val="22"/>
        </w:rPr>
        <w:t>shall survive such termination and remain in full force and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    </w:t>
      </w:r>
      <w:r>
        <w:rPr>
          <w:rFonts w:ascii="Times New Roman;serif" w:hAnsi="Times New Roman;serif"/>
          <w:b w:val="false"/>
          <w:color w:val="000000"/>
          <w:sz w:val="22"/>
          <w:u w:val="single"/>
        </w:rPr>
        <w:t>DEFAULT BY ONE OR MORE OF THE UNDERWRITERS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If one or more of the Underwriters shall fail at the Closing Time to purchase the Securities which it or they are obligated to purchase under this Agreement (the “</w:t>
      </w:r>
      <w:r>
        <w:rPr>
          <w:rFonts w:ascii="Times New Roman;serif" w:hAnsi="Times New Roman;serif"/>
          <w:b/>
          <w:i/>
          <w:color w:val="000000"/>
          <w:sz w:val="22"/>
        </w:rPr>
        <w:t>Defaulted Securities</w:t>
      </w:r>
      <w:r>
        <w:rPr>
          <w:color w:val="000000"/>
        </w:rPr>
        <w:t>”</w:t>
      </w:r>
      <w:r>
        <w:rPr>
          <w:rFonts w:ascii="Times New Roman;serif" w:hAnsi="Times New Roman;serif"/>
          <w:b w:val="false"/>
          <w:color w:val="000000"/>
          <w:sz w:val="22"/>
        </w:rPr>
        <w:t>),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if the number of Defaulted Securities exceeds 10% of the number of Securities to be purchased on such date, this Agreement shall terminate without liability on the part of any non-defaulting Underwriter.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No action taken pursuant to this </w:t>
      </w:r>
      <w:r>
        <w:rPr>
          <w:rFonts w:ascii="Times New Roman;serif" w:hAnsi="Times New Roman;serif"/>
          <w:b w:val="false"/>
          <w:color w:val="000000"/>
          <w:sz w:val="22"/>
          <w:u w:val="single"/>
        </w:rPr>
        <w:t>Section 10</w:t>
      </w:r>
      <w:r>
        <w:rPr>
          <w:color w:val="000000"/>
        </w:rPr>
        <w:t xml:space="preserve"> </w:t>
      </w:r>
      <w:r>
        <w:rPr>
          <w:rFonts w:ascii="Times New Roman;serif" w:hAnsi="Times New Roman;serif"/>
          <w:b w:val="false"/>
          <w:color w:val="000000"/>
          <w:sz w:val="22"/>
        </w:rPr>
        <w:t>shall relieve any defaulting Underwriter from liability in respect of its default.</w:t>
      </w:r>
    </w:p>
    <w:p>
      <w:pPr>
        <w:pStyle w:val="TextBody"/>
        <w:bidi w:val="0"/>
        <w:spacing w:lineRule="auto" w:line="288" w:before="0" w:after="240"/>
        <w:ind w:left="0" w:right="0" w:firstLine="720"/>
        <w:jc w:val="both"/>
        <w:rPr/>
      </w:pPr>
      <w:r>
        <w:rPr>
          <w:rFonts w:ascii="Times New Roman;serif" w:hAnsi="Times New Roman;serif"/>
          <w:b w:val="false"/>
          <w:color w:val="000000"/>
          <w:sz w:val="22"/>
        </w:rPr>
        <w:t>(c)    In the event of any such default which does not result in a termination of this Agreement either the Representatives or the Company shall have the right to postpone the Closing Time for a period not exceeding seven (7) days in order to effect any required changes in the Registration Statement or Prospectus Supplement or in any other documents or arrangements. As used herein, the term “</w:t>
      </w:r>
      <w:r>
        <w:rPr>
          <w:rFonts w:ascii="Times New Roman;serif" w:hAnsi="Times New Roman;serif"/>
          <w:b/>
          <w:i/>
          <w:color w:val="000000"/>
          <w:sz w:val="22"/>
        </w:rPr>
        <w:t>Underwriter</w:t>
      </w:r>
      <w:r>
        <w:rPr>
          <w:color w:val="000000"/>
        </w:rPr>
        <w:t xml:space="preserve">” </w:t>
      </w:r>
      <w:r>
        <w:rPr>
          <w:rFonts w:ascii="Times New Roman;serif" w:hAnsi="Times New Roman;serif"/>
          <w:b w:val="false"/>
          <w:color w:val="000000"/>
          <w:sz w:val="22"/>
        </w:rPr>
        <w:t>includes any person substituted for an Underwriter under this</w:t>
      </w:r>
      <w:r>
        <w:rPr>
          <w:color w:val="000000"/>
          <w:u w:val="single"/>
        </w:rPr>
        <w:t xml:space="preserve"> </w:t>
      </w:r>
      <w:r>
        <w:rPr>
          <w:rFonts w:ascii="Times New Roman;serif" w:hAnsi="Times New Roman;serif"/>
          <w:b w:val="false"/>
          <w:color w:val="000000"/>
          <w:sz w:val="22"/>
          <w:u w:val="single"/>
        </w:rPr>
        <w:t>Section 10</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9410"/>
                <wp:effectExtent l="0" t="0" r="0" b="0"/>
                <wp:wrapNone/>
                <wp:docPr id="31" name="Frame31"/>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    </w:t>
      </w:r>
      <w:r>
        <w:rPr>
          <w:rFonts w:ascii="Times New Roman;serif" w:hAnsi="Times New Roman;serif"/>
          <w:b w:val="false"/>
          <w:color w:val="000000"/>
          <w:sz w:val="22"/>
          <w:u w:val="single"/>
        </w:rPr>
        <w:t>NOTICES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All notices and other communications hereunder shall be in writing and shall </w:t>
      </w:r>
      <w:r>
        <w:rPr>
          <w:rFonts w:ascii="Times New Roman;serif" w:hAnsi="Times New Roman;serif"/>
          <w:b w:val="false"/>
          <w:color w:val="000000"/>
          <w:sz w:val="22"/>
          <w:shd w:fill="FFFFFF" w:val="clear"/>
        </w:rPr>
        <w:t>be deemed to have been duly given if mailed, hand-delivered or transmitted by any standard form of telecommunication</w:t>
      </w:r>
      <w:r>
        <w:rPr>
          <w:color w:val="000000"/>
        </w:rPr>
        <w:t xml:space="preserve"> </w:t>
      </w:r>
      <w:r>
        <w:rPr>
          <w:rFonts w:ascii="Times New Roman;serif" w:hAnsi="Times New Roman;serif"/>
          <w:b w:val="false"/>
          <w:color w:val="000000"/>
          <w:sz w:val="22"/>
        </w:rPr>
        <w:t xml:space="preserve">or electronic communication to the parties hereto as follows: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the Underwriters: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Deutsche Bank Securities Inc.</w:t>
        <w:br/>
        <w:t>1 Columbus Circle</w:t>
        <w:br/>
        <w:t>New York, New York 10019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Debt Capital Markets Syndicate, with a copy to General Counsel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E-mail: dbcapmarkets.gcnotices@list.db.com</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Huntington Securities, Inc.</w:t>
        <w:br/>
        <w:t>41 S. High Street, 5th Floor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Columbus, Ohio 43287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Debt Capital Markets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Email: DebtCapitalMarkets@huntington.com </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ING Financial Markets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1133 Avenue of the Americas</w:t>
        <w:br/>
        <w:t>New York, New York 10036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Debt Capital Markets Department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US-Bond-Syndicate@ing.com</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ING New York Toll Free: +1 (877) 446-4930</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Morgan Stanley &amp; Co. LLC</w:t>
        <w:br/>
        <w:t>1585 Broadway</w:t>
        <w:br/>
        <w:t>New York, New York 10036</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Attention: Investment Banking Division</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E-mail: fidfinalsettle@morganstanley.com</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Telephone: (212) 761-6691</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Facsimile: (212) 507-8999</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RBC Capital Markets,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Brookfield Place</w:t>
        <w:br/>
        <w:t>200 Vesey Street, 8th Floor</w:t>
        <w:br/>
        <w:t>New York, New York 10281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DCM Transaction Management/Scott Primrose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TMGUS@rbccm.com</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Telephone: (212) 618-7706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9410"/>
                <wp:effectExtent l="0" t="0" r="0" b="0"/>
                <wp:wrapNone/>
                <wp:docPr id="32" name="Frame32"/>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Wells Fargo Securities, LLC</w:t>
        <w:br/>
        <w:t>550 South Tryon Street</w:t>
        <w:br/>
        <w:t>Charlotte, North Carolina 28202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Transaction Management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Email: tmgcapitalmarkets@wellsfargo.com </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a copy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Dechert LLP</w:t>
        <w:br/>
        <w:t>1900 K Street, N.W.</w:t>
        <w:br/>
        <w:t>Washington, D.C. 20006</w:t>
        <w:br/>
        <w:t>Facsimile: (202) 261-3333</w:t>
        <w:br/>
        <w:t>E-mail: harry.pangas@dechert.com</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Attention: Harry S. Pangas, Esq.</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If to the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Capital Southwest Corporation</w:t>
        <w:br/>
        <w:t>8333 Douglas Avenue, Suite 1100</w:t>
        <w:br/>
        <w:t>Dallas, Texas 75225</w:t>
        <w:br/>
        <w:t>Facsimile: (214) 238-5701</w:t>
        <w:br/>
        <w:t>E-mail: crehberger@capitalsouthwest.com</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Chris Rehberger</w:t>
      </w:r>
    </w:p>
    <w:p>
      <w:pPr>
        <w:pStyle w:val="TextBody"/>
        <w:bidi w:val="0"/>
        <w:spacing w:before="0" w:after="0"/>
        <w:jc w:val="left"/>
        <w:rPr/>
      </w:pPr>
      <w:r>
        <w:rPr/>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with a copy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Eversheds Sutherland (US) LLP</w:t>
        <w:br/>
        <w:t>700 Sixth Street, N.W.</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D.C. 20001</w:t>
        <w:br/>
        <w:t>Facsimile: (202) 637-3593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payamsiadatpour@eversheds-sutherland.com</w:t>
        <w:br/>
        <w:t>Attention: Payam Siadatpour, Esq.</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party hereto may change the address for receipt of communications by giving written notice to the others.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12.    </w:t>
      </w:r>
      <w:r>
        <w:rPr>
          <w:rFonts w:ascii="Times New Roman;serif" w:hAnsi="Times New Roman;serif"/>
          <w:b w:val="false"/>
          <w:color w:val="000000"/>
          <w:sz w:val="22"/>
          <w:u w:val="single"/>
        </w:rPr>
        <w:t>PARTIES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Agreement shall each inure to the benefit of and be binding upon the Underwriters, the Company, and their respective partners and successors. Nothing expressed or mentioned in this Agreement is intended or shall be construed to give any person, firm or corporation, other than the Underwriters, the Company, and their respective successors and the controlling persons and officers and directors referred to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their respective partners and successors, and said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9410"/>
                <wp:effectExtent l="0" t="0" r="0" b="0"/>
                <wp:wrapNone/>
                <wp:docPr id="33" name="Frame33"/>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controlling persons and officers, directors and their heirs and legal representatives, and for the benefit of no other person, firm or corporation. No purchaser of Securities from any Underwriter shall be deemed to be a successor by reason merely of such purchase.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13.    </w:t>
      </w:r>
      <w:r>
        <w:rPr>
          <w:rFonts w:ascii="Times New Roman;serif" w:hAnsi="Times New Roman;serif"/>
          <w:b w:val="false"/>
          <w:color w:val="000000"/>
          <w:sz w:val="22"/>
          <w:u w:val="single"/>
        </w:rPr>
        <w:t>NO FIDUCIARY OBLIGATION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acknowledges and agrees that each of the Underwriters have acted, and are acting, solely in the capacity of an arm’s-length contractual counterparty to the Company with respect to the Offering of the Securities contemplated hereby (including in connection with determining the terms of the Offering) and not as a financial advisor or a fiduciary to, or an agent of, the Company or any other person. Additionally, the Underwriters have not advised, and are not advising, the Company or any other person as to any legal, tax, investment, accounting or regulatory matter in any jurisdiction with respect to the transactions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has been and will be performed solely for the benefit of the Underwriters and have not been and shall not be on behalf of the Company or any other person. It is understood that the offering price was arrived at through arm’s-length negotiations between the Underwriters and the Company, and that such price was not set or otherwise determined as a result of expert advice rendered to the Company by any Underwriter. The Company acknowledges and agrees that the Underwriters are collectively acting as an independent contractor, and any duty of the Underwriters arising out of this Agreement and the transactions completed hereby shall be contractual in nature and expressly set forth herein. Notwithstanding anything in this Agreement to the contrary, the Company acknowledges that the Underwriters may have financial interests in the success of the Offering contemplated hereby that are not limited to the difference between the price to the public and the Purchase Price paid to the Company by the Underwriters for the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14.    </w:t>
      </w:r>
      <w:r>
        <w:rPr>
          <w:rFonts w:ascii="Times New Roman;serif" w:hAnsi="Times New Roman;serif"/>
          <w:b w:val="false"/>
          <w:color w:val="000000"/>
          <w:sz w:val="22"/>
          <w:u w:val="single"/>
        </w:rPr>
        <w:t>RESEARCH ANALYST INDEPENDENCE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acknowledges that (i) the Underwriters’ research analysts and research departments are required to be independent from their respective investment banking divisions and are subject to certain regulations and internal policies and (ii) the Underwriters’ research analysts may hold views and make statements or investment recommendations and/or publish research reports with respect to the Company, the value of the common stock of the Company, the Securities and/or the Offering that differ from the views of their respective investment banking divisions. The Company hereby waives and releases, to the fullest extent permitted by law, any claims that it may have against the Underwriters with respect to any conflict of interest that may arise from the fact that the views expressed by the Underwriters’ independent research analysts and research departments may be different from or inconsistent with the views or advice communicated to the Company by any Underwriter’s investment banking division.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are the subject of the transactions contemplated by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15.    </w:t>
      </w:r>
      <w:r>
        <w:rPr>
          <w:rFonts w:ascii="Times New Roman;serif" w:hAnsi="Times New Roman;serif"/>
          <w:b w:val="false"/>
          <w:color w:val="000000"/>
          <w:sz w:val="22"/>
          <w:u w:val="single"/>
        </w:rPr>
        <w:t>GOVERNING LAW AND TIME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AGREEMENT AND ANY CLAIM, CONTROVERSY OR DISPUTE ARISING UNDER OR RELATED THERETO SHALL BE GOVERNED BY AND CONSTRUED IN ACCORDANCE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9410"/>
                <wp:effectExtent l="0" t="0" r="0" b="0"/>
                <wp:wrapNone/>
                <wp:docPr id="34" name="Frame34"/>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THE LAWS OF THE STATE OF NEW YORK APPLICABLE TO AGREEMENTS MADE AND TO BE PERFORMED IN SAID STATE. UNLESS OTHERWISE EXPLICITLY PROVIDED, SPECIFIED TIMES OF DAY REFER TO EASTERN TIME.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16.    </w:t>
      </w:r>
      <w:r>
        <w:rPr>
          <w:rFonts w:ascii="Times New Roman;serif" w:hAnsi="Times New Roman;serif"/>
          <w:b w:val="false"/>
          <w:color w:val="000000"/>
          <w:sz w:val="22"/>
          <w:u w:val="single"/>
        </w:rPr>
        <w:t>JURISDICTION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and each of the Underwriters hereby submit to the jurisdiction of and venue in the federal courts located in the City of New York, New York in connection with any dispute related to this Agreement, any transaction contemplated hereby, or any other matter contemplated hereby.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17.    </w:t>
      </w:r>
      <w:r>
        <w:rPr>
          <w:rFonts w:ascii="Times New Roman;serif" w:hAnsi="Times New Roman;serif"/>
          <w:b w:val="false"/>
          <w:color w:val="000000"/>
          <w:sz w:val="22"/>
          <w:u w:val="single"/>
        </w:rPr>
        <w:t>WAIVER OF TRIAL BY JURY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AND EACH OF THE UNDERWRITERS HEREBY IRREVOCABLY WAIVE, TO THE FULLEST EXTENT PERMITTED BY APPLICABLE LAW, ANY AND ALL RIGHT TO TRIAL BY JURY IN ANY LEGAL PROCEEDING ARISING OUT OF OR RELATING TO THIS AGREEMENT OR THE TRANSACTIONS CONTEMPLATED HEREBY.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18.    </w:t>
      </w:r>
      <w:r>
        <w:rPr>
          <w:rFonts w:ascii="Times New Roman;serif" w:hAnsi="Times New Roman;serif"/>
          <w:b w:val="false"/>
          <w:color w:val="000000"/>
          <w:sz w:val="22"/>
          <w:u w:val="single"/>
        </w:rPr>
        <w:t>EFFECT OF HEADINGS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Article and Section headings herein are for convenience only and shall not affect the construction 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19.    </w:t>
      </w:r>
      <w:r>
        <w:rPr>
          <w:rFonts w:ascii="Times New Roman;serif" w:hAnsi="Times New Roman;serif"/>
          <w:b w:val="false"/>
          <w:color w:val="000000"/>
          <w:sz w:val="22"/>
          <w:u w:val="single"/>
        </w:rPr>
        <w:t>RECOGNITION OF THE U.S. SPECIAL RESOLUTION REGIMES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19</w:t>
      </w:r>
      <w:r>
        <w:rPr>
          <w:rFonts w:ascii="Times New Roman;serif" w:hAnsi="Times New Roman;serif"/>
          <w:b w:val="false"/>
          <w:color w:val="000000"/>
          <w:sz w:val="22"/>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9410"/>
                <wp:effectExtent l="0" t="0" r="0" b="0"/>
                <wp:wrapNone/>
                <wp:docPr id="35" name="Frame35"/>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w:t>
      </w:r>
    </w:p>
    <w:p>
      <w:pPr>
        <w:pStyle w:val="TextBody"/>
        <w:bidi w:val="0"/>
        <w:spacing w:before="0" w:after="0"/>
        <w:jc w:val="left"/>
        <w:rPr/>
      </w:pPr>
      <w:r>
        <w:rPr/>
      </w:r>
    </w:p>
    <w:tbl>
      <w:tblPr>
        <w:tblW w:w="6924" w:type="dxa"/>
        <w:jc w:val="left"/>
        <w:tblInd w:w="0" w:type="dxa"/>
        <w:tblLayout w:type="fixed"/>
        <w:tblCellMar>
          <w:top w:w="28" w:type="dxa"/>
          <w:left w:w="28" w:type="dxa"/>
          <w:bottom w:w="28" w:type="dxa"/>
          <w:right w:w="28" w:type="dxa"/>
        </w:tblCellMar>
      </w:tblPr>
      <w:tblGrid>
        <w:gridCol w:w="124"/>
        <w:gridCol w:w="109"/>
        <w:gridCol w:w="109"/>
        <w:gridCol w:w="472"/>
        <w:gridCol w:w="472"/>
        <w:gridCol w:w="472"/>
        <w:gridCol w:w="472"/>
        <w:gridCol w:w="472"/>
        <w:gridCol w:w="472"/>
        <w:gridCol w:w="1084"/>
        <w:gridCol w:w="1084"/>
        <w:gridCol w:w="15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CAPITAL SOUTHWEST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1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President and Chief Executive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Underwriting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Underwriting Agreement</w:t>
                      </w:r>
                      <w:r>
                        <w:rPr>
                          <w:rFonts w:ascii="Times New Roman;serif" w:hAnsi="Times New Roman;serif"/>
                          <w:b w:val="false"/>
                          <w:color w:val="000000"/>
                          <w:sz w:val="20"/>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57"/>
        <w:gridCol w:w="665"/>
        <w:gridCol w:w="665"/>
        <w:gridCol w:w="700"/>
        <w:gridCol w:w="665"/>
        <w:gridCol w:w="665"/>
        <w:gridCol w:w="990"/>
        <w:gridCol w:w="982"/>
        <w:gridCol w:w="933"/>
        <w:gridCol w:w="139"/>
        <w:gridCol w:w="139"/>
        <w:gridCol w:w="141"/>
        <w:gridCol w:w="274"/>
        <w:gridCol w:w="274"/>
        <w:gridCol w:w="259"/>
        <w:gridCol w:w="593"/>
        <w:gridCol w:w="576"/>
        <w:gridCol w:w="788"/>
      </w:tblGrid>
      <w:tr>
        <w:trPr/>
        <w:tc>
          <w:tcPr>
            <w:tcW w:w="7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CONFIRMED AND ACCEPTED</w:t>
            </w:r>
            <w:r>
              <w:rPr>
                <w:rFonts w:ascii="Times New Roman;serif" w:hAnsi="Times New Roman;serif"/>
                <w:b w:val="false"/>
                <w:color w:val="000000"/>
                <w:sz w:val="22"/>
              </w:rPr>
              <w:t>,</w:t>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2"/>
              </w:rPr>
            </w:pPr>
            <w:r>
              <w:rPr>
                <w:rFonts w:ascii="Times New Roman;serif" w:hAnsi="Times New Roman;serif"/>
                <w:b w:val="false"/>
                <w:color w:val="000000"/>
                <w:sz w:val="22"/>
              </w:rPr>
              <w:t>as of the date first above written:</w:t>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DEUTSCHE BANK SECURITIES INC.</w:t>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9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John Warren</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Cole Adams</w:t>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John Warren</w:t>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Cole Adams</w:t>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Managing Director</w:t>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Director</w:t>
            </w:r>
          </w:p>
        </w:tc>
      </w:tr>
      <w:tr>
        <w:trPr/>
        <w:tc>
          <w:tcPr>
            <w:tcW w:w="7022" w:type="dxa"/>
            <w:gridSpan w:val="9"/>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pPr>
            <w:r>
              <w:rPr>
                <w:rFonts w:ascii="Times New Roman;serif" w:hAnsi="Times New Roman;serif"/>
                <w:b w:val="false"/>
                <w:color w:val="000000"/>
                <w:sz w:val="22"/>
              </w:rPr>
              <w:t xml:space="preserve">For itself and as Representative of the several Underwriters named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hereto</w:t>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HUNTINGTON SECURITIES, INC.</w:t>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9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Anas Bennisse</w:t>
            </w:r>
          </w:p>
        </w:tc>
        <w:tc>
          <w:tcPr>
            <w:tcW w:w="3183" w:type="dxa"/>
            <w:gridSpan w:val="9"/>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Anas Bennisse</w:t>
            </w:r>
          </w:p>
        </w:tc>
        <w:tc>
          <w:tcPr>
            <w:tcW w:w="318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c>
          <w:tcPr>
            <w:tcW w:w="318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7022" w:type="dxa"/>
            <w:gridSpan w:val="9"/>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pPr>
            <w:r>
              <w:rPr>
                <w:rFonts w:ascii="Times New Roman;serif" w:hAnsi="Times New Roman;serif"/>
                <w:b w:val="false"/>
                <w:color w:val="000000"/>
                <w:sz w:val="22"/>
              </w:rPr>
              <w:t xml:space="preserve">For itself and as Representative of the several Underwriters named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hereto</w:t>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ING FINANCIAL MARKETS LLC</w:t>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9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Robert Londrigan</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Christophe Dugardyn</w:t>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Robert Londrigan</w:t>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Christophe Dugardyn</w:t>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Managing Director</w:t>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Managing Director</w:t>
            </w:r>
          </w:p>
        </w:tc>
      </w:tr>
      <w:tr>
        <w:trPr/>
        <w:tc>
          <w:tcPr>
            <w:tcW w:w="7022" w:type="dxa"/>
            <w:gridSpan w:val="9"/>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pPr>
            <w:r>
              <w:rPr>
                <w:rFonts w:ascii="Times New Roman;serif" w:hAnsi="Times New Roman;serif"/>
                <w:b w:val="false"/>
                <w:color w:val="000000"/>
                <w:sz w:val="22"/>
              </w:rPr>
              <w:t xml:space="preserve">For itself and as Representative of the several Underwriters named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hereto</w:t>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MORGAN STANLEY &amp; CO. LLC</w:t>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9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Ganz</w:t>
            </w:r>
          </w:p>
        </w:tc>
        <w:tc>
          <w:tcPr>
            <w:tcW w:w="3183" w:type="dxa"/>
            <w:gridSpan w:val="9"/>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Ganz</w:t>
            </w:r>
          </w:p>
        </w:tc>
        <w:tc>
          <w:tcPr>
            <w:tcW w:w="318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c>
          <w:tcPr>
            <w:tcW w:w="318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7022" w:type="dxa"/>
            <w:gridSpan w:val="9"/>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pPr>
            <w:r>
              <w:rPr>
                <w:rFonts w:ascii="Times New Roman;serif" w:hAnsi="Times New Roman;serif"/>
                <w:b w:val="false"/>
                <w:color w:val="000000"/>
                <w:sz w:val="22"/>
              </w:rPr>
              <w:t xml:space="preserve">For itself and as Representative of the several Underwriters named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hereto</w:t>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Underwriting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Underwriting Agreement</w:t>
                      </w:r>
                      <w:r>
                        <w:rPr>
                          <w:rFonts w:ascii="Times New Roman;serif" w:hAnsi="Times New Roman;serif"/>
                          <w:b w:val="false"/>
                          <w:color w:val="000000"/>
                          <w:sz w:val="20"/>
                        </w:rPr>
                        <w:t>]</w:t>
                      </w:r>
                    </w:p>
                  </w:txbxContent>
                </v:textbox>
                <w10:wrap type="none"/>
              </v:rect>
            </w:pict>
          </mc:Fallback>
        </mc:AlternateContent>
      </w:r>
    </w:p>
    <w:tbl>
      <w:tblPr>
        <w:tblW w:w="9438" w:type="dxa"/>
        <w:jc w:val="left"/>
        <w:tblInd w:w="0" w:type="dxa"/>
        <w:tblLayout w:type="fixed"/>
        <w:tblCellMar>
          <w:top w:w="28" w:type="dxa"/>
          <w:left w:w="28" w:type="dxa"/>
          <w:bottom w:w="28" w:type="dxa"/>
          <w:right w:w="28" w:type="dxa"/>
        </w:tblCellMar>
      </w:tblPr>
      <w:tblGrid>
        <w:gridCol w:w="550"/>
        <w:gridCol w:w="482"/>
        <w:gridCol w:w="482"/>
        <w:gridCol w:w="482"/>
        <w:gridCol w:w="482"/>
        <w:gridCol w:w="482"/>
        <w:gridCol w:w="1798"/>
        <w:gridCol w:w="1798"/>
        <w:gridCol w:w="1856"/>
        <w:gridCol w:w="109"/>
        <w:gridCol w:w="109"/>
        <w:gridCol w:w="109"/>
        <w:gridCol w:w="109"/>
        <w:gridCol w:w="109"/>
        <w:gridCol w:w="109"/>
        <w:gridCol w:w="109"/>
        <w:gridCol w:w="109"/>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RBC CAPITAL MARKETS, LLC</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8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Jay Anderson</w:t>
            </w:r>
          </w:p>
        </w:tc>
        <w:tc>
          <w:tcPr>
            <w:tcW w:w="1026" w:type="dxa"/>
            <w:gridSpan w:val="9"/>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Jay Anderson</w:t>
            </w:r>
          </w:p>
        </w:tc>
        <w:tc>
          <w:tcPr>
            <w:tcW w:w="102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Managing Director &amp; Head of US FIG DCM</w:t>
            </w:r>
          </w:p>
        </w:tc>
        <w:tc>
          <w:tcPr>
            <w:tcW w:w="102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8412" w:type="dxa"/>
            <w:gridSpan w:val="9"/>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pPr>
            <w:r>
              <w:rPr>
                <w:rFonts w:ascii="Times New Roman;serif" w:hAnsi="Times New Roman;serif"/>
                <w:b w:val="false"/>
                <w:color w:val="000000"/>
                <w:sz w:val="22"/>
              </w:rPr>
              <w:t xml:space="preserve">For itself and as Representative of the several Underwriters named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hereto</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WELLS FARGO SECURITIES, LLC</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8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Carolyn Hurley</w:t>
            </w:r>
          </w:p>
        </w:tc>
        <w:tc>
          <w:tcPr>
            <w:tcW w:w="1026" w:type="dxa"/>
            <w:gridSpan w:val="9"/>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Carolyn Hurley</w:t>
            </w:r>
          </w:p>
        </w:tc>
        <w:tc>
          <w:tcPr>
            <w:tcW w:w="102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Managing Director</w:t>
            </w:r>
          </w:p>
        </w:tc>
        <w:tc>
          <w:tcPr>
            <w:tcW w:w="102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8412" w:type="dxa"/>
            <w:gridSpan w:val="9"/>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pPr>
            <w:r>
              <w:rPr>
                <w:rFonts w:ascii="Times New Roman;serif" w:hAnsi="Times New Roman;serif"/>
                <w:b w:val="false"/>
                <w:color w:val="000000"/>
                <w:sz w:val="22"/>
              </w:rPr>
              <w:t xml:space="preserve">For itself and as Representative of the several Underwriters named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hereto</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Underwriting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Underwriting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I</w:t>
      </w:r>
    </w:p>
    <w:p>
      <w:pPr>
        <w:pStyle w:val="TextBody"/>
        <w:bidi w:val="0"/>
        <w:spacing w:lineRule="atLeast" w:line="414" w:before="0" w:after="0"/>
        <w:jc w:val="center"/>
        <w:rPr>
          <w:rFonts w:ascii="Times New Roman;serif" w:hAnsi="Times New Roman;serif"/>
          <w:b w:val="false"/>
          <w:i/>
          <w:color w:val="000000"/>
          <w:sz w:val="22"/>
        </w:rPr>
      </w:pPr>
      <w:r>
        <w:rPr>
          <w:rFonts w:ascii="Times New Roman;serif" w:hAnsi="Times New Roman;serif"/>
          <w:b w:val="false"/>
          <w:i/>
          <w:color w:val="000000"/>
          <w:sz w:val="22"/>
        </w:rPr>
        <w:t>Final Term Sheet</w:t>
      </w:r>
    </w:p>
    <w:p>
      <w:pPr>
        <w:pStyle w:val="TextBody"/>
        <w:bidi w:val="0"/>
        <w:spacing w:lineRule="atLeast" w:line="414" w:before="0" w:after="0"/>
        <w:jc w:val="center"/>
        <w:rPr>
          <w:rFonts w:ascii="Times New Roman;serif" w:hAnsi="Times New Roman;serif"/>
          <w:b w:val="false"/>
          <w:color w:val="000000"/>
          <w:sz w:val="22"/>
        </w:rPr>
      </w:pPr>
      <w:r>
        <w:rPr>
          <w:rFonts w:ascii="Times New Roman;serif" w:hAnsi="Times New Roman;serif"/>
          <w:b w:val="false"/>
          <w:color w:val="000000"/>
          <w:sz w:val="22"/>
        </w:rPr>
        <w:t>See Attached</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 w:after="249"/>
        <w:jc w:val="center"/>
        <w:rPr/>
      </w:pPr>
      <w:r>
        <w:rPr/>
        <w:drawing>
          <wp:inline distT="0" distB="0" distL="0" distR="0">
            <wp:extent cx="1609725" cy="647700"/>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3"/>
                    <a:stretch>
                      <a:fillRect/>
                    </a:stretch>
                  </pic:blipFill>
                  <pic:spPr bwMode="auto">
                    <a:xfrm>
                      <a:off x="0" y="0"/>
                      <a:ext cx="1609725" cy="647700"/>
                    </a:xfrm>
                    <a:prstGeom prst="rect">
                      <a:avLst/>
                    </a:prstGeom>
                  </pic:spPr>
                </pic:pic>
              </a:graphicData>
            </a:graphic>
          </wp:inline>
        </w:drawing>
      </w:r>
    </w:p>
    <w:p>
      <w:pPr>
        <w:pStyle w:val="TextBody"/>
        <w:bidi w:val="0"/>
        <w:spacing w:lineRule="atLeast" w:line="229" w:before="0" w:after="0"/>
        <w:jc w:val="center"/>
        <w:rPr>
          <w:rFonts w:ascii="Times New Roman;serif" w:hAnsi="Times New Roman;serif"/>
          <w:b/>
          <w:color w:val="000000"/>
          <w:sz w:val="20"/>
        </w:rPr>
      </w:pPr>
      <w:r>
        <w:rPr>
          <w:rFonts w:ascii="Times New Roman;serif" w:hAnsi="Times New Roman;serif"/>
          <w:b/>
          <w:color w:val="000000"/>
          <w:sz w:val="20"/>
        </w:rPr>
        <w:t xml:space="preserve">CAPITAL SOUTHWEST CORPORATION </w:t>
        <w:br/>
        <w:t>$350,000,000</w:t>
        <w:br/>
        <w:t>6.750% Notes due 2031</w:t>
        <w:br/>
        <w:t>PRICING TERM SHEET</w:t>
        <w:br/>
        <w:t>September 10, 2026</w:t>
      </w:r>
    </w:p>
    <w:p>
      <w:pPr>
        <w:pStyle w:val="TextBody"/>
        <w:bidi w:val="0"/>
        <w:spacing w:lineRule="atLeast" w:line="229"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final terms of the 6.750% Notes due 2031 (the “Notes”) and should only be read together with the preliminary prospectus supplement, dated September 10, 2026, together with the accompanying prospectus, dated October 29, 2024,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pStyle w:val="TextBody"/>
        <w:bidi w:val="0"/>
        <w:spacing w:before="240" w:after="283"/>
        <w:jc w:val="both"/>
        <w:rPr/>
      </w:pPr>
      <w:r>
        <w:rPr/>
      </w:r>
    </w:p>
    <w:tbl>
      <w:tblPr>
        <w:tblW w:w="10205" w:type="dxa"/>
        <w:jc w:val="left"/>
        <w:tblInd w:w="0" w:type="dxa"/>
        <w:tblLayout w:type="fixed"/>
        <w:tblCellMar>
          <w:top w:w="28" w:type="dxa"/>
          <w:left w:w="28" w:type="dxa"/>
          <w:bottom w:w="28" w:type="dxa"/>
          <w:right w:w="28" w:type="dxa"/>
        </w:tblCellMar>
      </w:tblPr>
      <w:tblGrid>
        <w:gridCol w:w="1001"/>
        <w:gridCol w:w="849"/>
        <w:gridCol w:w="871"/>
        <w:gridCol w:w="2211"/>
        <w:gridCol w:w="2181"/>
        <w:gridCol w:w="3092"/>
      </w:tblGrid>
      <w:tr>
        <w:trPr/>
        <w:tc>
          <w:tcPr>
            <w:tcW w:w="100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Capital Southwest Corporation (the “Company”)</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6.750% Notes due 2031</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Expected Ratings*:</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Baa3 Stable (Moody’s)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BBB- Stable (Fitch)</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Aggregate Principal Amount: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$350,000,000</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Maturity:</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September 15, 2031</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Trade Date:</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Settlement Date**:</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September 15, 2026 (T+3)</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Repay a portion of the outstanding indebtedness under the Company’s senior secured revolving credit facility</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Price to Public (Issue Price):</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98.985% of the aggregate principal amount of the Notes</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Coupon (Interest Rate):</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6.750%</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Yield to Maturity:</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6.994%</w:t>
            </w:r>
          </w:p>
        </w:tc>
      </w:tr>
      <w:tr>
        <w:trPr/>
        <w:tc>
          <w:tcPr>
            <w:tcW w:w="2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Spread to Benchmark Treasury:</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+225 basis points</w:t>
            </w:r>
          </w:p>
        </w:tc>
      </w:tr>
      <w:tr>
        <w:trPr/>
        <w:tc>
          <w:tcPr>
            <w:tcW w:w="2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Benchmark Treasury:</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4.375% due August 31, 2031</w:t>
            </w:r>
          </w:p>
        </w:tc>
      </w:tr>
      <w:tr>
        <w:trPr/>
        <w:tc>
          <w:tcPr>
            <w:tcW w:w="2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Benchmark Treasury Price and Yield:</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98-12 ¼ / 4.744%</w:t>
            </w:r>
          </w:p>
        </w:tc>
      </w:tr>
      <w:tr>
        <w:trPr/>
        <w:tc>
          <w:tcPr>
            <w:tcW w:w="272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Payment Dates:</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15 and September 15, beginning March 15, 2027</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9"/>
        <w:gridCol w:w="629"/>
        <w:gridCol w:w="632"/>
        <w:gridCol w:w="2604"/>
        <w:gridCol w:w="2267"/>
        <w:gridCol w:w="3224"/>
      </w:tblGrid>
      <w:tr>
        <w:trPr/>
        <w:tc>
          <w:tcPr>
            <w:tcW w:w="84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224"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Optional Redemption:</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August 15, 2031 (one month prior to the maturity date of the Notes) (the “Par Call Date”), the Company may redeem the Notes at its option, in whole or in part, at any time and from time to time, at a redemption price (expressed as a percentage of principal amount and rounded to three decimal places) equal to the greater of: </w:t>
            </w:r>
          </w:p>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35 basis points less (b) interest accrued to the date of redemption, and </w:t>
            </w:r>
          </w:p>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100% of the principal amount of the Notes to be redeemed,</w:t>
            </w:r>
          </w:p>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plus, in either case, accrued and unpaid interest thereon to, but not including, the redemption date.</w:t>
            </w:r>
          </w:p>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 to Repurchase upon a Change of Control Repurchase Event:</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 Change of Control Repurchase Event (as defined in “Description of the Notes” in the Preliminary Prospectus) occurs prior to maturity, holders of the Notes will have the right, at their option, to require the Company to repurchase for cash some or all of the Notes at a repurchase price equal to 100% of the principal amount of the Notes being repurchased, plus accrued and unpaid interest to, but not including, the repurchase date.</w:t>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Denomination:</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$2,000 and integral multiples of $1,000 in excess thereof</w:t>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CUSIP:</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140501 AG2</w:t>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ISIN:</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US140501AG26</w:t>
            </w:r>
          </w:p>
        </w:tc>
      </w:tr>
      <w:tr>
        <w:trPr/>
        <w:tc>
          <w:tcPr>
            <w:tcW w:w="21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Underwriting Discount:</w:t>
            </w:r>
          </w:p>
        </w:tc>
        <w:tc>
          <w:tcPr>
            <w:tcW w:w="809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1.000%</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79" w:type="dxa"/>
        <w:jc w:val="left"/>
        <w:tblInd w:w="0" w:type="dxa"/>
        <w:tblLayout w:type="fixed"/>
        <w:tblCellMar>
          <w:top w:w="28" w:type="dxa"/>
          <w:left w:w="28" w:type="dxa"/>
          <w:bottom w:w="28" w:type="dxa"/>
          <w:right w:w="28" w:type="dxa"/>
        </w:tblCellMar>
      </w:tblPr>
      <w:tblGrid>
        <w:gridCol w:w="657"/>
        <w:gridCol w:w="578"/>
        <w:gridCol w:w="580"/>
        <w:gridCol w:w="751"/>
        <w:gridCol w:w="751"/>
        <w:gridCol w:w="1062"/>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Active Bookrunners:</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Deutsche Bank Securities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Huntington Securities,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 Financial Markets LLC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Morgan Stanley &amp; Co. LLC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RBC Capital Markets, LLC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Wells Fargo Securities, LLC</w:t>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Passive Bookrunner:</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Oppenheimer &amp; Co. Inc. </w:t>
            </w:r>
          </w:p>
        </w:tc>
      </w:tr>
      <w:tr>
        <w:trPr/>
        <w:tc>
          <w:tcPr>
            <w:tcW w:w="1815" w:type="dxa"/>
            <w:gridSpan w:val="3"/>
            <w:tcBorders/>
            <w:tcMar>
              <w:top w:w="0" w:type="dxa"/>
              <w:left w:w="0" w:type="dxa"/>
              <w:bottom w:w="0" w:type="dxa"/>
              <w:right w:w="0" w:type="dxa"/>
            </w:tcMar>
            <w:vAlign w:val="center"/>
          </w:tcPr>
          <w:p>
            <w:pPr>
              <w:pStyle w:val="TableContents"/>
              <w:bidi w:val="0"/>
              <w:spacing w:before="0" w:after="120"/>
              <w:jc w:val="left"/>
              <w:rPr/>
            </w:pPr>
            <w:r>
              <w:rPr/>
            </w:r>
          </w:p>
        </w:tc>
        <w:tc>
          <w:tcPr>
            <w:tcW w:w="2564" w:type="dxa"/>
            <w:gridSpan w:val="3"/>
            <w:tcBorders/>
            <w:tcMar>
              <w:top w:w="0" w:type="dxa"/>
              <w:left w:w="0" w:type="dxa"/>
              <w:bottom w:w="0" w:type="dxa"/>
              <w:right w:w="0" w:type="dxa"/>
            </w:tcMar>
            <w:vAlign w:val="center"/>
          </w:tcPr>
          <w:p>
            <w:pPr>
              <w:pStyle w:val="TableContents"/>
              <w:bidi w:val="0"/>
              <w:spacing w:before="0" w:after="240"/>
              <w:jc w:val="left"/>
              <w:rPr/>
            </w:pPr>
            <w:r>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Co-Manager:</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Zions Direct, Inc.</w:t>
            </w:r>
          </w:p>
        </w:tc>
      </w:tr>
    </w:tbl>
    <w:p>
      <w:pPr>
        <w:pStyle w:val="TextBody"/>
        <w:bidi w:val="0"/>
        <w:spacing w:lineRule="atLeast" w:line="230" w:before="231" w:after="283"/>
        <w:jc w:val="both"/>
        <w:rPr>
          <w:rFonts w:ascii="Times New Roman;serif" w:hAnsi="Times New Roman;serif"/>
          <w:b w:val="false"/>
          <w:color w:val="000000"/>
          <w:sz w:val="20"/>
        </w:rPr>
      </w:pPr>
      <w:r>
        <w:rPr>
          <w:rFonts w:ascii="Times New Roman;serif" w:hAnsi="Times New Roman;serif"/>
          <w:b w:val="false"/>
          <w:color w:val="000000"/>
          <w:sz w:val="20"/>
        </w:rPr>
        <w:br/>
        <w:t>* Note: A securities rating is not a recommendation to buy, sell or hold securities and may be subject to revision or withdrawal at any time.</w:t>
      </w:r>
    </w:p>
    <w:p>
      <w:pPr>
        <w:pStyle w:val="TextBody"/>
        <w:bidi w:val="0"/>
        <w:spacing w:lineRule="atLeast" w:line="229" w:before="233" w:after="283"/>
        <w:jc w:val="both"/>
        <w:rPr>
          <w:rFonts w:ascii="Times New Roman;serif" w:hAnsi="Times New Roman;serif"/>
          <w:b w:val="false"/>
          <w:color w:val="000000"/>
          <w:sz w:val="20"/>
        </w:rPr>
      </w:pPr>
      <w:r>
        <w:rPr>
          <w:rFonts w:ascii="Times New Roman;serif" w:hAnsi="Times New Roman;serif"/>
          <w:b w:val="false"/>
          <w:color w:val="000000"/>
          <w:sz w:val="20"/>
        </w:rPr>
        <w:t>** Under Rule 15c6-1 under the Securities Exchange Act of 1934, as amended, trades in the secondary market are required to settle in one business day, unless the parties to such trade expressly agree otherwise at the time of the trade. Accordingly, purchasers who wish to trade the Notes prior to the business day before the date of delivery of the Notes will be required, by virtue of the fact that the Notes initially will settle in three business days (T+3), to specify alternative settlement arrangements to prevent a failed settlement.</w:t>
      </w:r>
    </w:p>
    <w:p>
      <w:pPr>
        <w:pStyle w:val="TextBody"/>
        <w:bidi w:val="0"/>
        <w:spacing w:lineRule="atLeast" w:line="230" w:before="236" w:after="283"/>
        <w:jc w:val="both"/>
        <w:rPr>
          <w:rFonts w:ascii="Times New Roman;serif" w:hAnsi="Times New Roman;serif"/>
          <w:b/>
          <w:color w:val="000000"/>
          <w:sz w:val="20"/>
        </w:rPr>
      </w:pPr>
      <w:r>
        <w:rPr>
          <w:rFonts w:ascii="Times New Roman;serif" w:hAnsi="Times New Roman;serif"/>
          <w:b/>
          <w:color w:val="000000"/>
          <w:sz w:val="20"/>
        </w:rPr>
        <w:t>Investors are advised to carefully consider the investment objective, risks, charges and expenses of the Company before investing. The Preliminary Prospectus, which has been filed with the U.S. Securities and Exchange Commission (the “SEC”), contains this and other information about the Company and should be read carefully before investing.</w:t>
      </w:r>
    </w:p>
    <w:p>
      <w:pPr>
        <w:pStyle w:val="TextBody"/>
        <w:bidi w:val="0"/>
        <w:spacing w:lineRule="atLeast" w:line="229" w:before="227"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the Preliminary Prospectus and in this pricing term sheet is not complete and may be changed. The Preliminary Prospectus and this pricing term sheet are not offers to sell any securities of the Company and are not soliciting an offer to buy such securities in any jurisdiction where such offer and sale is not permitted.</w:t>
      </w:r>
    </w:p>
    <w:p>
      <w:pPr>
        <w:pStyle w:val="TextBody"/>
        <w:bidi w:val="0"/>
        <w:spacing w:lineRule="atLeast" w:line="229" w:before="227" w:after="283"/>
        <w:jc w:val="both"/>
        <w:rPr>
          <w:rFonts w:ascii="Times New Roman;serif" w:hAnsi="Times New Roman;serif"/>
          <w:b/>
          <w:color w:val="000000"/>
          <w:sz w:val="20"/>
        </w:rPr>
      </w:pPr>
      <w:r>
        <w:rPr>
          <w:rFonts w:ascii="Times New Roman;serif" w:hAnsi="Times New Roman;serif"/>
          <w:b/>
          <w:color w:val="000000"/>
          <w:sz w:val="20"/>
        </w:rPr>
        <w:t>A shelf registration statement relating to these securities is on file with the SEC and has become effective. The offering to which this communication relates may be made only by means of a preliminary prospectus supplement and an accompanying prospectus. Before you invest, you should read the preliminary prospectus supplement relating to this offering, together with the accompanying prospectus, filed with the SEC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Preliminary Prospectus if you request them by calling Deutsche Bank Securities Inc. toll-free at +1-800-503-4611, Huntington Securities, Inc. toll-free at +1 (800) 824-5652, ING Financial Markets LLC toll-free at +1 (877) 446-4930, Morgan Stanley &amp; Co. LLC toll-free at 1-866-718-1649, RBC Capital Markets, LLC toll-free at +1-866-375-6829, Wells Fargo Securities, LLC toll-free at +1 (800) 645-3751.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SCHEDULE A</w:t>
      </w:r>
    </w:p>
    <w:tbl>
      <w:tblPr>
        <w:tblW w:w="7154" w:type="dxa"/>
        <w:jc w:val="left"/>
        <w:tblInd w:w="0" w:type="dxa"/>
        <w:tblLayout w:type="fixed"/>
        <w:tblCellMar>
          <w:top w:w="28" w:type="dxa"/>
          <w:left w:w="28" w:type="dxa"/>
          <w:bottom w:w="28" w:type="dxa"/>
          <w:right w:w="28" w:type="dxa"/>
        </w:tblCellMar>
      </w:tblPr>
      <w:tblGrid>
        <w:gridCol w:w="1059"/>
        <w:gridCol w:w="931"/>
        <w:gridCol w:w="935"/>
        <w:gridCol w:w="1237"/>
        <w:gridCol w:w="1237"/>
        <w:gridCol w:w="175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Name of Underwriter</w:t>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Aggregate Principal Amount of Securities</w:t>
            </w:r>
          </w:p>
        </w:tc>
      </w:tr>
      <w:tr>
        <w:trPr/>
        <w:tc>
          <w:tcPr>
            <w:tcW w:w="292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Deutsche Bank Securities Inc.</w:t>
            </w:r>
          </w:p>
        </w:tc>
        <w:tc>
          <w:tcPr>
            <w:tcW w:w="422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31"/>
              <w:jc w:val="right"/>
              <w:rPr>
                <w:color w:val="000000"/>
              </w:rPr>
            </w:pPr>
            <w:r>
              <w:rPr>
                <w:color w:val="000000"/>
              </w:rPr>
              <w:t>    </w:t>
            </w:r>
            <w:r>
              <w:rPr>
                <w:rFonts w:ascii="Times New Roman;serif" w:hAnsi="Times New Roman;serif"/>
                <w:b w:val="false"/>
                <w:color w:val="000000"/>
                <w:sz w:val="22"/>
              </w:rPr>
              <w:t xml:space="preserve">$56,000,000 </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Huntington Securities, Inc.</w:t>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
              <w:jc w:val="right"/>
              <w:rPr>
                <w:color w:val="000000"/>
              </w:rPr>
            </w:pPr>
            <w:r>
              <w:rPr>
                <w:color w:val="000000"/>
              </w:rPr>
              <w:t>    </w:t>
            </w:r>
            <w:r>
              <w:rPr>
                <w:rFonts w:ascii="Times New Roman;serif" w:hAnsi="Times New Roman;serif"/>
                <w:b w:val="false"/>
                <w:color w:val="000000"/>
                <w:sz w:val="22"/>
              </w:rPr>
              <w:t xml:space="preserve">$56,000,000 </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ING Financial Markets LLC</w:t>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
              <w:jc w:val="right"/>
              <w:rPr>
                <w:color w:val="000000"/>
              </w:rPr>
            </w:pPr>
            <w:r>
              <w:rPr>
                <w:color w:val="000000"/>
              </w:rPr>
              <w:t>    </w:t>
            </w:r>
            <w:r>
              <w:rPr>
                <w:rFonts w:ascii="Times New Roman;serif" w:hAnsi="Times New Roman;serif"/>
                <w:b w:val="false"/>
                <w:color w:val="000000"/>
                <w:sz w:val="22"/>
              </w:rPr>
              <w:t xml:space="preserve">$56,000,000 </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Morgan Stanley &amp; Co. LLC</w:t>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
              <w:jc w:val="right"/>
              <w:rPr>
                <w:color w:val="000000"/>
              </w:rPr>
            </w:pPr>
            <w:r>
              <w:rPr>
                <w:color w:val="000000"/>
              </w:rPr>
              <w:t>    </w:t>
            </w:r>
            <w:r>
              <w:rPr>
                <w:rFonts w:ascii="Times New Roman;serif" w:hAnsi="Times New Roman;serif"/>
                <w:b w:val="false"/>
                <w:color w:val="000000"/>
                <w:sz w:val="22"/>
              </w:rPr>
              <w:t xml:space="preserve">$56,000,000 </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RBC Capital Markets, LLC</w:t>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
              <w:jc w:val="right"/>
              <w:rPr>
                <w:color w:val="000000"/>
              </w:rPr>
            </w:pPr>
            <w:r>
              <w:rPr>
                <w:color w:val="000000"/>
              </w:rPr>
              <w:t>    </w:t>
            </w:r>
            <w:r>
              <w:rPr>
                <w:rFonts w:ascii="Times New Roman;serif" w:hAnsi="Times New Roman;serif"/>
                <w:b w:val="false"/>
                <w:color w:val="000000"/>
                <w:sz w:val="22"/>
              </w:rPr>
              <w:t xml:space="preserve">$56,000,000 </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Wells Fargo Securities, LLC</w:t>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
              <w:jc w:val="right"/>
              <w:rPr>
                <w:color w:val="000000"/>
              </w:rPr>
            </w:pPr>
            <w:r>
              <w:rPr>
                <w:color w:val="000000"/>
              </w:rPr>
              <w:t>    </w:t>
            </w:r>
            <w:r>
              <w:rPr>
                <w:rFonts w:ascii="Times New Roman;serif" w:hAnsi="Times New Roman;serif"/>
                <w:b w:val="false"/>
                <w:color w:val="000000"/>
                <w:sz w:val="22"/>
              </w:rPr>
              <w:t xml:space="preserve">$56,000,000 </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Oppenheimer &amp; Co. Inc.</w:t>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
              <w:jc w:val="right"/>
              <w:rPr>
                <w:color w:val="000000"/>
              </w:rPr>
            </w:pPr>
            <w:r>
              <w:rPr>
                <w:color w:val="000000"/>
              </w:rPr>
              <w:t>    </w:t>
            </w:r>
            <w:r>
              <w:rPr>
                <w:rFonts w:ascii="Times New Roman;serif" w:hAnsi="Times New Roman;serif"/>
                <w:b w:val="false"/>
                <w:color w:val="000000"/>
                <w:sz w:val="22"/>
              </w:rPr>
              <w:t xml:space="preserve">$9,625,000 </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Zions Direct, Inc.</w:t>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
              <w:jc w:val="right"/>
              <w:rPr>
                <w:color w:val="000000"/>
              </w:rPr>
            </w:pPr>
            <w:r>
              <w:rPr>
                <w:color w:val="000000"/>
              </w:rPr>
              <w:t>    </w:t>
            </w:r>
            <w:r>
              <w:rPr>
                <w:rFonts w:ascii="Times New Roman;serif" w:hAnsi="Times New Roman;serif"/>
                <w:b w:val="false"/>
                <w:color w:val="000000"/>
                <w:sz w:val="22"/>
              </w:rPr>
              <w:t xml:space="preserve">$4,375,000 </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Total</w:t>
            </w:r>
          </w:p>
        </w:tc>
        <w:tc>
          <w:tcPr>
            <w:tcW w:w="4229" w:type="dxa"/>
            <w:gridSpan w:val="3"/>
            <w:tcBorders>
              <w:top w:val="single" w:sz="6"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88" w:before="0" w:after="120"/>
              <w:ind w:left="0" w:right="0" w:firstLine="31"/>
              <w:jc w:val="right"/>
              <w:rPr>
                <w:color w:val="000000"/>
              </w:rPr>
            </w:pPr>
            <w:r>
              <w:rPr>
                <w:color w:val="000000"/>
              </w:rPr>
              <w:t>    </w:t>
            </w:r>
            <w:r>
              <w:rPr>
                <w:rFonts w:ascii="Times New Roman;serif" w:hAnsi="Times New Roman;serif"/>
                <w:b w:val="false"/>
                <w:color w:val="000000"/>
                <w:sz w:val="22"/>
              </w:rPr>
              <w:t>$350,000,000</w:t>
            </w:r>
          </w:p>
        </w:tc>
      </w:tr>
      <w:tr>
        <w:trPr/>
        <w:tc>
          <w:tcPr>
            <w:tcW w:w="71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SCHEDULE B</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    Capital Southwest Corporation Investor Presentation, September 2026</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Bloomberg notices to be filed with the Commission on September 11, 2026 pursuant to Rule 497(a) under the 1933 Act (as a Rule 482ad)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    Pricing Press Release, dated September 10, 2026, to be filed with the Commission on September 11, 2026 pursuant to Rule 497(a) under the 1933 Act (as a Rule 482ad)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4.    Final Term Sheet dated September 10, 2026, substantially in the form attached hereto as </w:t>
      </w:r>
      <w:r>
        <w:rPr>
          <w:rFonts w:ascii="Times New Roman;serif" w:hAnsi="Times New Roman;serif"/>
          <w:b w:val="false"/>
          <w:color w:val="000000"/>
          <w:sz w:val="22"/>
          <w:u w:val="single"/>
        </w:rPr>
        <w:t>Annex I</w:t>
      </w:r>
      <w:r>
        <w:rPr>
          <w:rFonts w:ascii="Times New Roman;serif" w:hAnsi="Times New Roman;serif"/>
          <w:b w:val="false"/>
          <w:color w:val="000000"/>
          <w:sz w:val="22"/>
        </w:rPr>
        <w:t>, containing the terms of the Securities, filed with the Commission on September 10, 2026 pursuant to Rule 433 under the 1933 Act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SCHEDULE C</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[REDACTED]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4.2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EIGHTH SUPPLEMENTAL INDENTURE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between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CAPITAL SOUTHWEST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U.S. BANK TRUST COMPANY, NATIONAL ASSOCIATION,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Trustee</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Dated as of September 15, 2026</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EIGHTH SUPPLEMENTAL INDENTURE (this “Eighth Supplemental Indenture”), dated as of September 15, 2026, is between Capital Southwest Corporation, a Texas corporation (the “Company”), and U.S. Bank Trust Company, National Association (as successor in interest to U.S. Bank National Association), as trustee (the “Trustee”). All capitalized terms used but not otherwise defined herein shall have the meaning set forth in the Base Indenture (as defined below).</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 OF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 the Trustee executed and delivered an Indenture, dated as of October 23, 2017 (the “Base Indenture” and, as amended and supplemented by this Eighth Supplemental Indenture, collectively the “Indenture”), to provide for the issuance by the Company from time to time of the Company’s unsecured debentures, notes or other evidences of indebtedness (the “Securities”), to be issued in one or more series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desires to issue and sell $350,000,000 aggregate principal amount of the Company’s 6.750% Notes due 2031 (the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previously entered into the First Supplemental Indenture, dated as of December 15, 2017 (the “First Supplemental Indenture”), the Second Supplemental Indenture, dated as of September 27, 2019 (the “Second Supplemental Indenture”), the Third Supplemental Indenture, dated as of December 29, 2020 (the “Third Supplemental Indenture”), the Fourth Supplemental Indenture, dated as of August 27, 2021 (the “Fourth Supplemental Indenture”), the Fifth Supplemental Indenture, dated as of June 14, 2023 (the “Fifth Supplemental Indenture”), the Sixth Supplemental Indenture, dated as of November 8, 2024 (the “Sixth Supplemental Indenture”), and the Seventh Supplemental Indenture, dated as of September 18, 2025 (the “Seventh Supplemental Indenture”), each of which supplemented the Base Indenture.  The First Supplemental Indenture, the Second Supplemental Indenture, the Third Supplemental Indenture, the Fourth Supplemental Indenture, the Fifth Supplemental Indenture, the Sixth Supplemental Indenture, and the Seventh Supplemental Indenture are not applicable to the Notes.</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7"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55593871.1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55593871.1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Sections 9.01(iv) and 9.01(vi)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in form reasonably satisfactory to the Trustee to (i) change or eliminate any of the provisions of the Indenture when there is no Security Outstanding of any series created prior to the execution of the supplemental indenture that is entitled to the benefit of such provision and (ii) establish the form or terms of Securities of any series as permitted by Section 2.01 and Section 3.01 of the Base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desires to establish the form and terms of the Notes and to modify, alter, supplement and change certain provisions of the Base Indenture for the benefit of the Holders of the Notes (subject to amendment as may be provided in a future supplemental indenture to the Indenture (each, a “Future Supplemental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has duly authorized the execution and delivery of this Eighth Supplemental Indenture to provide for the issuance of the Notes and all acts and things necessary to make this Eighth Supplemental Indenture a valid, binding, and legal obligation of the Company and to constitute a valid agreement of the Company, in accordance with its terms, have been done and performed.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for and in consideration of the premises and the purchase of the Notes by the Holders thereof, it is mutually agreed, for the equal and proportionate benefit of all Holders of the Notes,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w:t>
        <w:br/>
        <w:t>TERMS OF THE NOTES</w:t>
      </w:r>
    </w:p>
    <w:p>
      <w:pPr>
        <w:pStyle w:val="TextBody"/>
        <w:bidi w:val="0"/>
        <w:spacing w:lineRule="auto" w:line="288" w:before="0" w:after="240"/>
        <w:ind w:left="0" w:right="0" w:firstLine="720"/>
        <w:jc w:val="both"/>
        <w:rPr/>
      </w:pPr>
      <w:r>
        <w:rPr>
          <w:rFonts w:ascii="Times New Roman;serif" w:hAnsi="Times New Roman;serif"/>
          <w:b/>
          <w:color w:val="000000"/>
          <w:sz w:val="24"/>
        </w:rPr>
        <w:t>Section 1.01.    </w:t>
      </w:r>
      <w:r>
        <w:rPr>
          <w:rFonts w:ascii="Times New Roman;serif" w:hAnsi="Times New Roman;serif"/>
          <w:b/>
          <w:color w:val="000000"/>
          <w:sz w:val="24"/>
          <w:u w:val="single"/>
        </w:rPr>
        <w:t>Terms of the Notes</w:t>
      </w:r>
      <w:r>
        <w:rPr>
          <w:rFonts w:ascii="Times New Roman;serif" w:hAnsi="Times New Roman;serif"/>
          <w:b w:val="false"/>
          <w:color w:val="000000"/>
          <w:sz w:val="24"/>
        </w:rPr>
        <w:t>. The following terms relating to the Notes are hereby established: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Notes shall constitute a series of Senior Securities having the title “6.750% Notes due 2031.” The Notes shall bear a CUSIP number of 140501 AG2 and an ISIN number of US140501AG26, as may be supplemented or replaced from time to time.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aggregate principal amount of the Notes that may be initially authenticated and delivered under the Indenture (except for Notes authenticated and delivered upon registration of, transfer of, or in exchange for, or in lieu of, other Notes pursuant to Sections 3.04, 3.05, 3.06, 9.06, 11.07 or 13.05 of the Base Indenture, and except for any Securities that, pursuant to Section 3.03 of the Base Indenture, are deemed never to have been authenticated and delivered under the Indenture) shall be $350,000,000. Under a Board Resolution, Officers’ Certificate pursuant to Board Resolutions or a Future Supplemental Indenture, the Company may from time to time, without the consent of the Holders of Notes, issue additional Notes (in any such case “Additional Notes”) having the same ranking and the same interest rate, maturity and other terms as the Notes; provided that, if such Additional Notes are not fungible with the Notes (or any other tranche of Additional Notes) for U.S. federal income tax purposes, then such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60705"/>
                <wp:effectExtent l="0" t="0" r="0" b="0"/>
                <wp:wrapNone/>
                <wp:docPr id="48" name="Frame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Additional Notes will have different CUSIP and ISIN numbers from the Notes (and any such other tranche of Additional Notes). Any Additional Notes and the existing Notes will constitute a single series under the Indenture and all references to the relevant Notes herein shall include the Additional Notes unless the context otherwise requires.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entire outstanding principal of the Notes shall be payable on September 15, 2031 unless earlier redeemed or repurchased in accordance with the provisions of this Eighth Supplemental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The rate at which the Notes shall bear interest shall be 6.750% per annum. The date from which interest shall accrue on the Notes shall be September 15, 2026, or the most recent Interest Payment Date to which interest has been paid or provided for; the Interest Payment Dates for the Notes shall be March 15 and September 15 of each year, commencing March 15, 2027 (if an Interest Payment Date, Redemption Date or date of Stated Maturity falls on a day that is not a Business Day, then the applicable interest payment will be made on the next succeeding Business Day and no additional interest will accrue as a result of such delayed payment); the initial interest period will be the period from and including September 15, 2026,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Securities) is registered at the close of business on the Regular Record Date for such interest, which shall be March 1 and September 1 (whether or not a Business Day), as the case may be, next preceding such Interest Payment Date. Payment of principal of (and premium, if any, on) and any such interest on the Notes will be made at the office of the Trustee located at 100 Wall Street, 20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Floor, New York, New York 10005, Attention: Capital Southwest Corporation (6.750% Notes Due 2031) and at such other address as designated by the Trustee, in such coin or currency of the United States of America as at the time of payment is legal tender for payment of public and private debts;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at the option of the Company payment of interest may be made by (1) check mailed to the address of the Person entitled thereto as such address shall appear in the Security Register or (2) transfer to an account maintained by the Person entitled thereto located in the United States;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so long as the Notes are registered to Cede &amp; Co., such payment will be made by wire transfer in accordance with the procedures established by The Depository Trust Company and the Trustee. Interest on the Notes will be computed on the basis of a 360-day year of twelve 30-day months.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The Notes shall be initially issuable in global form (each such Note, a “Global Note”). The Global Notes and the Trustee’s certificate of authentication thereon shall be substantially in the form of Exhibit A to this Eighth Supplemental Indenture. Each Global Note shall represent the aggregate amount of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60705"/>
                <wp:effectExtent l="0" t="0" r="0" b="0"/>
                <wp:wrapNone/>
                <wp:docPr id="49" name="Frame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decrease in the amount of outstanding Notes represented thereby shall be made by the Trustee or the Security Registrar, in accordance with Sections 2.03 and 3.05 of the Base Indenture.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depositary for such Global Notes (the “Depositary”) shall be The Depository Trust Company, New York, New York. The Security Registrar with respect to the Global Notes shall be the Trustee.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The Notes shall be defeasible pursuant to Section 14.02 or Section 14.03 of the Base Indenture. Covenant defeasance contained in Section 14.03 of the Base Indenture shall apply to the covenants contained in Sections 10.08, 10.09, and 10.10 of the Indenture. For the avoidance of doubt, Article IV of the Base Indenture also applies to the Notes.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The Notes shall be redeemable pursuant to Section 11.01 of the Base Indenture and as follows: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Prior to the Par Call Date, the Company may redeem the Notes at its option, in whole or in part, at any time and from time to time, at a Redemption Price (expressed as a percentage of the principal amount and rounded to three decimal places) equal to the greater of: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35 basis points less (2) interest accrued to the Redemption Date,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100% of the principal amount of the Notes to be redeemed, plus, in either case, accrued and unpaid interest thereon to, but not including, the Redemption Date.</w:t>
      </w:r>
    </w:p>
    <w:p>
      <w:pPr>
        <w:pStyle w:val="TextBody"/>
        <w:bidi w:val="0"/>
        <w:spacing w:before="0" w:after="0"/>
        <w:jc w:val="both"/>
        <w:rPr/>
      </w:pPr>
      <w:r>
        <w:rPr/>
      </w:r>
    </w:p>
    <w:p>
      <w:pPr>
        <w:pStyle w:val="TextBody"/>
        <w:bidi w:val="0"/>
        <w:spacing w:lineRule="auto" w:line="288" w:before="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(ii)    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 </w:t>
      </w:r>
    </w:p>
    <w:p>
      <w:pPr>
        <w:pStyle w:val="TextBody"/>
        <w:bidi w:val="0"/>
        <w:spacing w:lineRule="auto" w:line="288"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For purposes of calculating the Redemption Price in connection with the redemption of the Notes, on any Redemption Date, the following terms have the meanings set forth below:</w:t>
      </w:r>
    </w:p>
    <w:p>
      <w:pPr>
        <w:pStyle w:val="TextBody"/>
        <w:bidi w:val="0"/>
        <w:spacing w:lineRule="auto" w:line="288" w:before="0" w:after="240"/>
        <w:ind w:left="0" w:right="0" w:firstLine="1350"/>
        <w:jc w:val="both"/>
        <w:rPr>
          <w:color w:val="000000"/>
        </w:rPr>
      </w:pPr>
      <w:r>
        <w:rPr>
          <w:color w:val="000000"/>
        </w:rPr>
        <w:t>“</w:t>
      </w:r>
      <w:r>
        <w:rPr>
          <w:rFonts w:ascii="Times New Roman;serif" w:hAnsi="Times New Roman;serif"/>
          <w:b w:val="false"/>
          <w:color w:val="000000"/>
          <w:sz w:val="24"/>
        </w:rPr>
        <w:t>Par Call Date” means August 15, 2031.</w:t>
      </w:r>
    </w:p>
    <w:p>
      <w:pPr>
        <w:pStyle w:val="TextBody"/>
        <w:bidi w:val="0"/>
        <w:spacing w:lineRule="auto" w:line="288" w:before="0" w:after="240"/>
        <w:ind w:left="0" w:right="0" w:firstLine="1350"/>
        <w:jc w:val="both"/>
        <w:rPr>
          <w:color w:val="000000"/>
        </w:rPr>
      </w:pPr>
      <w:r>
        <w:rPr>
          <w:color w:val="000000"/>
        </w:rPr>
        <w:t>“</w:t>
      </w:r>
      <w:r>
        <w:rPr>
          <w:rFonts w:ascii="Times New Roman;serif" w:hAnsi="Times New Roman;serif"/>
          <w:b w:val="false"/>
          <w:color w:val="000000"/>
          <w:sz w:val="24"/>
        </w:rPr>
        <w:t>Treasury Rate” means, with respect to any Redemption Date of the Notes, the yield determined by the Company in accordance with the following two paragraphs.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60705"/>
                <wp:effectExtent l="0" t="0" r="0" b="0"/>
                <wp:wrapNone/>
                <wp:docPr id="50" name="Frame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lineRule="auto" w:line="288"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 </w:t>
      </w:r>
    </w:p>
    <w:p>
      <w:pPr>
        <w:pStyle w:val="TextBody"/>
        <w:bidi w:val="0"/>
        <w:spacing w:lineRule="auto" w:line="288"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The Company’s actions and determinations in determining the Redemption Price of any of the Notes shall be conclusive and binding for all purposes, absent manifest error.</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60705"/>
                <wp:effectExtent l="0" t="0" r="0" b="0"/>
                <wp:wrapNone/>
                <wp:docPr id="51" name="Frame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Notice of redemption shall be given in writing and mailed, first-class postage prepaid, by overnight courier guaranteeing next-day delivery, by facsimile, or by electronic mail, provided that so long as the Notes are registered to Cede &amp; Co., such notice shall be given in accordance with the Trustee’s and the Depositary’s standard practices and procedures, to each Holder of the Notes to be redeemed (with a copy to the Trustee), not less than ten (10) nor more than sixty (60) days prior to the Redemption Date, at the Holder’s address, facsimile number or email address appearing in the Security Register. All notices of redemption shall contain the information set forth in Section 11.04 of the Base Indenture.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Any exercise of the Company’s option to redeem the Notes will be done in compliance with the Indenture and the Investment Company Act, to the extent applicable.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If the Company elects to redeem only a portion of the Notes, the particular Notes to be redeemed will be selected in accordance with Section 11.03 of the Indenture and, so long as the Notes are registered to the Depositary or its nominee, in accordance with the applicable procedures of the Depositary; provided, however, that no such partial redemption shall reduce the portion of the principal amount of a Note not redeemed to less than $2,000.</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    Unless the Company defaults in payment of the Redemption Price, on and after the Redemption Date, interest will cease to accrue on the Notes or portions thereof called for redemption hereunder.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Notes shall not be subject to any sinking fund pursuant to Section 12.01 of the Base Indenture.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The Notes shall be issuable in minimum denominations of $2,000 and integral multiples of $1,000 in excess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    Holders of the Notes will not have the option to have the Notes repaid prior to the Stated Maturity other than in accordance with Article XIII of the Indenture.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    The Notes are hereby designated as “Senior Securities” under the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w:t>
        <w:br/>
        <w:t>DEFINITIONS AND OTHER PROVISIONS OF GENERAL APPLICATION</w:t>
      </w:r>
    </w:p>
    <w:p>
      <w:pPr>
        <w:pStyle w:val="TextBody"/>
        <w:bidi w:val="0"/>
        <w:spacing w:lineRule="auto" w:line="288" w:before="0" w:after="240"/>
        <w:ind w:left="0" w:right="0" w:firstLine="720"/>
        <w:jc w:val="both"/>
        <w:rPr/>
      </w:pPr>
      <w:r>
        <w:rPr>
          <w:rFonts w:ascii="Times New Roman;serif" w:hAnsi="Times New Roman;serif"/>
          <w:b/>
          <w:color w:val="000000"/>
          <w:sz w:val="24"/>
        </w:rPr>
        <w:t>Section 2.01.    </w:t>
      </w:r>
      <w:r>
        <w:rPr>
          <w:rFonts w:ascii="Times New Roman;serif" w:hAnsi="Times New Roman;serif"/>
          <w:b w:val="false"/>
          <w:color w:val="000000"/>
          <w:sz w:val="24"/>
        </w:rPr>
        <w:t xml:space="preserve">Except as may be provided in a Future Supplemental Indenture, for the benefit of the Holders of the Notes but no other series of Securities under the Indenture, whether now or hereafter issued and Outstanding, Article I of the Base Indenture shall be amended by adding the following defined terms to Section 1.01 in appropriate alphabetical sequence, as follows: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60705"/>
                <wp:effectExtent l="0" t="0" r="0" b="0"/>
                <wp:wrapNone/>
                <wp:docPr id="52" name="Frame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Below Investment Grade Rating Event</w:t>
      </w:r>
      <w:r>
        <w:rPr>
          <w:color w:val="000000"/>
        </w:rPr>
        <w:t xml:space="preserve">’ </w:t>
      </w:r>
      <w:r>
        <w:rPr>
          <w:rFonts w:ascii="Times New Roman;serif" w:hAnsi="Times New Roman;serif"/>
          <w:b w:val="false"/>
          <w:color w:val="000000"/>
          <w:sz w:val="24"/>
        </w:rPr>
        <w:t>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do not announce or publicly confirm or inform the Trustee in writing at the Company’s request (acting at the written direction of the Holders of a majority of the principal amount of the outstanding Notes)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provided that, for the avoidance of doubt, a pledge of assets pursuant to any secured debt instrument of the Company or its Controlled Subsidiaries shall not be deemed to be any such sale, lease, transfer, conveyance or disposition;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the Company, measured by voting power rather than number of shares;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approval by the Company’s stockholders of any plan or proposal relating to the liquidation or dissolution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of Control Repurchase Event</w:t>
      </w:r>
      <w:r>
        <w:rPr>
          <w:color w:val="000000"/>
        </w:rPr>
        <w:t xml:space="preserve">’ </w:t>
      </w:r>
      <w:r>
        <w:rPr>
          <w:rFonts w:ascii="Times New Roman;serif" w:hAnsi="Times New Roman;serif"/>
          <w:b w:val="false"/>
          <w:color w:val="000000"/>
          <w:sz w:val="24"/>
        </w:rPr>
        <w:t>means the occurrence of a Change of Control and a Below Investment Grade Rating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Controlled Subsidiary</w:t>
      </w:r>
      <w:r>
        <w:rPr>
          <w:color w:val="000000"/>
        </w:rPr>
        <w:t xml:space="preserve">’ </w:t>
      </w:r>
      <w:r>
        <w:rPr>
          <w:rFonts w:ascii="Times New Roman;serif" w:hAnsi="Times New Roman;serif"/>
          <w:b w:val="false"/>
          <w:color w:val="000000"/>
          <w:sz w:val="24"/>
        </w:rPr>
        <w:t>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60705"/>
                <wp:effectExtent l="0" t="0" r="0" b="0"/>
                <wp:wrapNone/>
                <wp:docPr id="53" name="Frame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 xml:space="preserve">means the Securities Exchange Act of 1934, as amended, and any statute successor thereto.”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Fitch</w:t>
      </w:r>
      <w:r>
        <w:rPr>
          <w:color w:val="000000"/>
        </w:rPr>
        <w:t xml:space="preserve">’ </w:t>
      </w:r>
      <w:r>
        <w:rPr>
          <w:rFonts w:ascii="Times New Roman;serif" w:hAnsi="Times New Roman;serif"/>
          <w:b w:val="false"/>
          <w:color w:val="000000"/>
          <w:sz w:val="24"/>
        </w:rPr>
        <w:t xml:space="preserve">means Fitch Ratings, Inc., also known as Fitch Ratings, or any successor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 xml:space="preserve">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Investment Company Act</w:t>
      </w:r>
      <w:r>
        <w:rPr>
          <w:color w:val="000000"/>
        </w:rPr>
        <w:t xml:space="preserve">’ </w:t>
      </w:r>
      <w:r>
        <w:rPr>
          <w:rFonts w:ascii="Times New Roman;serif" w:hAnsi="Times New Roman;serif"/>
          <w:b w:val="false"/>
          <w:color w:val="000000"/>
          <w:sz w:val="24"/>
        </w:rPr>
        <w:t>means the Investment Company Act of 1940, as amended, and the rules, regulations and interpretations promulgated thereunder, to the extent applicable, and any statute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Investment Grade</w:t>
      </w:r>
      <w:r>
        <w:rPr>
          <w:color w:val="000000"/>
        </w:rPr>
        <w:t xml:space="preserve">’ </w:t>
      </w:r>
      <w:r>
        <w:rPr>
          <w:rFonts w:ascii="Times New Roman;serif" w:hAnsi="Times New Roman;serif"/>
          <w:b w:val="false"/>
          <w:color w:val="000000"/>
          <w:sz w:val="24"/>
        </w:rPr>
        <w:t>means a rating of BBB- or better by Fitch (or its equivalent under any successor rating categories of Fitch) and Baa3 or better by Moody’s (or its equivalent under any successor rating categories of Moody’s) (or, in any case, if such Rating Agency ceases to rate the Notes for reasons outside of the Company’s control, the equivalent investment grade credit rating from any Rating Agency selected by the Company as a replacement Rating Agency).”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means Moody’s Investors Service,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Holders</w:t>
      </w:r>
      <w:r>
        <w:rPr>
          <w:color w:val="000000"/>
        </w:rPr>
        <w:t xml:space="preserve">’ </w:t>
      </w:r>
      <w:r>
        <w:rPr>
          <w:rFonts w:ascii="Times New Roman;serif" w:hAnsi="Times New Roman;serif"/>
          <w:b w:val="false"/>
          <w:color w:val="000000"/>
          <w:sz w:val="24"/>
        </w:rPr>
        <w:t>means (i) the Company and (ii) one or more of the Company’s Controlled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Rating Agency</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each of Fitch and Moody’s; and</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if any of Fitch or Moody’s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or Moody’s, or both, as the case may be.”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Significant Subsidiary</w:t>
      </w:r>
      <w:r>
        <w:rPr>
          <w:color w:val="000000"/>
        </w:rPr>
        <w:t xml:space="preserve">’ </w:t>
      </w:r>
      <w:r>
        <w:rPr>
          <w:rFonts w:ascii="Times New Roman;serif" w:hAnsi="Times New Roman;serif"/>
          <w:b w:val="false"/>
          <w:color w:val="000000"/>
          <w:sz w:val="24"/>
        </w:rPr>
        <w:t>means any Subsidiary that would be a “significant subsidiary” as defined in Article 1, Rule 1-02 of Regulation S-X under the Exchange Act, as such regulation is in effect on the date of this Indenture (but excluding any Subsidiary which is (a) a non-recourse or limited recourse Subsidiary, (b) a bankruptcy remote special purpose vehicle or (c) is not consolidated with the Company for purposes of GAAP).”</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60705"/>
                <wp:effectExtent l="0" t="0" r="0" b="0"/>
                <wp:wrapNone/>
                <wp:docPr id="54" name="Frame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Voting Stock</w:t>
      </w:r>
      <w:r>
        <w:rPr>
          <w:color w:val="000000"/>
        </w:rPr>
        <w:t xml:space="preserve">’ </w:t>
      </w:r>
      <w:r>
        <w:rPr>
          <w:rFonts w:ascii="Times New Roman;serif" w:hAnsi="Times New Roman;serif"/>
          <w:b w:val="false"/>
          <w:color w:val="000000"/>
          <w:sz w:val="24"/>
        </w:rPr>
        <w:t>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lineRule="auto" w:line="288" w:before="0" w:after="240"/>
        <w:ind w:left="0" w:right="0" w:firstLine="720"/>
        <w:jc w:val="both"/>
        <w:rPr/>
      </w:pPr>
      <w:r>
        <w:rPr>
          <w:rFonts w:ascii="Times New Roman;serif" w:hAnsi="Times New Roman;serif"/>
          <w:b/>
          <w:color w:val="000000"/>
          <w:sz w:val="24"/>
        </w:rPr>
        <w:t>Section 2.02.    </w:t>
      </w:r>
      <w:r>
        <w:rPr>
          <w:rFonts w:ascii="Times New Roman;serif" w:hAnsi="Times New Roman;serif"/>
          <w:b w:val="false"/>
          <w:color w:val="000000"/>
          <w:sz w:val="24"/>
        </w:rPr>
        <w:t xml:space="preserve">Except as may be provided in a Future Supplemental Indenture, for the benefit of the Holders of the Notes but no other series of Securities under the Indenture, whether now or hereafter issued and Outstanding, Article I of the Base Indenture shall be amended by amending the definition of “Subsidiary” in Section 1.01 to add the following sentence at the end of such definition: </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In addition, for purposes of this definition, ‘Subsidiary’ shall exclude any investments held by the Company in the ordinary course of business which are not, under GAAP, consolidated on the financial statements of the Company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III </w:t>
        <w:br/>
        <w:t>REMEDIES</w:t>
      </w:r>
    </w:p>
    <w:p>
      <w:pPr>
        <w:pStyle w:val="TextBody"/>
        <w:bidi w:val="0"/>
        <w:spacing w:lineRule="auto" w:line="288" w:before="0" w:after="240"/>
        <w:ind w:left="0" w:right="0" w:firstLine="720"/>
        <w:jc w:val="both"/>
        <w:rPr/>
      </w:pPr>
      <w:r>
        <w:rPr>
          <w:rFonts w:ascii="Times New Roman;serif" w:hAnsi="Times New Roman;serif"/>
          <w:b/>
          <w:color w:val="000000"/>
          <w:sz w:val="24"/>
        </w:rPr>
        <w:t>Section 3.01.    </w:t>
      </w:r>
      <w:r>
        <w:rPr>
          <w:rFonts w:ascii="Times New Roman;serif" w:hAnsi="Times New Roman;serif"/>
          <w:b w:val="false"/>
          <w:color w:val="000000"/>
          <w:sz w:val="24"/>
        </w:rPr>
        <w:t>Except as may be provided in a Future Supplemental Indenture, for the benefit of the Holders of the Notes but no other series of Securities under the Indenture, whether now or hereafter issued and Outstanding, Section 5.01 of the Base Indenture shall be amended by adding the following clause (ix) thereto:</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(ix) default by the Company or any of its Significant Subsidiaries with respect to any mortgage, agreement or other instrument under which there may be outstanding, or by which there may be secured or evidenced, any indebtedness for money borrowed in excess of $50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pStyle w:val="TextBody"/>
        <w:bidi w:val="0"/>
        <w:spacing w:lineRule="auto" w:line="288" w:before="0" w:after="240"/>
        <w:ind w:left="0" w:right="0" w:firstLine="720"/>
        <w:jc w:val="both"/>
        <w:rPr/>
      </w:pPr>
      <w:r>
        <w:rPr>
          <w:rFonts w:ascii="Times New Roman;serif" w:hAnsi="Times New Roman;serif"/>
          <w:b/>
          <w:color w:val="000000"/>
          <w:sz w:val="24"/>
        </w:rPr>
        <w:t>Section 3.02.    </w:t>
      </w:r>
      <w:r>
        <w:rPr>
          <w:rFonts w:ascii="Times New Roman;serif" w:hAnsi="Times New Roman;serif"/>
          <w:b w:val="false"/>
          <w:color w:val="000000"/>
          <w:sz w:val="24"/>
        </w:rPr>
        <w:t>Except as may be provided in a Future Supplemental Indenture, for the benefit of the Holders of the Notes but no other series of Securities under the Indenture, whether now or hereafter issued and Outstanding, Section 5.02 of the Base Indenture shall be amended by replacing the first paragraph thereof with the following:</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 xml:space="preserve">If an Event of Default (other than an Event of Default under Section 5.01(v) or Section 5.01(vi)) with respect to the Notes at the time Outstanding occurs and is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60705"/>
                <wp:effectExtent l="0" t="0" r="0" b="0"/>
                <wp:wrapNone/>
                <wp:docPr id="55" name="Frame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continuing, then and in every such case the Trustee or the Holders of not less than 25% in principal amount of the Notes then Outstanding may (and the Trustee shall at the written request of such Holders) declare the principal amount of, and accrued and unpaid interest on, all the Notes then Outstanding to be due and payable immediately, by a notice in writing to the Company (and to the Trustee if given by the Holders), and upon any such declaration such principal or specified portion thereof, and accrued and unpaid interest thereon, shall become immediately due and payable, but does not entitle any Holder to any redemption payout or redemption premium. If an Event of Default under Section 5.01(v) or Section 5.01(vi) occurs, the entire principal amount of all the Notes will automatically become due and immediately payable, without any action on the part of the Trustee.”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IV</w:t>
        <w:br/>
        <w:t>THE TRUSTEE</w:t>
      </w:r>
    </w:p>
    <w:p>
      <w:pPr>
        <w:pStyle w:val="TextBody"/>
        <w:bidi w:val="0"/>
        <w:spacing w:lineRule="auto" w:line="288" w:before="0" w:after="240"/>
        <w:ind w:left="0" w:right="0" w:firstLine="720"/>
        <w:jc w:val="both"/>
        <w:rPr/>
      </w:pPr>
      <w:r>
        <w:rPr>
          <w:rFonts w:ascii="Times New Roman;serif" w:hAnsi="Times New Roman;serif"/>
          <w:b/>
          <w:color w:val="000000"/>
          <w:sz w:val="24"/>
        </w:rPr>
        <w:t>Section 4.01.    </w:t>
      </w:r>
      <w:r>
        <w:rPr>
          <w:rFonts w:ascii="Times New Roman;serif" w:hAnsi="Times New Roman;serif"/>
          <w:b w:val="false"/>
          <w:color w:val="000000"/>
          <w:sz w:val="24"/>
        </w:rPr>
        <w:t>Except as may be provided in a Future Supplemental Indenture, for the benefit of the Holders of the Notes but no other series of Securities under the Indenture, whether now or hereafter issued and Outstanding, Section 6.01 of the Base Indenture shall be amended by replacing clause (a) thereof with the following:</w:t>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4"/>
        </w:rPr>
        <w:t>(a) Within 90 days after the occurrence of any Default hereunder with respect to the Securities of any series and if a Responsible Officer of the Trustee has received written notice or has actual knowledge of such event, the Trustee shall transmit in the manner and to the extent provided in TIA Section 313(c), notice of such Default hereunder known to the Trustee, unless such Default shall have been cured or waived; provided, however,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Trustee in good faith determines that the withholding of such notice is in the interest of the Holders of the Securities of such series; and provided further that in the case of any Default or breach of the character specified in Section 5.01(iv) with respect to the Securities of such series, no such notice to Holders shall be given until at least 60 days after the occurrence thereof.”</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CONSOLIDATION, MERGER, CONVEYANCE OR TRANSFER</w:t>
      </w:r>
    </w:p>
    <w:p>
      <w:pPr>
        <w:pStyle w:val="TextBody"/>
        <w:bidi w:val="0"/>
        <w:spacing w:before="0" w:after="0"/>
        <w:ind w:left="0" w:right="0" w:firstLine="720"/>
        <w:jc w:val="center"/>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Section 5.01.    </w:t>
      </w:r>
      <w:r>
        <w:rPr>
          <w:rFonts w:ascii="Times New Roman;serif" w:hAnsi="Times New Roman;serif"/>
          <w:b w:val="false"/>
          <w:color w:val="000000"/>
          <w:sz w:val="24"/>
        </w:rPr>
        <w:t>Except as may be provided in a Future Supplemental Indenture, for the benefit of the Holders of the Notes but no other series of Securities under the Indenture, whether now or hereafter issued and Outstanding, Section 8.01 of the Base Indenture shall be amended by replacing the last paragraph thereof with the following:</w:t>
      </w:r>
    </w:p>
    <w:p>
      <w:pPr>
        <w:pStyle w:val="TextBody"/>
        <w:bidi w:val="0"/>
        <w:spacing w:lineRule="auto" w:line="288"/>
        <w:ind w:left="0" w:right="0" w:firstLine="720"/>
        <w:jc w:val="both"/>
        <w:rPr>
          <w:color w:val="000000"/>
        </w:rPr>
      </w:pPr>
      <w:r>
        <w:rPr>
          <w:color w:val="000000"/>
        </w:rPr>
        <w:t>“</w:t>
      </w:r>
      <w:r>
        <w:rPr>
          <w:rFonts w:ascii="Times New Roman;serif" w:hAnsi="Times New Roman;serif"/>
          <w:b w:val="false"/>
          <w:color w:val="000000"/>
          <w:sz w:val="24"/>
        </w:rPr>
        <w:t xml:space="preserve">Notwithstanding any of the foregoing and subject to the Investment Company Act, any Subsidiary of the Company may consolidate with, merge into or transfer all or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60705"/>
                <wp:effectExtent l="0" t="0" r="0" b="0"/>
                <wp:wrapNone/>
                <wp:docPr id="56" name="Frame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part of its property and assets to other Subsidiaries of the Company or to the Company. Additionally, this covenant shall not apply to: (1) the Company’s merger or the merger of one of the Company’s Subsidiaries with an Affiliate solely for the purpose of reincorporating in another jurisdiction; (2) any conversion by the Company or a Subsidiary of the Company from an entity formed under the laws of one state to any entity formed under the laws of another state; or (3) any combination of (1) and (2) above.”</w:t>
      </w:r>
    </w:p>
    <w:p>
      <w:pPr>
        <w:pStyle w:val="TextBody"/>
        <w:bidi w:val="0"/>
        <w:spacing w:before="0" w:after="0"/>
        <w:ind w:left="0" w:right="0" w:firstLine="72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w:t>
        <w:br/>
        <w:t>COVENANTS</w:t>
      </w:r>
    </w:p>
    <w:p>
      <w:pPr>
        <w:pStyle w:val="TextBody"/>
        <w:bidi w:val="0"/>
        <w:spacing w:lineRule="auto" w:line="288" w:before="0" w:after="240"/>
        <w:ind w:left="0" w:right="0" w:firstLine="720"/>
        <w:jc w:val="both"/>
        <w:rPr/>
      </w:pPr>
      <w:r>
        <w:rPr>
          <w:rFonts w:ascii="Times New Roman;serif" w:hAnsi="Times New Roman;serif"/>
          <w:b/>
          <w:color w:val="000000"/>
          <w:sz w:val="24"/>
        </w:rPr>
        <w:t>Section 6.01.    </w:t>
      </w:r>
      <w:r>
        <w:rPr>
          <w:rFonts w:ascii="Times New Roman;serif" w:hAnsi="Times New Roman;serif"/>
          <w:b w:val="false"/>
          <w:color w:val="000000"/>
          <w:sz w:val="24"/>
        </w:rPr>
        <w:t>Except as may be provided in a Future Supplemental Indenture, for the benefit of the Holders of the Notes but no other series of Securities under the Indenture, whether now or hereafter issued and Outstanding, Article X of the Base Indenture shall be amended by adding the following new Sections 10.08, 10.09 and 10.10 thereto, each as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rPr>
        <w:t xml:space="preserve">Section 10.08. </w:t>
      </w:r>
      <w:r>
        <w:rPr>
          <w:rFonts w:ascii="Times New Roman;serif" w:hAnsi="Times New Roman;serif"/>
          <w:b w:val="false"/>
          <w:color w:val="000000"/>
          <w:sz w:val="24"/>
          <w:u w:val="single"/>
        </w:rPr>
        <w:t>Section 18(a)(1)(A) of the Investment Company Act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hereby agrees that for the period of time during which the Notes are Outstanding, the Company will not violate Section 18(a)(1)(A) as modified by Section 61(a)(2) of the Investment Company Act or any successor provisions thereto, whether or not the Company continues to be subject to such provisions of the Investment Company Act, but giving effect, in either case, to any exemptive relief granted to the Company by the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rPr>
        <w:t xml:space="preserve">Section 10.09. </w:t>
      </w:r>
      <w:r>
        <w:rPr>
          <w:rFonts w:ascii="Times New Roman;serif" w:hAnsi="Times New Roman;serif"/>
          <w:b w:val="false"/>
          <w:color w:val="000000"/>
          <w:sz w:val="24"/>
          <w:u w:val="single"/>
        </w:rPr>
        <w:t>Section 18(a)(1)(B) of the Investment Company Act</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hereby agrees that, for the period of time during which the Notes are Outstanding, the Company will not violate Section 18(a)(1)(B) as modified by Section 61(a)(2) of the Investment Company Act or any successor provisions thereto, whether or not the Company is subject to such provisions of the Investment Company Act, and after giving effect to any exemptive relief granted to the Company by the Commission, except that the Company may declare a cash dividend or distribution, notwithstanding the prohibition contained in Section 18(a)(1)(B) as modified by Section 61(a)(2) of the Investment Company Act or any successor provisions thereto, but only up to such amount as is necessary in order for the Company to maintain its status as a regulated investment company under Subchapter M of the Internal Revenue Code of 1986; provided, however, that the prohibition in this Section 10.09 shall not apply until such time as the Company’s asset coverage has been below the minimum asset coverage required pursuant to Section 18(a)(1)(B) as modified by Section 61(a)(2) of the Investment Company Act or any successor provisions thereto (after giving effect to any exemptive relief granted to the Company by the Commission) for more than six (6) consecutive months.”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rPr>
        <w:t xml:space="preserve">Section 10.10. </w:t>
      </w:r>
      <w:r>
        <w:rPr>
          <w:rFonts w:ascii="Times New Roman;serif" w:hAnsi="Times New Roman;serif"/>
          <w:b w:val="false"/>
          <w:color w:val="000000"/>
          <w:sz w:val="24"/>
          <w:u w:val="single"/>
        </w:rPr>
        <w:t>Commission Reports and Reports to Holders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at any time, the Company is not subject to the reporting requirements of Sections 13 or 15(d) of the Exchange Act to file any periodic reports with the Commission, the Company agrees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60705"/>
                <wp:effectExtent l="0" t="0" r="0" b="0"/>
                <wp:wrapNone/>
                <wp:docPr id="57" name="Frame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furnish to the Holders of the Notes and the Trustee for the period of time during which the Notes are Outstanding: (i) within 90 days after the end of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applicable GAAP.”</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w:t>
        <w:br/>
        <w:t>REDEMPTION OF SECURITIES</w:t>
      </w:r>
    </w:p>
    <w:p>
      <w:pPr>
        <w:pStyle w:val="TextBody"/>
        <w:bidi w:val="0"/>
        <w:spacing w:lineRule="auto" w:line="288" w:before="0" w:after="240"/>
        <w:ind w:left="0" w:right="0" w:firstLine="720"/>
        <w:jc w:val="both"/>
        <w:rPr/>
      </w:pPr>
      <w:r>
        <w:rPr>
          <w:rFonts w:ascii="Times New Roman;serif" w:hAnsi="Times New Roman;serif"/>
          <w:b/>
          <w:color w:val="000000"/>
          <w:sz w:val="24"/>
        </w:rPr>
        <w:t>Section 7.01.    </w:t>
      </w:r>
      <w:r>
        <w:rPr>
          <w:rFonts w:ascii="Times New Roman;serif" w:hAnsi="Times New Roman;serif"/>
          <w:b w:val="false"/>
          <w:color w:val="000000"/>
          <w:sz w:val="24"/>
        </w:rPr>
        <w:t>Except as may be provided in a Future Supplemental Indenture, for the benefit of the Holders of the Notes but no other series of Securities under the Indenture, whether now or hereafter issued and Outstanding, Section 11.03 of the Base Indenture shall be amended by replacing the first paragraph thereof with the following:</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If less than all the Securities of any series issued on the same day with the same terms are to be redeemed, the particular Securities to be redeemed shall be selected by the Trustee, or by the Depositary in the case of global Securities, in compliance with the requirements of DTC, from the Outstanding Securities of such series issued on such date with the same terms not previously called for redemption, in compliance with the requirements of the principal national securities exchange on which the Securities are listed (if the Securities are listed on any national securities exchange), or if the Securities are not held through DTC or listed on any national securities exchange, or DTC prescribed no method of selection, by such method as the Trustee shall deem fair and appropriate and subject to and otherwise in accordance with the procedures of the applicable Depositary; provided that such method complies with the rules of any national securities exchange or quotation system on which the Securities are listed (which rules shall be certificated to the Trustee by the Company or such national securities exchange at the Trustee’s request),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provided, however, that no such partial redemption shall reduce the portion of the principal amount of a Security not redeemed to less than the minimum authorized denomination for Securities of such series.”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VIII</w:t>
        <w:br/>
        <w:t>DEFEASANCE AND COVENANT DEFEASANCE</w:t>
      </w:r>
    </w:p>
    <w:p>
      <w:pPr>
        <w:pStyle w:val="TextBody"/>
        <w:bidi w:val="0"/>
        <w:spacing w:lineRule="auto" w:line="288" w:before="0" w:after="240"/>
        <w:ind w:left="0" w:right="0" w:firstLine="720"/>
        <w:jc w:val="both"/>
        <w:rPr/>
      </w:pPr>
      <w:r>
        <w:rPr>
          <w:rFonts w:ascii="Times New Roman;serif" w:hAnsi="Times New Roman;serif"/>
          <w:b/>
          <w:color w:val="000000"/>
          <w:sz w:val="24"/>
        </w:rPr>
        <w:t>Section 8.01.    </w:t>
      </w:r>
      <w:r>
        <w:rPr>
          <w:rFonts w:ascii="Times New Roman;serif" w:hAnsi="Times New Roman;serif"/>
          <w:b w:val="false"/>
          <w:color w:val="000000"/>
          <w:sz w:val="24"/>
        </w:rPr>
        <w:t>Except as may be provided in a Future Supplemental Indenture, for the benefit of the Holders of the Notes but no other series of Securities under the Indenture, whether now or hereafter issued and Outstanding, Section 14.04 of the Base Indenture shall be amended by replacing clause (vi) thereof with the following:</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 xml:space="preserve">(vi) The Company shall have delivered to the Trustee an Officers’ Certificate and an Opinion of Counsel, each stating that all conditions precedent to either the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60705"/>
                <wp:effectExtent l="0" t="0" r="0" b="0"/>
                <wp:wrapNone/>
                <wp:docPr id="58" name="Frame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defeasance under Section 14.02 or the covenant defeasance under Section 14.03 (as the case may be) have been complied with and an Opinion of Counsel to the effect that as a result of a deposit pursuant to subsection (i) above and the related exercise of the Company’s option under Section 14.02 or Section 14.03 (as the case may be), registration is not required under the Investment Company Act by the Company, with respect to the trust funds </w:t>
      </w:r>
      <w:r>
        <w:rPr/>
        <w:drawing>
          <wp:inline distT="0" distB="0" distL="0" distR="0">
            <wp:extent cx="7248525" cy="95250"/>
            <wp:effectExtent l="0" t="0" r="0" b="0"/>
            <wp:docPr id="5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 descr=""/>
                    <pic:cNvPicPr>
                      <a:picLocks noChangeAspect="1" noChangeArrowheads="1"/>
                    </pic:cNvPicPr>
                  </pic:nvPicPr>
                  <pic:blipFill>
                    <a:blip r:embed="rId4"/>
                    <a:stretch>
                      <a:fillRect/>
                    </a:stretch>
                  </pic:blipFill>
                  <pic:spPr bwMode="auto">
                    <a:xfrm>
                      <a:off x="0" y="0"/>
                      <a:ext cx="7248525" cy="95250"/>
                    </a:xfrm>
                    <a:prstGeom prst="rect">
                      <a:avLst/>
                    </a:prstGeom>
                  </pic:spPr>
                </pic:pic>
              </a:graphicData>
            </a:graphic>
          </wp:inline>
        </w:drawing>
      </w:r>
      <w:r>
        <w:rPr>
          <w:rFonts w:ascii="Times New Roman;serif" w:hAnsi="Times New Roman;serif"/>
          <w:b w:val="false"/>
          <w:color w:val="000000"/>
          <w:sz w:val="24"/>
        </w:rPr>
        <w:t>representing such deposit or by the trustee for such trust funds.”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IX</w:t>
        <w:br/>
        <w:t>REPAYMENT AT THE OPTION OF HOLDERS</w:t>
      </w:r>
    </w:p>
    <w:p>
      <w:pPr>
        <w:pStyle w:val="TextBody"/>
        <w:bidi w:val="0"/>
        <w:spacing w:lineRule="auto" w:line="288" w:before="0" w:after="240"/>
        <w:ind w:left="0" w:right="0" w:firstLine="720"/>
        <w:jc w:val="both"/>
        <w:rPr/>
      </w:pPr>
      <w:r>
        <w:rPr>
          <w:rFonts w:ascii="Times New Roman;serif" w:hAnsi="Times New Roman;serif"/>
          <w:b/>
          <w:color w:val="000000"/>
          <w:sz w:val="24"/>
        </w:rPr>
        <w:t>Section 9.01.    </w:t>
      </w:r>
      <w:r>
        <w:rPr>
          <w:rFonts w:ascii="Times New Roman;serif" w:hAnsi="Times New Roman;serif"/>
          <w:b w:val="false"/>
          <w:color w:val="000000"/>
          <w:sz w:val="24"/>
        </w:rPr>
        <w:t>Except as may be provided in a Future Supplemental Indenture, for the benefit of the Holders of the Notes but no other series of Securities under the Indenture, whether now or hereafter issued and Outstanding, Article XIII of the Base Indenture shall be amended by replacing Sections 13.01 to 13.05 with the following: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rPr>
        <w:t xml:space="preserve">Section 13.01.                </w:t>
      </w:r>
      <w:r>
        <w:rPr>
          <w:rFonts w:ascii="Times New Roman;serif" w:hAnsi="Times New Roman;serif"/>
          <w:b w:val="false"/>
          <w:color w:val="000000"/>
          <w:sz w:val="24"/>
          <w:u w:val="single"/>
        </w:rPr>
        <w:t>Change of Control Repurchase Event.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excluding, the date of repurchase. Within 30 days following any Change of Control Repurchase Event or, at the Company’s option, prior to any Change of Control, but after the public announcement of the Change of Control, the Company shall mail a notice to each Holder (with a copy to the Trustee) describing the transaction or transactions that constitute or may constitute the Change of Control Repurchase Event and offering to repurchase Notes on the payment date specified in the notice, which date shall be no earlier than 30 days and no later than 60 days from the date such notice is mailed. The notice shall, if mailed prior to the date of consummation of the Change of Control, state that the offer to purchase is conditioned on the Change of Control Repurchase Event occurring on or prior to the payment date specified in the notice. The Company shall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pStyle w:val="TextBody"/>
        <w:bidi w:val="0"/>
        <w:spacing w:lineRule="auto" w:line="288"/>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60705"/>
                <wp:effectExtent l="0" t="0" r="0" b="0"/>
                <wp:wrapNone/>
                <wp:docPr id="60" name="Frame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the Change of Control Repurchase Event payment date, subject to extension if necessary to comply with the provisions of the Investment Company Act, the Company will, to the extent lawful:</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accept for payment all Notes or portions of Notes properly tendered pursuant to its offer;</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deposit with the Paying Agent an amount equal to the aggregate purchase price in respect of all Notes or portions of Notes properly tendered; and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deliver or cause to be delivered to the Trustee the Notes properly accepted, together with an Officers’ Certificate stating the aggregate principal amount of Notes being purchased by the Company.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The Paying Agent will promptly remit to each Holder of the Notes properly tendered the purchase price for the Notes, and upon receipt of a Company Order, the Trustee will promptly authenticate and mail (or cause to be transferred by book-entry) to each Holder a new Note equal in principal amount to any unpurchased portion of any Notes surrendered;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each new Note will be in a minimum principal amount of $2,000 or an integral multiple of $1,000 in excess thereof.</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not be required to make an offer to repurchase the Notes upon a Change of Control Repurchase Event if a third party makes an offer in respect of the Notes in the manner, at the times and otherwise in compliance with the requirements for an offer made by the Company and such third party purchases all Notes properly tendered and not withdrawn under its offer.”</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w:t>
        <w:br/>
        <w:t>MISCELLANEOUS</w:t>
      </w:r>
    </w:p>
    <w:p>
      <w:pPr>
        <w:pStyle w:val="TextBody"/>
        <w:bidi w:val="0"/>
        <w:spacing w:lineRule="auto" w:line="288" w:before="0" w:after="240"/>
        <w:ind w:left="0" w:right="0" w:firstLine="720"/>
        <w:jc w:val="both"/>
        <w:rPr/>
      </w:pPr>
      <w:r>
        <w:rPr>
          <w:rFonts w:ascii="Times New Roman;serif" w:hAnsi="Times New Roman;serif"/>
          <w:b/>
          <w:color w:val="000000"/>
          <w:sz w:val="24"/>
        </w:rPr>
        <w:t>Section 10.01.    </w:t>
      </w:r>
      <w:r>
        <w:rPr>
          <w:rFonts w:ascii="Times New Roman;serif" w:hAnsi="Times New Roman;serif"/>
          <w:b w:val="false"/>
          <w:color w:val="000000"/>
          <w:sz w:val="24"/>
        </w:rPr>
        <w:t xml:space="preserve">This Eighth Supplemental Indenture and the Notes shall be governed by and construed in accordance with the laws of the State of New York, without regard to principles of conflicts of laws. This Eighth Supplemental Indenture is subject to the provisions of the Trust Indenture Act that are required to be part of the Indenture and shall, to the extent applicable, be governed by such provisions. If any provision of this Eighth Supplemental Indenture limits, qualifies or conflicts with a provision of the Trust Indenture Act that is required under the Trust Indenture Act to be a part of and govern this Eighth Supplemental Indenture, the provision of the Trust Indenture Act shall control. If any provision of this Eighth Supplemental Indenture modifies or excludes any provision of the Trust Indenture Act that may be so modified or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60705"/>
                <wp:effectExtent l="0" t="0" r="0" b="0"/>
                <wp:wrapNone/>
                <wp:docPr id="61" name="Frame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excluded, the provision of the Trust Indenture Act shall be deemed to apply to this Eighth Supplemental Indenture as so modified or only to the extent not so excluded, as the case may be.</w:t>
      </w:r>
    </w:p>
    <w:p>
      <w:pPr>
        <w:pStyle w:val="TextBody"/>
        <w:bidi w:val="0"/>
        <w:spacing w:lineRule="auto" w:line="288" w:before="0" w:after="240"/>
        <w:ind w:left="0" w:right="0" w:firstLine="720"/>
        <w:jc w:val="both"/>
        <w:rPr/>
      </w:pPr>
      <w:r>
        <w:rPr>
          <w:rFonts w:ascii="Times New Roman;serif" w:hAnsi="Times New Roman;serif"/>
          <w:b/>
          <w:color w:val="000000"/>
          <w:sz w:val="24"/>
        </w:rPr>
        <w:t>Section 10.02.    </w:t>
      </w:r>
      <w:r>
        <w:rPr>
          <w:rFonts w:ascii="Times New Roman;serif" w:hAnsi="Times New Roman;serif"/>
          <w:b w:val="false"/>
          <w:color w:val="000000"/>
          <w:sz w:val="24"/>
        </w:rPr>
        <w:t>In case any provision in this Eighth Supplemental Indenture or in the Notes shall be invalid, illegal or unenforceable, the validity, legality and enforceability of the remaining provisions shall not in any way be affected or impaired thereby.</w:t>
      </w:r>
    </w:p>
    <w:p>
      <w:pPr>
        <w:pStyle w:val="TextBody"/>
        <w:bidi w:val="0"/>
        <w:spacing w:lineRule="auto" w:line="288" w:before="0" w:after="240"/>
        <w:ind w:left="0" w:right="0" w:firstLine="720"/>
        <w:jc w:val="both"/>
        <w:rPr/>
      </w:pPr>
      <w:r>
        <w:rPr>
          <w:rFonts w:ascii="Times New Roman;serif" w:hAnsi="Times New Roman;serif"/>
          <w:b/>
          <w:color w:val="000000"/>
          <w:sz w:val="24"/>
        </w:rPr>
        <w:t>Section 10.03.    </w:t>
      </w:r>
      <w:r>
        <w:rPr>
          <w:rFonts w:ascii="Times New Roman;serif" w:hAnsi="Times New Roman;serif"/>
          <w:b w:val="false"/>
          <w:color w:val="000000"/>
          <w:sz w:val="24"/>
        </w:rPr>
        <w:t>This Eighth Supplemental Indenture may be executed in counterparts, each of which will be an original, but such counterparts will together constitute but one and the same Eighth Supplemental Indenture. The exchange of copies of this Eighth Supplemental Indenture and of signature pages by facsimile, .pdf transmission, email or other electronic means shall constitute effective execution and delivery of this Eighth Supplemental Indenture for all purposes. Signatures of the parties hereto transmitted by facsimile, .pdf transmission, email or other electronic means shall be deemed to be their original signatures for all purposes. For the avoidance of doubt, all notices, approvals, consents, requests and any communications hereunder or with respect to this Eighth Supplemental Indenture must be in writing (provided that any communication sent to the Trustee hereunder must be in the form of a document that is signed manually or by way of a digital signature provided by Docusign (or such other digital signature provider as specified in writing to the Trustee by the authorized representative), in English. The Company agrees to assume all risks arising out of the use of digital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lineRule="auto" w:line="288" w:before="0" w:after="240"/>
        <w:ind w:left="0" w:right="0" w:firstLine="720"/>
        <w:jc w:val="both"/>
        <w:rPr/>
      </w:pPr>
      <w:r>
        <w:rPr>
          <w:rFonts w:ascii="Times New Roman;serif" w:hAnsi="Times New Roman;serif"/>
          <w:b/>
          <w:color w:val="000000"/>
          <w:sz w:val="24"/>
        </w:rPr>
        <w:t>Section 10.04.    </w:t>
      </w:r>
      <w:r>
        <w:rPr>
          <w:rFonts w:ascii="Times New Roman;serif" w:hAnsi="Times New Roman;serif"/>
          <w:b w:val="false"/>
          <w:color w:val="000000"/>
          <w:sz w:val="24"/>
        </w:rPr>
        <w:t>The Base Indenture, as supplemented and amended by this Eighth Supplemental Indenture, is in all respects ratified and confirmed, and the Base Indenture and this Eighth Supplemental Indenture shall be read, taken and construed as one and the same instrument with respect to the Notes. All provisions included in this Eighth Supplemental Indenture supersede any conflicting provisions included in the Base Indenture with respect to the Notes, unless not permitted by law. The Trustee accepts the trusts created by the Base Indenture, as supplemented by this Eighth Supplemental Indenture, and agrees to perform the same upon the terms and conditions of the Base Indenture, as supplemented by this Eighth Supplemental Indenture.</w:t>
      </w:r>
    </w:p>
    <w:p>
      <w:pPr>
        <w:pStyle w:val="TextBody"/>
        <w:bidi w:val="0"/>
        <w:spacing w:lineRule="auto" w:line="288" w:before="0" w:after="240"/>
        <w:ind w:left="0" w:right="0" w:firstLine="720"/>
        <w:jc w:val="both"/>
        <w:rPr/>
      </w:pPr>
      <w:r>
        <w:rPr>
          <w:rFonts w:ascii="Times New Roman;serif" w:hAnsi="Times New Roman;serif"/>
          <w:b/>
          <w:color w:val="000000"/>
          <w:sz w:val="24"/>
        </w:rPr>
        <w:t>Section 10.05.    </w:t>
      </w:r>
      <w:r>
        <w:rPr>
          <w:rFonts w:ascii="Times New Roman;serif" w:hAnsi="Times New Roman;serif"/>
          <w:b w:val="false"/>
          <w:color w:val="000000"/>
          <w:sz w:val="24"/>
        </w:rPr>
        <w:t>The provisions of this Eighth Supplemental Indenture shall become effective as of the date hereof.</w:t>
      </w:r>
    </w:p>
    <w:p>
      <w:pPr>
        <w:pStyle w:val="TextBody"/>
        <w:bidi w:val="0"/>
        <w:spacing w:lineRule="auto" w:line="288" w:before="0" w:after="240"/>
        <w:ind w:left="0" w:right="0" w:firstLine="720"/>
        <w:jc w:val="both"/>
        <w:rPr/>
      </w:pPr>
      <w:r>
        <w:rPr>
          <w:rFonts w:ascii="Times New Roman;serif" w:hAnsi="Times New Roman;serif"/>
          <w:b/>
          <w:color w:val="000000"/>
          <w:sz w:val="24"/>
        </w:rPr>
        <w:t>Section 10.06.    </w:t>
      </w:r>
      <w:r>
        <w:rPr>
          <w:rFonts w:ascii="Times New Roman;serif" w:hAnsi="Times New Roman;serif"/>
          <w:b w:val="false"/>
          <w:color w:val="000000"/>
          <w:sz w:val="24"/>
        </w:rPr>
        <w:t>Notwithstanding anything else to the contrary herein, the terms and provisions of this Eighth Supplemental Indenture shall apply only to the Notes and shall not apply to any other series of Securities under the Base Indenture (as supplemented or amended from time to time by one or more indentures supplemental thereto), and this Eighth Supplemental Indenture shall not and does not otherwise affect, modify, alter, supplement or change the terms and provisions of any other series of Securities under the Base Indenture (as supplemented or amended from time to time by one or more indentures supplemental thereto), whether now or hereafter issued and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60705"/>
                <wp:effectExtent l="0" t="0" r="0" b="0"/>
                <wp:wrapNone/>
                <wp:docPr id="62" name="Frame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Section 10.07.    </w:t>
      </w:r>
      <w:r>
        <w:rPr>
          <w:rFonts w:ascii="Times New Roman;serif" w:hAnsi="Times New Roman;serif"/>
          <w:b w:val="false"/>
          <w:color w:val="000000"/>
          <w:sz w:val="24"/>
        </w:rPr>
        <w:t xml:space="preserve">The recitals contained herein and in the Notes shall be taken as the statements of the Company, and the Trustee assumes no responsibility for their correctness. The Trustee makes no representations as to the validity or sufficiency of this Eighth Supplemental Indenture, the Notes or any Additional Notes, except that the Trustee represents that it is duly authorized to execute and deliver this Eighth Supplemental Indenture, authenticate the Notes and any Additional Notes and perform its obligations hereunder. The Trustee shall not be accountable for the use or application by the Company of the Notes or any Additional Notes or the proceeds thereof. </w:t>
      </w:r>
      <w:r>
        <w:rPr>
          <w:rFonts w:ascii="Times-Roman;sans-serif" w:hAnsi="Times-Roman;sans-serif"/>
          <w:b w:val="false"/>
          <w:color w:val="000000"/>
          <w:sz w:val="24"/>
        </w:rPr>
        <w:t xml:space="preserve">All of the provisions contained in the Indenture in respect of the rights, privileges, immunities, powers, and duties of the Trustee shall be applicable in respect of this </w:t>
      </w:r>
      <w:r>
        <w:rPr>
          <w:rFonts w:ascii="Times New Roman;serif" w:hAnsi="Times New Roman;serif"/>
          <w:b w:val="false"/>
          <w:color w:val="000000"/>
          <w:sz w:val="24"/>
        </w:rPr>
        <w:t xml:space="preserve">Eighth </w:t>
      </w:r>
      <w:r>
        <w:rPr>
          <w:rFonts w:ascii="Times-Roman;sans-serif" w:hAnsi="Times-Roman;sans-serif"/>
          <w:b w:val="false"/>
          <w:color w:val="000000"/>
          <w:sz w:val="24"/>
        </w:rPr>
        <w:t>Supplemental Indenture as fully and with like force and effect as though fully set forth in full herein.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1.01.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10.08.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60705"/>
                <wp:effectExtent l="0" t="0" r="0" b="0"/>
                <wp:wrapNone/>
                <wp:docPr id="63" name="Frame6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Eighth Supplemental Indenture to be duly executed as of the date first above written.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CAPITAL SOUTHWEST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Michael S. Sarner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S. Sarner</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Title:    President and Chief Executive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 xml:space="preserve">U.S. BANK TRUST COMPANY, NATIONAL ASSOCIATION </w:t>
      </w:r>
      <w:r>
        <w:rPr>
          <w:rFonts w:ascii="Times New Roman;serif" w:hAnsi="Times New Roman;serif"/>
          <w:b w:val="false"/>
          <w:color w:val="000000"/>
          <w:sz w:val="24"/>
        </w:rPr>
        <w:t>(as successor in interest to U.S. Bank National Association), as Trustee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Michael K. Herberger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K. Herberger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4"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Eighth Supplemental Indenture</w:t>
                            </w:r>
                            <w:r>
                              <w:rPr>
                                <w:rFonts w:ascii="Times New Roman;serif" w:hAnsi="Times New Roman;serif"/>
                                <w:b w:val="false"/>
                                <w:color w:val="000000"/>
                                <w:sz w:val="24"/>
                              </w:rPr>
                              <w: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Eighth Supplemental Indenture</w:t>
                      </w:r>
                      <w:r>
                        <w:rPr>
                          <w:rFonts w:ascii="Times New Roman;serif" w:hAnsi="Times New Roman;serif"/>
                          <w:b w:val="false"/>
                          <w:color w:val="000000"/>
                          <w:sz w:val="24"/>
                        </w:rPr>
                        <w:t>]</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5"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Eighth Supplemental Indenture</w:t>
                            </w:r>
                            <w:r>
                              <w:rPr>
                                <w:rFonts w:ascii="Times New Roman;serif" w:hAnsi="Times New Roman;serif"/>
                                <w:b w:val="false"/>
                                <w:color w:val="000000"/>
                                <w:sz w:val="24"/>
                              </w:rPr>
                              <w: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Eighth Supplemental Indenture</w:t>
                      </w:r>
                      <w:r>
                        <w:rPr>
                          <w:rFonts w:ascii="Times New Roman;serif" w:hAnsi="Times New Roman;serif"/>
                          <w:b w:val="false"/>
                          <w:color w:val="000000"/>
                          <w:sz w:val="24"/>
                        </w:rPr>
                        <w: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 – Form of Global Note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Capital Southwest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No.     $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CUSIP No. 140501 AG2</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 xml:space="preserve">ISIN No. US140501AG26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6.750% Notes due 2031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 Southwest Corporation, a corporation duly organized and existing under the laws of Texas (herein called the “Company,” which term includes any successor Person under the Indenture hereinafter referred to), for value received, hereby promises to pay to Cede &amp; Co., or registered assigns, the principal sum of (U.S. $ ) on September 15, 2031, and to pay interest thereon from September 15, 2026 or from the most recent Interest Payment Date to which interest has been paid or duly provided for, semi-annually on March 15 and September 15 in each year, commencing March 15, 2027, at the rate of 6.750%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March 1 and September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6"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 –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 –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 of the principal of (and premium, if any, on) and any such interest on this Security will be made at the office of the Trustee located at 100 Wall Street, 20th Floor, New York, New York 10005, Attention: Capital Southwest Corporation (6.750% Notes Due 2031) and at such other address as designated by the Trustee,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transfer to an account maintained by the Person entitled thereto located in the United States; </w:t>
      </w:r>
      <w:r>
        <w:rPr>
          <w:rFonts w:ascii="Times New Roman;serif" w:hAnsi="Times New Roman;serif"/>
          <w:b w:val="false"/>
          <w:i/>
          <w:color w:val="000000"/>
          <w:sz w:val="24"/>
        </w:rPr>
        <w:t>provided, further, however</w:t>
      </w:r>
      <w:r>
        <w:rPr>
          <w:rFonts w:ascii="Times New Roman;serif" w:hAnsi="Times New Roman;serif"/>
          <w:b w:val="false"/>
          <w:color w:val="000000"/>
          <w:sz w:val="24"/>
        </w:rPr>
        <w:t>, that so long as this Security is registered to Cede &amp; Co., such payment will be made by wire transfer in accordance with the procedures established by The Depository Trust Company and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further provisions of this Security set forth on the reverse hereof, which further provisions shall for all purposes have the same effect as if set forth at this place.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Trustee referred to on the reverse hereof by manual signature, this Security shall not be entitled to any benefit under the Indenture or be valid or obligatory for any purpose.</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 – 2</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instrument to be duly executed.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CAPITAL SOUTHWEST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Attest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 – 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is one of the Securities of the series designated therein referred to in the within-mentioned Indenture.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successor in interest to U.S. Bank National Association), as Trustee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 – 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Capital Southwest Corporation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6.750% Notes due 2031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Security is one of a duly authorized issue of Senior Securities of the Company (herein called the “Securities”), issued and to be issued in one or more series under an Indenture, dated as of October 23, 2017 (herein called the “Base Indenture”, which term shall have the meaning assigned to it in such instrument), between the Company and U.S. Bank Trust Company, National Association (as successor in interest to U.S. Bank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amended and supplemented by the Eighth Supplemental Indenture relating to the Securities, dated September 15, 2026, by and between the Company and the Trustee (herein called the “Eighth Supplemental Indenture”; the Eighth Supplemental Indenture and together with the Base Indenture, collectively are herein called the “Indenture”). In the event of any conflict between the Base Indenture and the Eighth Supplemental Indenture, the Eighth Supplemental Indenture shall govern and control.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Security is one of the series designated on the face hereof, which series is initially limited in aggregate principal amount to $ .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and other terms as the Securities; provided that, if such Additional Securities are not fungible with the Securities (or any other tranche of Additional Securities for U.S. federal income tax purposes), then such Additional Securities will have different CUSIP and ISIN numbers from the Securities (and any such other tranche of Additional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Prior to the Par Call Date, the Securities of this series are subject to redemption, in whole or in part, at any time and from time to time, at the option of the Company, at a Redemption Price (expressed as a percentage of the principal amount and rounded to three decimal places) equal to the greater of:</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35 basis points less (b) interest accrued to the Redemption Date, and</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    100% of the principal amount of the Securities to be redeemed, plus, in either case, accrued and unpaid interest thereon to, but not including, the Redemption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or after the Par Call Date, the Company may redeem the Securities, in whole or in part, at any time and from time to time, at a Redemption Price equal to 100% of the principal amount of the Securities being redeemed plus accrued and unpaid interest thereon to, but not including, the Redemption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calculating the Redemption Price in connection with the redemption of the Securities, on any Redemption Date, the following terms have the meanings set forth below:</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Par Call Date” means August 15, 2031.</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Treasury Rate” means, with respect to any Redemption Date of the Securities, the yield determined by the Company in accordance with the following two paragraphs.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Company’s actions and determinations in determining the Redemption Price of any of the Securities shall be conclusive and binding for all purposes, absent manifest error.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Notice of redemption shall be given in writing and mailed, first-class postage prepaid, by overnight courier guaranteeing next-day delivery, by facsimile, or by electronic mail, provided that so long as the Securities are registered to Cede &amp; Co., such notice shall be given in accordance with the Trustee’s and the Depositary’s standard practices and procedures, to each Holder of the Securities to be redeemed (with a copy to the Trustee), not less than ten (10) nor more than sixty (60) days prior to the Redemption Date, at the Holder’s address, facsimile number or email address appearing in the Security Register. All notices of redemption shall contain the information set forth in Section 11.04 of the Base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exercise of the Company’s option to redeem the Securities will be done in compliance with the Indenture and the Investment Company Act, to the extent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Company elects to redeem only a portion of the Securities, the particular Securities to be redeemed will be selected in accordance with the Indenture and, so long as the Securities are registered to the Depositary or its nominee, in accordance with the applicable procedures of the Depositary. In the event of redemption of this Security in part only, a new Security or Securities of this series and of like tenor for the unredeemed portion hereof will be issued in the name of the Holder hereof upon the cancellation hereof; </w:t>
      </w:r>
      <w:r>
        <w:rPr>
          <w:rFonts w:ascii="Times New Roman;serif" w:hAnsi="Times New Roman;serif"/>
          <w:b w:val="false"/>
          <w:i/>
          <w:color w:val="000000"/>
          <w:sz w:val="24"/>
        </w:rPr>
        <w:t>provided</w:t>
      </w:r>
      <w:r>
        <w:rPr>
          <w:rFonts w:ascii="Times New Roman;serif" w:hAnsi="Times New Roman;serif"/>
          <w:b w:val="false"/>
          <w:color w:val="000000"/>
          <w:sz w:val="24"/>
        </w:rPr>
        <w:t>, </w:t>
      </w:r>
      <w:r>
        <w:rPr>
          <w:rFonts w:ascii="Times New Roman;serif" w:hAnsi="Times New Roman;serif"/>
          <w:b w:val="false"/>
          <w:i/>
          <w:color w:val="000000"/>
          <w:sz w:val="24"/>
        </w:rPr>
        <w:t>however</w:t>
      </w:r>
      <w:r>
        <w:rPr>
          <w:rFonts w:ascii="Times New Roman;serif" w:hAnsi="Times New Roman;serif"/>
          <w:b w:val="false"/>
          <w:color w:val="000000"/>
          <w:sz w:val="24"/>
        </w:rPr>
        <w:t>, that no such partial redemption shall reduce the portion of the principal amount of a Security not redeemed to less than $2,000.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Unless the Company defaults in payment of the Redemption Price, on and after the Redemption Date, interest will cease to accrue on the Securities or portions thereof called for redemption. Holders will have the right to require the Company to repurchase their Securities upon the occurrence of a Change of Control Repurchase Event as set forth in the Indenture.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with respect to Securities of this series shall occur and be continuing (other than Events of Default under Section 5.01(v) or Section 5.01(vi) of the Indenture), the principal of the Securities of this series may be declared due and payable in the manner and with the effect provided in the Indenture. If an Event of Default under Section 5.01(v) or Section 5.01(vi) of the Indenture occurs the entire principal amount of the Securities of this series will automatically become due and immediately payable without any action on the part of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hereof or in lieu hereof, whether or not notation of such consent or waiver is made upon this Security.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(and, if requested, provided) the Trustee security and/or indemnity reasonably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provided in the Indenture and subject to certain limitations therein set forth, the transfer of this Security is registrable in the Security Register, upon surrender of this Security for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of this series are issuable only in registered form without coupons in minimum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for any such registration of transfer or exchange of the Securities, but the Company or the Trustee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Prior to due presentment of this Security for registration of transfer, the Company, the Trustee and any agent of the Company or the Trustee shall treat the Person in whose name this Security is registered as the owner hereof for all purposes, whether or not this Security be overdue, and none of the Company, the Trustee or any agent thereof shall be affected by notice to the contrary.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terms used in this Security which are defined in the Indenture shall have the meanings assigned to them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any provision of this Security conflicts with the express provisions of the Indenture, the provisions of the Indenture shall govern and be controlling.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and this Security shall be governed by and construed in accordance with the laws of the State of New York, without regard to principles of conflicts of laws.</w:t>
      </w:r>
    </w:p>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tbl>
      <w:tblPr>
        <w:tblW w:w="2802" w:type="dxa"/>
        <w:jc w:val="left"/>
        <w:tblInd w:w="0" w:type="dxa"/>
        <w:tblLayout w:type="fixed"/>
        <w:tblCellMar>
          <w:top w:w="28" w:type="dxa"/>
          <w:left w:w="28" w:type="dxa"/>
          <w:bottom w:w="28" w:type="dxa"/>
          <w:right w:w="28" w:type="dxa"/>
        </w:tblCellMar>
      </w:tblPr>
      <w:tblGrid>
        <w:gridCol w:w="124"/>
        <w:gridCol w:w="109"/>
        <w:gridCol w:w="109"/>
        <w:gridCol w:w="719"/>
        <w:gridCol w:w="719"/>
        <w:gridCol w:w="1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Verdana;sans-serif" w:hAnsi="Verdana;sans-serif"/>
                <w:b/>
                <w:color w:val="000000"/>
                <w:sz w:val="14"/>
              </w:rPr>
            </w:pPr>
            <w:r>
              <w:rPr>
                <w:rFonts w:ascii="Verdana;sans-serif" w:hAnsi="Verdana;sans-serif"/>
                <w:b/>
                <w:color w:val="000000"/>
                <w:sz w:val="14"/>
              </w:rPr>
              <w:t>Eversheds Sutherland (US) LLP</w:t>
            </w:r>
          </w:p>
          <w:p>
            <w:pPr>
              <w:pStyle w:val="TableContents"/>
              <w:bidi w:val="0"/>
              <w:spacing w:lineRule="auto" w:line="288" w:before="0" w:after="140"/>
              <w:jc w:val="left"/>
              <w:rPr>
                <w:rFonts w:ascii="Verdana;sans-serif" w:hAnsi="Verdana;sans-serif"/>
                <w:b w:val="false"/>
                <w:color w:val="000000"/>
                <w:sz w:val="14"/>
              </w:rPr>
            </w:pPr>
            <w:r>
              <w:rPr>
                <w:rFonts w:ascii="Verdana;sans-serif" w:hAnsi="Verdana;sans-serif"/>
                <w:b w:val="false"/>
                <w:color w:val="000000"/>
                <w:sz w:val="14"/>
              </w:rPr>
              <w:t>700 Sixth Street, NW, Suite 700</w:t>
              <w:br/>
              <w:t>Washington, DC 20001-3980</w:t>
            </w:r>
          </w:p>
        </w:tc>
      </w:tr>
    </w:tbl>
    <w:p>
      <w:pPr>
        <w:pStyle w:val="TextBody"/>
        <w:bidi w:val="0"/>
        <w:spacing w:before="0" w:after="0"/>
        <w:jc w:val="both"/>
        <w:rPr/>
      </w:pPr>
      <w:r>
        <w:rPr/>
        <w:drawing>
          <wp:inline distT="0" distB="0" distL="0" distR="0">
            <wp:extent cx="476250" cy="1943100"/>
            <wp:effectExtent l="0" t="0" r="0" b="0"/>
            <wp:docPr id="7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 descr=""/>
                    <pic:cNvPicPr>
                      <a:picLocks noChangeAspect="1" noChangeArrowheads="1"/>
                    </pic:cNvPicPr>
                  </pic:nvPicPr>
                  <pic:blipFill>
                    <a:blip r:embed="rId5"/>
                    <a:stretch>
                      <a:fillRect/>
                    </a:stretch>
                  </pic:blipFill>
                  <pic:spPr bwMode="auto">
                    <a:xfrm>
                      <a:off x="0" y="0"/>
                      <a:ext cx="476250" cy="19431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5.1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15, 2026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8333 Douglas Avenue, Suite 1100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Dallas, TX 75225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acted as counsel to Capital Southwest Corporation, a Texas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connection with the Company’s Registration Statement on Form N-2 (File No. 333-282873) filed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which Registration Statement was filed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on October 29, 2024, and became effective automatically pursuant to Rule 462(e) under the Securities Act (as amended as of its most recent effective date</w:t>
      </w:r>
      <w:r>
        <w:rPr>
          <w:rFonts w:ascii="Times New Roman;serif" w:hAnsi="Times New Roman;serif"/>
          <w:b w:val="false"/>
          <w:color w:val="000000"/>
          <w:sz w:val="20"/>
          <w:shd w:fill="FFFFFF" w:val="clear"/>
        </w:rPr>
        <w:t>, including the exhibits and schedules thereto, all documents incorporated or deemed to be incorporated into the Registration Statement by reference, any information contained in a prospectus supplement relating to the Notes (as defined below) subsequently filed with the Commission pursuant to Rule 424 under the Securities Act and deemed to be part of the Registration Statement at the time of effectiveness pursuant to Rule 430B under the Securities Act, any registration statement filed pursuant to Rule 462(b) under the Securities Act, and any post-effective amendment thereto, is hereinafter referred to as the “</w:t>
      </w:r>
      <w:r>
        <w:rPr>
          <w:rFonts w:ascii="Times New Roman;serif" w:hAnsi="Times New Roman;serif"/>
          <w:b/>
          <w:i/>
          <w:color w:val="000000"/>
          <w:sz w:val="20"/>
          <w:shd w:fill="FFFFFF" w:val="clear"/>
        </w:rPr>
        <w:t>Registration Statement</w:t>
      </w:r>
      <w:r>
        <w:rPr>
          <w:color w:val="000000"/>
          <w:shd w:fill="FFFFFF" w:val="clear"/>
        </w:rPr>
        <w:t>”</w:t>
      </w:r>
      <w:r>
        <w:rPr>
          <w:rFonts w:ascii="Times New Roman;serif" w:hAnsi="Times New Roman;serif"/>
          <w:b w:val="false"/>
          <w:color w:val="000000"/>
          <w:sz w:val="20"/>
          <w:shd w:fill="FFFFFF" w:val="clear"/>
        </w:rPr>
        <w:t>) and the Prospectus Supplement (as defined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Registration Statement relates to the public offering of securities of the Company that may be offered by the Company from time to time as set forth in the base prospectus, dated October 29, 2024, which forms part of the Registration Statement, together with the information incorporated or deemed to be incorporated therein by reference (the “</w:t>
      </w:r>
      <w:r>
        <w:rPr>
          <w:rFonts w:ascii="Times New Roman;serif" w:hAnsi="Times New Roman;serif"/>
          <w:b/>
          <w:i/>
          <w:color w:val="000000"/>
          <w:sz w:val="20"/>
        </w:rPr>
        <w:t>Base Prospectus</w:t>
      </w:r>
      <w:r>
        <w:rPr>
          <w:color w:val="000000"/>
        </w:rPr>
        <w:t>”</w:t>
      </w:r>
      <w:r>
        <w:rPr>
          <w:rFonts w:ascii="Times New Roman;serif" w:hAnsi="Times New Roman;serif"/>
          <w:b w:val="false"/>
          <w:color w:val="000000"/>
          <w:sz w:val="20"/>
        </w:rPr>
        <w:t>), and as may be set forth from time to time in one or more supplements to the Base Prospectus. This opinion letter is rendered in connection with the issuance and sale under the Securities Act of $350,000,000 in aggregate principal amount of the Company’s 6.750% Notes due 2031 (the “</w:t>
      </w:r>
      <w:r>
        <w:rPr>
          <w:rFonts w:ascii="Times New Roman;serif" w:hAnsi="Times New Roman;serif"/>
          <w:b/>
          <w:i/>
          <w:color w:val="000000"/>
          <w:sz w:val="20"/>
        </w:rPr>
        <w:t>Notes</w:t>
      </w:r>
      <w:r>
        <w:rPr>
          <w:color w:val="000000"/>
        </w:rPr>
        <w:t>”</w:t>
      </w:r>
      <w:r>
        <w:rPr>
          <w:rFonts w:ascii="Times New Roman;serif" w:hAnsi="Times New Roman;serif"/>
          <w:b w:val="false"/>
          <w:color w:val="000000"/>
          <w:sz w:val="20"/>
        </w:rPr>
        <w:t>), as described in (i) the Base Prospectus and (ii) the prospectus supplement, dated September 10, 2026, relating to the Notes, together with the information incorporated or deemed to be incorporated by reference therein (together with the Base Prospectus included therein, the “</w:t>
      </w:r>
      <w:r>
        <w:rPr>
          <w:rFonts w:ascii="Times New Roman;serif" w:hAnsi="Times New Roman;serif"/>
          <w:b/>
          <w:i/>
          <w:color w:val="000000"/>
          <w:sz w:val="20"/>
        </w:rPr>
        <w:t>Prospectus Supplement</w:t>
      </w:r>
      <w:r>
        <w:rPr>
          <w:color w:val="000000"/>
        </w:rPr>
        <w:t>”</w:t>
      </w:r>
      <w:r>
        <w:rPr>
          <w:rFonts w:ascii="Times New Roman;serif" w:hAnsi="Times New Roman;serif"/>
          <w:b w:val="false"/>
          <w:color w:val="000000"/>
          <w:sz w:val="20"/>
        </w:rPr>
        <w:t>), filed with the Commission pursuant to Rule 424 under the Securities Act. All of the Notes are to be sold by the Company as described in the Registration Statement and the Prospectus Supplement.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The Notes will be issued pursuant to the indenture, dated as of October 23, 2017 (the “</w:t>
      </w:r>
      <w:r>
        <w:rPr>
          <w:rFonts w:ascii="Times New Roman;serif" w:hAnsi="Times New Roman;serif"/>
          <w:b/>
          <w:i/>
          <w:color w:val="000000"/>
          <w:sz w:val="20"/>
        </w:rPr>
        <w:t>Base Indenture</w:t>
      </w:r>
      <w:r>
        <w:rPr>
          <w:color w:val="000000"/>
        </w:rPr>
        <w:t>”</w:t>
      </w:r>
      <w:r>
        <w:rPr>
          <w:rFonts w:ascii="Times New Roman;serif" w:hAnsi="Times New Roman;serif"/>
          <w:b w:val="false"/>
          <w:color w:val="000000"/>
          <w:sz w:val="20"/>
        </w:rPr>
        <w:t>), by and between the Company and U.S. Bank Trust Company, National Association (as successor in interest to U.S. Bank National Association), as trustee (the “</w:t>
      </w:r>
      <w:r>
        <w:rPr>
          <w:rFonts w:ascii="Times New Roman;serif" w:hAnsi="Times New Roman;serif"/>
          <w:b/>
          <w:i/>
          <w:color w:val="000000"/>
          <w:sz w:val="20"/>
        </w:rPr>
        <w:t>Trustee</w:t>
      </w:r>
      <w:r>
        <w:rPr>
          <w:color w:val="000000"/>
        </w:rPr>
        <w:t>”</w:t>
      </w:r>
      <w:r>
        <w:rPr>
          <w:rFonts w:ascii="Times New Roman;serif" w:hAnsi="Times New Roman;serif"/>
          <w:b w:val="false"/>
          <w:color w:val="000000"/>
          <w:sz w:val="20"/>
        </w:rPr>
        <w:t>), as supplemented by an eighth supplemental indenture, dated as of September 15, 2026 (the “</w:t>
      </w:r>
      <w:r>
        <w:rPr>
          <w:rFonts w:ascii="Times New Roman;serif" w:hAnsi="Times New Roman;serif"/>
          <w:b/>
          <w:i/>
          <w:color w:val="000000"/>
          <w:sz w:val="20"/>
        </w:rPr>
        <w:t>Eighth Supplemental Indenture</w:t>
      </w:r>
      <w:r>
        <w:rPr>
          <w:color w:val="000000"/>
        </w:rPr>
        <w:t>”</w:t>
      </w:r>
      <w:r>
        <w:rPr>
          <w:rFonts w:ascii="Times New Roman;serif" w:hAnsi="Times New Roman;serif"/>
          <w:b w:val="false"/>
          <w:color w:val="000000"/>
          <w:sz w:val="20"/>
        </w:rPr>
        <w:t>, and together with the Base Indenture, the “</w:t>
      </w:r>
      <w:r>
        <w:rPr>
          <w:rFonts w:ascii="Times New Roman;serif" w:hAnsi="Times New Roman;serif"/>
          <w:b/>
          <w:i/>
          <w:color w:val="000000"/>
          <w:sz w:val="20"/>
        </w:rPr>
        <w:t>Indenture</w:t>
      </w:r>
      <w:r>
        <w:rPr>
          <w:color w:val="000000"/>
        </w:rPr>
        <w:t>”</w:t>
      </w:r>
      <w:r>
        <w:rPr>
          <w:rFonts w:ascii="Times New Roman;serif" w:hAnsi="Times New Roman;serif"/>
          <w:b w:val="false"/>
          <w:color w:val="000000"/>
          <w:sz w:val="2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counsel to the Company, we have participated in the preparation of the Registration Statement, the Base Prospectus, and the Prospectus Supplement and have examined the originals or copies, of the following:</w:t>
      </w:r>
    </w:p>
    <w:p>
      <w:pPr>
        <w:pStyle w:val="TextBody"/>
        <w:bidi w:val="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(i)the Articles of Incorporation of the Company, as amended, certified as of the date hereof by an officer of the Company;</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(ii)the Second Amended and Restated Bylaws of the Company, as amended, certified as of the date hereof by an officer of the Company;</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(iii)a Certificate of Fact with respect to the Company issued by the Texas Secretary of State as of a recent date;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(iv)the resolutions adopted by the Board of Directors of the Company, or a duly authorized committee thereof, relating to, among other things: (a) the preparation and filing of the Registration Statement and the Prospectus Supplement; (b) the offering, issuance and sale of the Notes, and the terms and conditions thereof; and (c) the authorization of the execution and delivery of the Underwriting Agreement (as defined below), the Indenture, and the transactions contemplated thereby, including, without limitation, the issuance and sale of the Notes, certified as of the date hereof by an officer of the Company;</w:t>
      </w:r>
    </w:p>
    <w:p>
      <w:pPr>
        <w:pStyle w:val="TextBody"/>
        <w:bidi w:val="0"/>
        <w:spacing w:lineRule="auto" w:line="288" w:before="0" w:after="240"/>
        <w:ind w:left="0" w:right="0" w:hanging="720"/>
        <w:jc w:val="both"/>
        <w:rPr/>
      </w:pPr>
      <w:r>
        <w:rPr>
          <w:rFonts w:ascii="Times New Roman;serif" w:hAnsi="Times New Roman;serif"/>
          <w:b w:val="false"/>
          <w:color w:val="000000"/>
          <w:sz w:val="20"/>
        </w:rPr>
        <w:t>(v)the underwriting agreement, dated September 10, 2026, by and among the Company and Deutsche Bank Securities Inc.,</w:t>
      </w:r>
      <w:r>
        <w:rPr>
          <w:color w:val="000000"/>
        </w:rPr>
        <w:t xml:space="preserve"> </w:t>
      </w:r>
      <w:r>
        <w:rPr>
          <w:rFonts w:ascii="Times New Roman;serif" w:hAnsi="Times New Roman;serif"/>
          <w:b w:val="false"/>
          <w:color w:val="000000"/>
          <w:sz w:val="20"/>
        </w:rPr>
        <w:t xml:space="preserve">Huntington Securities, Inc., ING Financial Markets LLC, Morgan Stanley &amp; Co. LLC, RBC Capital Markets, LLC and Wells Fargo Securities, LLC, as representatives of the several underwriters named on </w:t>
      </w:r>
      <w:r>
        <w:rPr>
          <w:rFonts w:ascii="Times New Roman;serif" w:hAnsi="Times New Roman;serif"/>
          <w:b w:val="false"/>
          <w:color w:val="000000"/>
          <w:sz w:val="20"/>
          <w:u w:val="single"/>
        </w:rPr>
        <w:t>Schedule A</w:t>
      </w:r>
      <w:r>
        <w:rPr>
          <w:color w:val="000000"/>
        </w:rPr>
        <w:t xml:space="preserve"> </w:t>
      </w:r>
      <w:r>
        <w:rPr>
          <w:rFonts w:ascii="Times New Roman;serif" w:hAnsi="Times New Roman;serif"/>
          <w:b w:val="false"/>
          <w:color w:val="000000"/>
          <w:sz w:val="20"/>
        </w:rPr>
        <w:t>thereto, relating to the issuance and sale of the Notes (the “</w:t>
      </w:r>
      <w:r>
        <w:rPr>
          <w:rFonts w:ascii="Times New Roman;serif" w:hAnsi="Times New Roman;serif"/>
          <w:b/>
          <w:i/>
          <w:color w:val="000000"/>
          <w:sz w:val="20"/>
        </w:rPr>
        <w:t>Underwriting Agreement</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(vi)the Indenture;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(vii)a specimen copy of the form of the Notes to be issued pursuant to the Indenture in the form attached to the Eighth Supplemental Indenture.</w:t>
      </w:r>
    </w:p>
    <w:p>
      <w:pPr>
        <w:pStyle w:val="TextBody"/>
        <w:bidi w:val="0"/>
        <w:spacing w:lineRule="auto" w:line="288" w:before="0" w:after="0"/>
        <w:ind w:left="0" w:right="0" w:firstLine="720"/>
        <w:jc w:val="both"/>
        <w:rPr/>
      </w:pPr>
      <w:r>
        <w:rPr>
          <w:rFonts w:ascii="Times New Roman;serif" w:hAnsi="Times New Roman;serif"/>
          <w:b w:val="false"/>
          <w:color w:val="000000"/>
          <w:sz w:val="20"/>
        </w:rPr>
        <w:t>With respect to such examination and our opinion expressed herein, we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authentic originals of all documents submitted to us as copies, (v) that all certificates issued by public officials or officers of the Company have been properly issued, (vi) the accuracy and completeness of all corporate records made available to us by the Company, (vii) that the Indenture is the valid and legally binding obligation of the parties thereto (other than the Company), and (viii) that at the time of issuance of the Notes, after giving effect to such issuance, the Company will be in compliance with Section 18(a)(1)(A) of the Investment Company Act of 1940, as amended (the “</w:t>
      </w:r>
      <w:r>
        <w:rPr>
          <w:rFonts w:ascii="Times New Roman;serif" w:hAnsi="Times New Roman;serif"/>
          <w:b/>
          <w:i/>
          <w:color w:val="000000"/>
          <w:sz w:val="20"/>
        </w:rPr>
        <w:t>1940 Act</w:t>
      </w:r>
      <w:r>
        <w:rPr>
          <w:color w:val="000000"/>
        </w:rPr>
        <w:t>”</w:t>
      </w:r>
      <w:r>
        <w:rPr>
          <w:rFonts w:ascii="Times New Roman;serif" w:hAnsi="Times New Roman;serif"/>
          <w:b w:val="false"/>
          <w:color w:val="000000"/>
          <w:sz w:val="20"/>
        </w:rPr>
        <w:t>), giving effect to Section 61(a)(2) of the 1940 Act.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to certain matters of fact relevant to the opinion in this opinion letter, we have relied on certificates of officers of the Company, and on the representations, warranties and covenants of the Company set forth in the Underwriting Agreement. We also have relied on certificates and confirmations of public officials (which we have assumed remain accurate as of the date of this opinion letter). We have not independently established the facts or, in the case of certificates or confirmations of public officials, the other statements, so relied upon.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opinion set forth below is limited to the contract laws of the State of New York, as in effect on the date hereof, and we express no opinion with respect to any other laws of the State of New York or the laws of any other jurisdiction. Without limiting the preceding sentence, we express no opinion as to any state securities or broker-dealer laws or regulations thereunder relating to the offer, issuance or sale of the Notes. 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and subject to the limitations, exceptions, qualifications and assumptions set forth in this opinion letter, we are of the opinion that, when the Notes are duly executed and delivered by duly authorized officers of the Company and duly authenticated by the Trustee, all in accordance with the provisions of the Indenture, and delivered to the purchasers thereof against payment of the agreed consideration therefor, the Notes will constitute valid and legally binding obligations of the Company, enforceable against the Company in accordance with their terms, except as such enforceability may be limited by applicable bankruptcy, insolvency, reorganization, receivership, moratorium, fraudulent conveyance, and other similar laws affecting the rights and remedies of creditors generally and by general principles of equity (including, without limitation, the availability of specific performance or injunctive relief and the application of concepts of materiality, reasonableness, good faith and fair dealing), regardless of whether considered in a proceeding at law or in equity.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opinion expressed in this opinion letter is (i) strictly limited to the matters stated in this opinion letter, and without limiting the foregoing, no other opinions are to be inferred; and (ii)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letter as an exhibit to the Company’s Current Report on Form 8-K, to be filed with the Commission on the date hereof for incorporation by reference in the Registration Statement, and to the reference to our firm in the “Legal Matters” section in the Prospectus Supplement. We do not admit by giving this consent that we are in the category of persons whose consent is required under Section 7 of the Securities Act.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tbl>
      <w:tblPr>
        <w:tblW w:w="3281" w:type="dxa"/>
        <w:jc w:val="left"/>
        <w:tblInd w:w="0" w:type="dxa"/>
        <w:tblLayout w:type="fixed"/>
        <w:tblCellMar>
          <w:top w:w="28" w:type="dxa"/>
          <w:left w:w="28" w:type="dxa"/>
          <w:bottom w:w="28" w:type="dxa"/>
          <w:right w:w="28" w:type="dxa"/>
        </w:tblCellMar>
      </w:tblPr>
      <w:tblGrid>
        <w:gridCol w:w="124"/>
        <w:gridCol w:w="109"/>
        <w:gridCol w:w="109"/>
        <w:gridCol w:w="860"/>
        <w:gridCol w:w="860"/>
        <w:gridCol w:w="12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/s/ Eversheds Sutherland (US) LLP</w:t>
            </w:r>
          </w:p>
        </w:tc>
      </w:tr>
    </w:tbl>
    <w:p>
      <w:pPr>
        <w:pStyle w:val="TextBody"/>
        <w:bidi w:val="0"/>
        <w:spacing w:before="0" w:after="1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Roman">
    <w:altName w:val="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13/000119312517316589/d391671dex99d2.htm" TargetMode="External"/><Relationship Id="rId3" Type="http://schemas.openxmlformats.org/officeDocument/2006/relationships/image" Target="media/image1.jpe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33827</Words>
  <Characters>177442</Characters>
  <CharactersWithSpaces>211394</CharactersWithSpaces>
  <Paragraphs>804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