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jc w:val="center"/>
        <w:ind w:right="-20"/>
        <w:spacing w:after="0" w:line="206" w:lineRule="auto"/>
        <w:rPr>
          <w:sz w:val="20"/>
          <w:szCs w:val="20"/>
          <w:color w:val="auto"/>
        </w:rPr>
      </w:pPr>
      <w:r>
        <w:rPr>
          <w:rFonts w:ascii="Arial" w:cs="Arial" w:eastAsia="Arial" w:hAnsi="Arial"/>
          <w:sz w:val="23"/>
          <w:szCs w:val="23"/>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2452370</wp:posOffset>
            </wp:positionH>
            <wp:positionV relativeFrom="paragraph">
              <wp:posOffset>179070</wp:posOffset>
            </wp:positionV>
            <wp:extent cx="82740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7405" cy="1587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8-K</w:t>
      </w:r>
    </w:p>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w:t>
      </w:r>
    </w:p>
    <w:p>
      <w:pPr>
        <w:jc w:val="center"/>
        <w:ind w:right="-20"/>
        <w:spacing w:after="0" w:line="198" w:lineRule="auto"/>
        <w:rPr>
          <w:sz w:val="20"/>
          <w:szCs w:val="20"/>
          <w:color w:val="auto"/>
        </w:rPr>
      </w:pPr>
      <w:r>
        <w:rPr>
          <w:rFonts w:ascii="Arial" w:cs="Arial" w:eastAsia="Arial" w:hAnsi="Arial"/>
          <w:sz w:val="17"/>
          <w:szCs w:val="17"/>
          <w:b w:val="1"/>
          <w:bCs w:val="1"/>
          <w:color w:val="auto"/>
        </w:rPr>
        <w:t>Pursuant to Section 13 or 15(d) of the</w:t>
      </w:r>
    </w:p>
    <w:p>
      <w:pPr>
        <w:jc w:val="center"/>
        <w:ind w:right="-20"/>
        <w:spacing w:after="0"/>
        <w:rPr>
          <w:sz w:val="20"/>
          <w:szCs w:val="20"/>
          <w:color w:val="auto"/>
        </w:rPr>
      </w:pPr>
      <w:r>
        <w:rPr>
          <w:rFonts w:ascii="Arial" w:cs="Arial" w:eastAsia="Arial" w:hAnsi="Arial"/>
          <w:sz w:val="17"/>
          <w:szCs w:val="17"/>
          <w:b w:val="1"/>
          <w:bCs w:val="1"/>
          <w:color w:val="auto"/>
        </w:rPr>
        <w:t>Securities Exchange Act of 1934</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November 7, 2016</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39"/>
          <w:szCs w:val="39"/>
          <w:b w:val="1"/>
          <w:bCs w:val="1"/>
          <w:color w:val="auto"/>
        </w:rPr>
        <w:t>CAPITAL SOUTHWEST CORPORATION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Charter)</w:t>
      </w:r>
    </w:p>
    <w:p>
      <w:pPr>
        <w:sectPr>
          <w:pgSz w:w="11900" w:h="16838" w:orient="portrait"/>
          <w:cols w:equalWidth="0" w:num="1">
            <w:col w:w="9019"/>
          </w:cols>
          <w:pgMar w:left="1440" w:top="177" w:right="1440" w:bottom="1440" w:gutter="0" w:footer="0" w:header="0"/>
        </w:sectPr>
      </w:pPr>
    </w:p>
    <w:p>
      <w:pPr>
        <w:spacing w:after="0" w:line="106"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Texas</w:t>
      </w:r>
    </w:p>
    <w:p>
      <w:pPr>
        <w:jc w:val="center"/>
        <w:ind w:left="30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814-00061</w:t>
      </w:r>
    </w:p>
    <w:p>
      <w:pPr>
        <w:jc w:val="center"/>
        <w:ind w:right="1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75-1072796</w:t>
      </w:r>
    </w:p>
    <w:p>
      <w:pPr>
        <w:jc w:val="center"/>
        <w:ind w:right="419"/>
        <w:spacing w:after="0"/>
        <w:rPr>
          <w:sz w:val="20"/>
          <w:szCs w:val="20"/>
          <w:color w:val="auto"/>
        </w:rPr>
      </w:pPr>
      <w:r>
        <w:rPr>
          <w:rFonts w:ascii="Arial" w:cs="Arial" w:eastAsia="Arial" w:hAnsi="Arial"/>
          <w:sz w:val="14"/>
          <w:szCs w:val="14"/>
          <w:color w:val="auto"/>
        </w:rPr>
        <w:t>(IRS Employer Identification No.)</w:t>
      </w:r>
    </w:p>
    <w:p>
      <w:pPr>
        <w:spacing w:after="0" w:line="34" w:lineRule="exact"/>
        <w:rPr>
          <w:sz w:val="24"/>
          <w:szCs w:val="24"/>
          <w:color w:val="auto"/>
        </w:rPr>
      </w:pPr>
    </w:p>
    <w:p>
      <w:pPr>
        <w:sectPr>
          <w:pgSz w:w="11900" w:h="16838" w:orient="portrait"/>
          <w:cols w:equalWidth="0" w:num="3">
            <w:col w:w="2900" w:space="720"/>
            <w:col w:w="1980" w:space="720"/>
            <w:col w:w="2699"/>
          </w:cols>
          <w:pgMar w:left="1440" w:top="177" w:right="1440"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Incorporation)</w:t>
      </w:r>
    </w:p>
    <w:p>
      <w:pPr>
        <w:sectPr>
          <w:pgSz w:w="11900" w:h="16838" w:orient="portrait"/>
          <w:cols w:equalWidth="0" w:num="1">
            <w:col w:w="9019"/>
          </w:cols>
          <w:pgMar w:left="1440" w:top="177" w:right="1440" w:bottom="1440" w:gutter="0" w:footer="0" w:header="0"/>
          <w:type w:val="continuous"/>
        </w:sectPr>
      </w:pP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5400 Lyndon B. Johnson Freeway, Suite 1300</w:t>
      </w:r>
    </w:p>
    <w:p>
      <w:pPr>
        <w:jc w:val="center"/>
        <w:ind w:right="-20"/>
        <w:spacing w:after="0" w:line="198" w:lineRule="auto"/>
        <w:rPr>
          <w:sz w:val="20"/>
          <w:szCs w:val="20"/>
          <w:color w:val="auto"/>
        </w:rPr>
      </w:pPr>
      <w:r>
        <w:rPr>
          <w:rFonts w:ascii="Arial" w:cs="Arial" w:eastAsia="Arial" w:hAnsi="Arial"/>
          <w:sz w:val="17"/>
          <w:szCs w:val="17"/>
          <w:b w:val="1"/>
          <w:bCs w:val="1"/>
          <w:color w:val="auto"/>
        </w:rPr>
        <w:t>Dallas, Texas 75240</w:t>
      </w:r>
    </w:p>
    <w:p>
      <w:pPr>
        <w:jc w:val="center"/>
        <w:ind w:right="-20"/>
        <w:spacing w:after="0"/>
        <w:rPr>
          <w:sz w:val="20"/>
          <w:szCs w:val="20"/>
          <w:color w:val="auto"/>
        </w:rPr>
      </w:pPr>
      <w:r>
        <w:rPr>
          <w:rFonts w:ascii="Arial" w:cs="Arial" w:eastAsia="Arial" w:hAnsi="Arial"/>
          <w:sz w:val="17"/>
          <w:szCs w:val="17"/>
          <w:color w:val="auto"/>
        </w:rPr>
        <w:t>(Address of Principal Executive Offices) (Zip Code)</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(214) 238-5700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2452370</wp:posOffset>
            </wp:positionH>
            <wp:positionV relativeFrom="paragraph">
              <wp:posOffset>161925</wp:posOffset>
            </wp:positionV>
            <wp:extent cx="82740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7405" cy="1587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140" w:right="519" w:firstLine="447"/>
        <w:spacing w:after="0" w:line="22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General Instruction A.2. below):</w:t>
      </w:r>
    </w:p>
    <w:p>
      <w:pPr>
        <w:spacing w:after="0" w:line="127" w:lineRule="exact"/>
        <w:rPr>
          <w:sz w:val="24"/>
          <w:szCs w:val="24"/>
          <w:color w:val="auto"/>
        </w:rPr>
      </w:pPr>
    </w:p>
    <w:p>
      <w:pPr>
        <w:ind w:left="460" w:hanging="24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52" w:lineRule="exact"/>
        <w:rPr>
          <w:rFonts w:ascii="MS PGothic" w:cs="MS PGothic" w:eastAsia="MS PGothic" w:hAnsi="MS PGothic"/>
          <w:sz w:val="17"/>
          <w:szCs w:val="17"/>
          <w:color w:val="auto"/>
        </w:rPr>
      </w:pPr>
    </w:p>
    <w:p>
      <w:pPr>
        <w:ind w:left="440" w:hanging="222"/>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52" w:lineRule="exact"/>
        <w:rPr>
          <w:rFonts w:ascii="MS PGothic" w:cs="MS PGothic" w:eastAsia="MS PGothic" w:hAnsi="MS PGothic"/>
          <w:sz w:val="17"/>
          <w:szCs w:val="17"/>
          <w:color w:val="auto"/>
        </w:rPr>
      </w:pPr>
    </w:p>
    <w:p>
      <w:pPr>
        <w:ind w:left="460" w:hanging="24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3" w:lineRule="exact"/>
        <w:rPr>
          <w:rFonts w:ascii="MS PGothic" w:cs="MS PGothic" w:eastAsia="MS PGothic" w:hAnsi="MS PGothic"/>
          <w:sz w:val="16"/>
          <w:szCs w:val="16"/>
          <w:color w:val="auto"/>
        </w:rPr>
      </w:pPr>
    </w:p>
    <w:p>
      <w:pPr>
        <w:ind w:left="460" w:hanging="24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88900</wp:posOffset>
            </wp:positionH>
            <wp:positionV relativeFrom="paragraph">
              <wp:posOffset>135255</wp:posOffset>
            </wp:positionV>
            <wp:extent cx="5555615"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5615" cy="23495"/>
                    </a:xfrm>
                    <a:prstGeom prst="rect">
                      <a:avLst/>
                    </a:prstGeom>
                    <a:noFill/>
                  </pic:spPr>
                </pic:pic>
              </a:graphicData>
            </a:graphic>
          </wp:anchor>
        </w:drawing>
      </w:r>
    </w:p>
    <w:p>
      <w:pPr>
        <w:sectPr>
          <w:pgSz w:w="11900" w:h="16838" w:orient="portrait"/>
          <w:cols w:equalWidth="0" w:num="1">
            <w:col w:w="9019"/>
          </w:cols>
          <w:pgMar w:left="1440" w:top="177" w:right="1440" w:bottom="1440" w:gutter="0" w:footer="0" w:header="0"/>
          <w:type w:val="continuous"/>
        </w:sectPr>
      </w:pPr>
    </w:p>
    <w:bookmarkStart w:id="1" w:name="page2"/>
    <w:bookmarkEnd w:id="1"/>
    <w:p>
      <w:pPr>
        <w:ind w:left="140"/>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132" w:lineRule="exact"/>
        <w:rPr>
          <w:sz w:val="20"/>
          <w:szCs w:val="20"/>
          <w:color w:val="auto"/>
        </w:rPr>
      </w:pPr>
    </w:p>
    <w:p>
      <w:pPr>
        <w:jc w:val="both"/>
        <w:ind w:left="140" w:right="139" w:firstLine="596"/>
        <w:spacing w:after="0" w:line="227" w:lineRule="auto"/>
        <w:rPr>
          <w:sz w:val="20"/>
          <w:szCs w:val="20"/>
          <w:color w:val="auto"/>
        </w:rPr>
      </w:pPr>
      <w:r>
        <w:rPr>
          <w:rFonts w:ascii="Arial" w:cs="Arial" w:eastAsia="Arial" w:hAnsi="Arial"/>
          <w:sz w:val="17"/>
          <w:szCs w:val="17"/>
          <w:color w:val="auto"/>
        </w:rPr>
        <w:t>On November 7, 2016, Capital Southwest Corporation (the “Company”) issued a press release, a copy of which has been furnished as Exhibit 99.1 hereto.</w:t>
      </w:r>
    </w:p>
    <w:p>
      <w:pPr>
        <w:spacing w:after="0" w:line="114" w:lineRule="exact"/>
        <w:rPr>
          <w:sz w:val="20"/>
          <w:szCs w:val="20"/>
          <w:color w:val="auto"/>
        </w:rPr>
      </w:pPr>
    </w:p>
    <w:p>
      <w:pPr>
        <w:jc w:val="both"/>
        <w:ind w:left="140" w:right="139" w:firstLine="596"/>
        <w:spacing w:after="0" w:line="231" w:lineRule="auto"/>
        <w:rPr>
          <w:sz w:val="20"/>
          <w:szCs w:val="20"/>
          <w:color w:val="auto"/>
        </w:rPr>
      </w:pPr>
      <w:r>
        <w:rPr>
          <w:rFonts w:ascii="Arial" w:cs="Arial" w:eastAsia="Arial" w:hAnsi="Arial"/>
          <w:sz w:val="16"/>
          <w:szCs w:val="16"/>
          <w:color w:val="auto"/>
        </w:rPr>
        <w:t>The information furnished in this Current Report on Form 8-K under Item 2.02, including Exhibit 99.1, shall not be deemed “filed” for purposes of Section 18 of the Securities Exchange Act of 1934, nor shall it be deemed incorporated by reference in any filing under the Securities Act of 1934, except as shall be expressly set forth by reference in a future filing.</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Item 7.01 Regulation FD Disclosure.</w:t>
      </w:r>
    </w:p>
    <w:p>
      <w:pPr>
        <w:spacing w:after="0" w:line="131" w:lineRule="exact"/>
        <w:rPr>
          <w:sz w:val="20"/>
          <w:szCs w:val="20"/>
          <w:color w:val="auto"/>
        </w:rPr>
      </w:pPr>
    </w:p>
    <w:p>
      <w:pPr>
        <w:jc w:val="both"/>
        <w:ind w:left="140" w:right="139" w:firstLine="596"/>
        <w:spacing w:after="0" w:line="217" w:lineRule="auto"/>
        <w:rPr>
          <w:sz w:val="20"/>
          <w:szCs w:val="20"/>
          <w:color w:val="auto"/>
        </w:rPr>
      </w:pPr>
      <w:r>
        <w:rPr>
          <w:rFonts w:ascii="Arial" w:cs="Arial" w:eastAsia="Arial" w:hAnsi="Arial"/>
          <w:sz w:val="17"/>
          <w:szCs w:val="17"/>
          <w:color w:val="auto"/>
        </w:rPr>
        <w:t>The Company expects to hold a conference call with analysts and investors on November 8, 2016. A copy of the investor presentation slides to be used by the Company on such conference call is furnished as Exhibit 99.2 to this Form 8-K and incorporated herein by reference.</w:t>
      </w:r>
    </w:p>
    <w:p>
      <w:pPr>
        <w:spacing w:after="0" w:line="115" w:lineRule="exact"/>
        <w:rPr>
          <w:sz w:val="20"/>
          <w:szCs w:val="20"/>
          <w:color w:val="auto"/>
        </w:rPr>
      </w:pPr>
    </w:p>
    <w:p>
      <w:pPr>
        <w:jc w:val="both"/>
        <w:ind w:left="140" w:right="139" w:firstLine="596"/>
        <w:spacing w:after="0" w:line="231" w:lineRule="auto"/>
        <w:rPr>
          <w:sz w:val="20"/>
          <w:szCs w:val="20"/>
          <w:color w:val="auto"/>
        </w:rPr>
      </w:pPr>
      <w:r>
        <w:rPr>
          <w:rFonts w:ascii="Arial" w:cs="Arial" w:eastAsia="Arial" w:hAnsi="Arial"/>
          <w:sz w:val="16"/>
          <w:szCs w:val="16"/>
          <w:color w:val="auto"/>
        </w:rPr>
        <w:t>The information set forth under this Item 7.01, including Exhibit 99.2, is being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31" w:lineRule="exact"/>
        <w:rPr>
          <w:sz w:val="20"/>
          <w:szCs w:val="20"/>
          <w:color w:val="auto"/>
        </w:rPr>
      </w:pPr>
    </w:p>
    <w:p>
      <w:pPr>
        <w:ind w:left="760" w:hanging="616"/>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118"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940" w:type="dxa"/>
            <w:vAlign w:val="bottom"/>
            <w:gridSpan w:val="3"/>
          </w:tcPr>
          <w:p>
            <w:pPr>
              <w:jc w:val="center"/>
              <w:ind w:right="40"/>
              <w:spacing w:after="0"/>
              <w:rPr>
                <w:sz w:val="20"/>
                <w:szCs w:val="20"/>
                <w:color w:val="auto"/>
              </w:rPr>
            </w:pPr>
            <w:r>
              <w:rPr>
                <w:rFonts w:ascii="Arial" w:cs="Arial" w:eastAsia="Arial" w:hAnsi="Arial"/>
                <w:sz w:val="17"/>
                <w:szCs w:val="17"/>
                <w:color w:val="auto"/>
                <w:w w:val="94"/>
              </w:rPr>
              <w:t>Exhibit No.</w:t>
            </w:r>
          </w:p>
        </w:tc>
        <w:tc>
          <w:tcPr>
            <w:tcW w:w="7800" w:type="dxa"/>
            <w:vAlign w:val="bottom"/>
            <w:gridSpan w:val="3"/>
          </w:tcPr>
          <w:p>
            <w:pPr>
              <w:ind w:left="120"/>
              <w:spacing w:after="0"/>
              <w:rPr>
                <w:sz w:val="20"/>
                <w:szCs w:val="20"/>
                <w:color w:val="auto"/>
              </w:rPr>
            </w:pPr>
            <w:r>
              <w:rPr>
                <w:rFonts w:ascii="Arial" w:cs="Arial" w:eastAsia="Arial" w:hAnsi="Arial"/>
                <w:sz w:val="17"/>
                <w:szCs w:val="17"/>
                <w:color w:val="auto"/>
              </w:rPr>
              <w:t>Description</w:t>
            </w:r>
          </w:p>
        </w:tc>
      </w:tr>
      <w:tr>
        <w:trPr>
          <w:trHeight w:val="129"/>
        </w:trPr>
        <w:tc>
          <w:tcPr>
            <w:tcW w:w="6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rPr>
              <w:t>99.1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8"/>
              </w:rPr>
              <w:t>Press release</w:t>
            </w:r>
          </w:p>
        </w:tc>
        <w:tc>
          <w:tcPr>
            <w:tcW w:w="6900" w:type="dxa"/>
            <w:vAlign w:val="bottom"/>
          </w:tcPr>
          <w:p>
            <w:pPr>
              <w:ind w:left="100"/>
              <w:spacing w:after="0" w:line="129" w:lineRule="exact"/>
              <w:rPr>
                <w:sz w:val="20"/>
                <w:szCs w:val="20"/>
                <w:color w:val="auto"/>
              </w:rPr>
            </w:pPr>
            <w:r>
              <w:rPr>
                <w:rFonts w:ascii="Arial" w:cs="Arial" w:eastAsia="Arial" w:hAnsi="Arial"/>
                <w:sz w:val="14"/>
                <w:szCs w:val="14"/>
                <w:color w:val="auto"/>
              </w:rPr>
              <w:t>issued by Capital Southwest Corporation on November 7, 2016</w:t>
            </w:r>
          </w:p>
        </w:tc>
      </w:tr>
      <w:tr>
        <w:trPr>
          <w:trHeight w:val="209"/>
        </w:trPr>
        <w:tc>
          <w:tcPr>
            <w:tcW w:w="840" w:type="dxa"/>
            <w:vAlign w:val="bottom"/>
            <w:gridSpan w:val="2"/>
          </w:tcPr>
          <w:p>
            <w:pPr>
              <w:jc w:val="center"/>
              <w:spacing w:after="0"/>
              <w:rPr>
                <w:sz w:val="20"/>
                <w:szCs w:val="20"/>
                <w:color w:val="auto"/>
              </w:rPr>
            </w:pPr>
            <w:r>
              <w:rPr>
                <w:rFonts w:ascii="Arial" w:cs="Arial" w:eastAsia="Arial" w:hAnsi="Arial"/>
                <w:sz w:val="17"/>
                <w:szCs w:val="17"/>
                <w:color w:val="auto"/>
                <w:w w:val="84"/>
              </w:rPr>
              <w:t>99.2</w:t>
            </w:r>
          </w:p>
        </w:tc>
        <w:tc>
          <w:tcPr>
            <w:tcW w:w="100" w:type="dxa"/>
            <w:vAlign w:val="bottom"/>
          </w:tcPr>
          <w:p>
            <w:pPr>
              <w:spacing w:after="0"/>
              <w:rPr>
                <w:sz w:val="18"/>
                <w:szCs w:val="18"/>
                <w:color w:val="auto"/>
              </w:rPr>
            </w:pPr>
          </w:p>
        </w:tc>
        <w:tc>
          <w:tcPr>
            <w:tcW w:w="7800" w:type="dxa"/>
            <w:vAlign w:val="bottom"/>
            <w:gridSpan w:val="3"/>
          </w:tcPr>
          <w:p>
            <w:pPr>
              <w:ind w:left="120"/>
              <w:spacing w:after="0"/>
              <w:rPr>
                <w:sz w:val="20"/>
                <w:szCs w:val="20"/>
                <w:color w:val="auto"/>
              </w:rPr>
            </w:pPr>
            <w:r>
              <w:rPr>
                <w:rFonts w:ascii="Arial" w:cs="Arial" w:eastAsia="Arial" w:hAnsi="Arial"/>
                <w:sz w:val="17"/>
                <w:szCs w:val="17"/>
                <w:color w:val="auto"/>
              </w:rPr>
              <w:t>Investor presentation slides</w:t>
            </w:r>
          </w:p>
        </w:tc>
      </w:tr>
      <w:tr>
        <w:trPr>
          <w:trHeight w:val="391"/>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132" w:lineRule="exact"/>
        <w:rPr>
          <w:sz w:val="20"/>
          <w:szCs w:val="20"/>
          <w:color w:val="auto"/>
        </w:rPr>
      </w:pPr>
    </w:p>
    <w:p>
      <w:pPr>
        <w:ind w:left="140" w:right="139" w:firstLine="357"/>
        <w:spacing w:after="0" w:line="22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Dated: November 7, 2016</w:t>
      </w:r>
    </w:p>
    <w:p>
      <w:pPr>
        <w:spacing w:after="0" w:line="140"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By: /s/ Bowen S.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-5080</wp:posOffset>
            </wp:positionV>
            <wp:extent cx="182054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0545" cy="15875"/>
                    </a:xfrm>
                    <a:prstGeom prst="rect">
                      <a:avLst/>
                    </a:prstGeom>
                    <a:noFill/>
                  </pic:spPr>
                </pic:pic>
              </a:graphicData>
            </a:graphic>
          </wp:anchor>
        </w:drawing>
      </w:r>
    </w:p>
    <w:p>
      <w:pPr>
        <w:ind w:left="6020"/>
        <w:spacing w:after="0" w:line="203" w:lineRule="auto"/>
        <w:rPr>
          <w:sz w:val="20"/>
          <w:szCs w:val="20"/>
          <w:color w:val="auto"/>
        </w:rPr>
      </w:pPr>
      <w:r>
        <w:rPr>
          <w:rFonts w:ascii="Arial" w:cs="Arial" w:eastAsia="Arial" w:hAnsi="Arial"/>
          <w:sz w:val="17"/>
          <w:szCs w:val="17"/>
          <w:color w:val="auto"/>
        </w:rPr>
        <w:t>Name: Bowen S. Diehl</w:t>
      </w:r>
    </w:p>
    <w:p>
      <w:pPr>
        <w:ind w:left="6020"/>
        <w:spacing w:after="0" w:line="198" w:lineRule="auto"/>
        <w:rPr>
          <w:sz w:val="20"/>
          <w:szCs w:val="20"/>
          <w:color w:val="auto"/>
        </w:rPr>
      </w:pPr>
      <w:r>
        <w:rPr>
          <w:rFonts w:ascii="Arial" w:cs="Arial" w:eastAsia="Arial" w:hAnsi="Arial"/>
          <w:sz w:val="17"/>
          <w:szCs w:val="17"/>
          <w:color w:val="auto"/>
        </w:rPr>
        <w:t>Title:  Chief Executive Officer and</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150495</wp:posOffset>
            </wp:positionV>
            <wp:extent cx="555561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5615" cy="15875"/>
                    </a:xfrm>
                    <a:prstGeom prst="rect">
                      <a:avLst/>
                    </a:prstGeom>
                    <a:noFill/>
                  </pic:spPr>
                </pic:pic>
              </a:graphicData>
            </a:graphic>
          </wp:anchor>
        </w:drawing>
      </w: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00" w:type="dxa"/>
            <w:vAlign w:val="bottom"/>
          </w:tcPr>
          <w:p>
            <w:pPr>
              <w:ind w:left="1900"/>
              <w:spacing w:after="0"/>
              <w:rPr>
                <w:sz w:val="20"/>
                <w:szCs w:val="20"/>
                <w:color w:val="auto"/>
              </w:rPr>
            </w:pPr>
            <w:r>
              <w:rPr>
                <w:rFonts w:ascii="Arial" w:cs="Arial" w:eastAsia="Arial" w:hAnsi="Arial"/>
                <w:sz w:val="17"/>
                <w:szCs w:val="17"/>
                <w:b w:val="1"/>
                <w:bCs w:val="1"/>
                <w:color w:val="auto"/>
              </w:rPr>
              <w:t>EXHIBIT INDEX</w:t>
            </w:r>
          </w:p>
        </w:tc>
      </w:tr>
      <w:tr>
        <w:trPr>
          <w:trHeight w:val="610"/>
        </w:trPr>
        <w:tc>
          <w:tcPr>
            <w:tcW w:w="940" w:type="dxa"/>
            <w:vAlign w:val="bottom"/>
            <w:gridSpan w:val="3"/>
          </w:tcPr>
          <w:p>
            <w:pPr>
              <w:jc w:val="center"/>
              <w:ind w:right="40"/>
              <w:spacing w:after="0"/>
              <w:rPr>
                <w:sz w:val="20"/>
                <w:szCs w:val="20"/>
                <w:color w:val="auto"/>
              </w:rPr>
            </w:pPr>
            <w:r>
              <w:rPr>
                <w:rFonts w:ascii="Arial" w:cs="Arial" w:eastAsia="Arial" w:hAnsi="Arial"/>
                <w:sz w:val="17"/>
                <w:szCs w:val="17"/>
                <w:color w:val="auto"/>
                <w:w w:val="94"/>
              </w:rPr>
              <w:t>Exhibit No.</w:t>
            </w:r>
          </w:p>
        </w:tc>
        <w:tc>
          <w:tcPr>
            <w:tcW w:w="7800" w:type="dxa"/>
            <w:vAlign w:val="bottom"/>
            <w:gridSpan w:val="3"/>
          </w:tcPr>
          <w:p>
            <w:pPr>
              <w:ind w:left="120"/>
              <w:spacing w:after="0"/>
              <w:rPr>
                <w:sz w:val="20"/>
                <w:szCs w:val="20"/>
                <w:color w:val="auto"/>
              </w:rPr>
            </w:pPr>
            <w:r>
              <w:rPr>
                <w:rFonts w:ascii="Arial" w:cs="Arial" w:eastAsia="Arial" w:hAnsi="Arial"/>
                <w:sz w:val="17"/>
                <w:szCs w:val="17"/>
                <w:color w:val="auto"/>
              </w:rPr>
              <w:t>Description</w:t>
            </w:r>
          </w:p>
        </w:tc>
      </w:tr>
      <w:tr>
        <w:trPr>
          <w:trHeight w:val="129"/>
        </w:trPr>
        <w:tc>
          <w:tcPr>
            <w:tcW w:w="6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rPr>
              <w:t>99.1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8"/>
              </w:rPr>
              <w:t>Press release</w:t>
            </w:r>
          </w:p>
        </w:tc>
        <w:tc>
          <w:tcPr>
            <w:tcW w:w="6900" w:type="dxa"/>
            <w:vAlign w:val="bottom"/>
          </w:tcPr>
          <w:p>
            <w:pPr>
              <w:ind w:left="100"/>
              <w:spacing w:after="0" w:line="129" w:lineRule="exact"/>
              <w:rPr>
                <w:sz w:val="20"/>
                <w:szCs w:val="20"/>
                <w:color w:val="auto"/>
              </w:rPr>
            </w:pPr>
            <w:r>
              <w:rPr>
                <w:rFonts w:ascii="Arial" w:cs="Arial" w:eastAsia="Arial" w:hAnsi="Arial"/>
                <w:sz w:val="14"/>
                <w:szCs w:val="14"/>
                <w:color w:val="auto"/>
              </w:rPr>
              <w:t>issued by Capital Southwest Corporation on November 7, 2016</w:t>
            </w:r>
          </w:p>
        </w:tc>
      </w:tr>
      <w:tr>
        <w:trPr>
          <w:trHeight w:val="209"/>
        </w:trPr>
        <w:tc>
          <w:tcPr>
            <w:tcW w:w="840" w:type="dxa"/>
            <w:vAlign w:val="bottom"/>
            <w:gridSpan w:val="2"/>
          </w:tcPr>
          <w:p>
            <w:pPr>
              <w:jc w:val="center"/>
              <w:spacing w:after="0"/>
              <w:rPr>
                <w:sz w:val="20"/>
                <w:szCs w:val="20"/>
                <w:color w:val="auto"/>
              </w:rPr>
            </w:pPr>
            <w:r>
              <w:rPr>
                <w:rFonts w:ascii="Arial" w:cs="Arial" w:eastAsia="Arial" w:hAnsi="Arial"/>
                <w:sz w:val="17"/>
                <w:szCs w:val="17"/>
                <w:color w:val="auto"/>
                <w:w w:val="84"/>
              </w:rPr>
              <w:t>99.2</w:t>
            </w:r>
          </w:p>
        </w:tc>
        <w:tc>
          <w:tcPr>
            <w:tcW w:w="100" w:type="dxa"/>
            <w:vAlign w:val="bottom"/>
          </w:tcPr>
          <w:p>
            <w:pPr>
              <w:spacing w:after="0"/>
              <w:rPr>
                <w:sz w:val="18"/>
                <w:szCs w:val="18"/>
                <w:color w:val="auto"/>
              </w:rPr>
            </w:pPr>
          </w:p>
        </w:tc>
        <w:tc>
          <w:tcPr>
            <w:tcW w:w="7800" w:type="dxa"/>
            <w:vAlign w:val="bottom"/>
            <w:gridSpan w:val="3"/>
          </w:tcPr>
          <w:p>
            <w:pPr>
              <w:ind w:left="120"/>
              <w:spacing w:after="0"/>
              <w:rPr>
                <w:sz w:val="20"/>
                <w:szCs w:val="20"/>
                <w:color w:val="auto"/>
              </w:rPr>
            </w:pPr>
            <w:r>
              <w:rPr>
                <w:rFonts w:ascii="Arial" w:cs="Arial" w:eastAsia="Arial" w:hAnsi="Arial"/>
                <w:sz w:val="17"/>
                <w:szCs w:val="17"/>
                <w:color w:val="auto"/>
              </w:rPr>
              <w:t>Investor presentation slides</w:t>
            </w:r>
          </w:p>
        </w:tc>
      </w:tr>
      <w:tr>
        <w:trPr>
          <w:trHeight w:val="366"/>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781175"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1175" cy="677545"/>
                    </a:xfrm>
                    <a:prstGeom prst="rect">
                      <a:avLst/>
                    </a:prstGeom>
                    <a:noFill/>
                  </pic:spPr>
                </pic:pic>
              </a:graphicData>
            </a:graphic>
          </wp:anchor>
        </w:drawing>
      </w:r>
    </w:p>
    <w:p>
      <w:pPr>
        <w:spacing w:after="0" w:line="20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Lincoln Centre Tower I</w:t>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5400 Lyndon B. Johnson Freeway, Suite 1300</w:t>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Dallas, Texas 75240</w:t>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T 214.238.5700</w:t>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F 214.238.5701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57607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 w:right="680"/>
        <w:spacing w:after="0" w:line="245" w:lineRule="auto"/>
        <w:rPr>
          <w:sz w:val="20"/>
          <w:szCs w:val="20"/>
          <w:color w:val="auto"/>
        </w:rPr>
      </w:pPr>
      <w:r>
        <w:rPr>
          <w:rFonts w:ascii="Arial" w:cs="Arial" w:eastAsia="Arial" w:hAnsi="Arial"/>
          <w:sz w:val="26"/>
          <w:szCs w:val="26"/>
          <w:b w:val="1"/>
          <w:bCs w:val="1"/>
          <w:color w:val="auto"/>
        </w:rPr>
        <w:t>Capital Southwest Announces Financial Results for Second Fiscal Quarter Ended September 30, 2016</w:t>
      </w:r>
    </w:p>
    <w:p>
      <w:pPr>
        <w:spacing w:after="0" w:line="66"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CSWC Grows Pre-Tax Net Investment Income to $0.11 Per Share</w:t>
      </w:r>
    </w:p>
    <w:p>
      <w:pPr>
        <w:spacing w:after="0" w:line="9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Dallas, Texas – November 7, 2016 – </w:t>
      </w:r>
      <w:r>
        <w:rPr>
          <w:rFonts w:ascii="Arial" w:cs="Arial" w:eastAsia="Arial" w:hAnsi="Arial"/>
          <w:sz w:val="17"/>
          <w:szCs w:val="17"/>
          <w:color w:val="auto"/>
        </w:rPr>
        <w:t>Capital Southwest Corporation (“Capital Southwest” or the “Company”; Nasdaq:</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CSWC) today announced its financial results for the second fiscal quarter ended September 30, 2016.</w:t>
      </w:r>
    </w:p>
    <w:p>
      <w:pPr>
        <w:spacing w:after="0" w:line="9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Second Quarter Fiscal Year 2017 Financial Highlights</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color w:val="auto"/>
        </w:rPr>
        <w:t>· Total Investment Portfolio: $238.3 million</w:t>
      </w:r>
    </w:p>
    <w:p>
      <w:pPr>
        <w:spacing w:after="0" w:line="103" w:lineRule="exact"/>
        <w:rPr>
          <w:sz w:val="20"/>
          <w:szCs w:val="20"/>
          <w:color w:val="auto"/>
        </w:rPr>
      </w:pPr>
    </w:p>
    <w:p>
      <w:pPr>
        <w:ind w:left="884" w:hanging="289"/>
        <w:spacing w:after="0"/>
        <w:tabs>
          <w:tab w:leader="none" w:pos="8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Credit Portfolio: $137.6 million</w:t>
      </w:r>
    </w:p>
    <w:p>
      <w:pPr>
        <w:spacing w:after="0" w:line="103" w:lineRule="exact"/>
        <w:rPr>
          <w:sz w:val="20"/>
          <w:szCs w:val="20"/>
          <w:color w:val="auto"/>
        </w:rPr>
      </w:pPr>
    </w:p>
    <w:p>
      <w:pPr>
        <w:ind w:left="604" w:right="2740" w:firstLine="885"/>
        <w:spacing w:after="0" w:line="346" w:lineRule="auto"/>
        <w:tabs>
          <w:tab w:leader="none" w:pos="1672"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$55 MM in new credit investments originated during the quarter o Total CSWC investment in I-45 SLF: $50.5 million</w:t>
      </w:r>
    </w:p>
    <w:p>
      <w:pPr>
        <w:ind w:left="1184"/>
        <w:spacing w:after="0"/>
        <w:rPr>
          <w:rFonts w:ascii="Courier New" w:cs="Courier New" w:eastAsia="Courier New" w:hAnsi="Courier New"/>
          <w:sz w:val="18"/>
          <w:szCs w:val="18"/>
          <w:color w:val="auto"/>
        </w:rPr>
      </w:pPr>
      <w:r>
        <w:rPr>
          <w:rFonts w:ascii="Arial" w:cs="Arial" w:eastAsia="Arial" w:hAnsi="Arial"/>
          <w:sz w:val="18"/>
          <w:szCs w:val="18"/>
          <w:color w:val="auto"/>
        </w:rPr>
        <w:t>üI-45 SLF portfolio increased to $172.5 million from $134.5 million during the quarter</w:t>
      </w:r>
    </w:p>
    <w:p>
      <w:pPr>
        <w:spacing w:after="0" w:line="103" w:lineRule="exact"/>
        <w:rPr>
          <w:rFonts w:ascii="Courier New" w:cs="Courier New" w:eastAsia="Courier New" w:hAnsi="Courier New"/>
          <w:sz w:val="18"/>
          <w:szCs w:val="18"/>
          <w:color w:val="auto"/>
        </w:rPr>
      </w:pPr>
    </w:p>
    <w:p>
      <w:pPr>
        <w:ind w:left="1324" w:hanging="133"/>
        <w:spacing w:after="0"/>
        <w:tabs>
          <w:tab w:leader="none" w:pos="1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I-45 SLF portfolio consists of 36 credits; 98% 1</w:t>
      </w:r>
      <w:r>
        <w:rPr>
          <w:rFonts w:ascii="Arial" w:cs="Arial" w:eastAsia="Arial" w:hAnsi="Arial"/>
          <w:sz w:val="18"/>
          <w:szCs w:val="18"/>
          <w:color w:val="auto"/>
          <w:vertAlign w:val="superscript"/>
        </w:rPr>
        <w:t>st</w:t>
      </w:r>
      <w:r>
        <w:rPr>
          <w:rFonts w:ascii="Arial" w:cs="Arial" w:eastAsia="Arial" w:hAnsi="Arial"/>
          <w:sz w:val="18"/>
          <w:szCs w:val="18"/>
          <w:color w:val="auto"/>
        </w:rPr>
        <w:t xml:space="preserve"> Lien Debt and 2% 2</w:t>
      </w:r>
      <w:r>
        <w:rPr>
          <w:rFonts w:ascii="Arial" w:cs="Arial" w:eastAsia="Arial" w:hAnsi="Arial"/>
          <w:sz w:val="18"/>
          <w:szCs w:val="18"/>
          <w:color w:val="auto"/>
          <w:vertAlign w:val="superscript"/>
        </w:rPr>
        <w:t>nd</w:t>
      </w:r>
      <w:r>
        <w:rPr>
          <w:rFonts w:ascii="Arial" w:cs="Arial" w:eastAsia="Arial" w:hAnsi="Arial"/>
          <w:sz w:val="18"/>
          <w:szCs w:val="18"/>
          <w:color w:val="auto"/>
        </w:rPr>
        <w:t xml:space="preserve"> Lien Debt</w:t>
      </w:r>
    </w:p>
    <w:p>
      <w:pPr>
        <w:spacing w:after="0" w:line="103" w:lineRule="exact"/>
        <w:rPr>
          <w:sz w:val="20"/>
          <w:szCs w:val="20"/>
          <w:color w:val="auto"/>
        </w:rPr>
      </w:pPr>
    </w:p>
    <w:p>
      <w:pPr>
        <w:ind w:left="4" w:right="2300" w:firstLine="596"/>
        <w:spacing w:after="0" w:line="380" w:lineRule="auto"/>
        <w:rPr>
          <w:sz w:val="20"/>
          <w:szCs w:val="20"/>
          <w:color w:val="auto"/>
        </w:rPr>
      </w:pPr>
      <w:r>
        <w:rPr>
          <w:rFonts w:ascii="Arial" w:cs="Arial" w:eastAsia="Arial" w:hAnsi="Arial"/>
          <w:sz w:val="17"/>
          <w:szCs w:val="17"/>
          <w:color w:val="auto"/>
        </w:rPr>
        <w:t>o Total Equity Portfolio, excluding investment in I-45 SLF: $50.2 million ·Pre-Tax Net Investment Income of $1.8 million, or $0.11 per weighted average diluted share</w:t>
      </w:r>
    </w:p>
    <w:p>
      <w:pPr>
        <w:spacing w:after="0" w:line="1" w:lineRule="exact"/>
        <w:rPr>
          <w:sz w:val="20"/>
          <w:szCs w:val="20"/>
          <w:color w:val="auto"/>
        </w:rPr>
      </w:pPr>
    </w:p>
    <w:p>
      <w:pPr>
        <w:ind w:left="184" w:hanging="184"/>
        <w:spacing w:after="0"/>
        <w:tabs>
          <w:tab w:leader="none" w:pos="184"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Dividends paid: $0.11 per share</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Cash: $57.8 million</w:t>
      </w:r>
    </w:p>
    <w:p>
      <w:pPr>
        <w:spacing w:after="0" w:line="103" w:lineRule="exact"/>
        <w:rPr>
          <w:rFonts w:ascii="Arial" w:cs="Arial" w:eastAsia="Arial" w:hAnsi="Arial"/>
          <w:sz w:val="18"/>
          <w:szCs w:val="18"/>
          <w:color w:val="auto"/>
        </w:rPr>
      </w:pPr>
    </w:p>
    <w:p>
      <w:pPr>
        <w:ind w:left="84" w:hanging="84"/>
        <w:spacing w:after="0"/>
        <w:tabs>
          <w:tab w:leader="none" w:pos="8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Realized and Unrealized Portfolio Appreciation: $5.6 million</w:t>
      </w:r>
    </w:p>
    <w:p>
      <w:pPr>
        <w:spacing w:after="0" w:line="103" w:lineRule="exact"/>
        <w:rPr>
          <w:rFonts w:ascii="Arial" w:cs="Arial" w:eastAsia="Arial" w:hAnsi="Arial"/>
          <w:sz w:val="18"/>
          <w:szCs w:val="18"/>
          <w:color w:val="auto"/>
        </w:rPr>
      </w:pPr>
    </w:p>
    <w:p>
      <w:pPr>
        <w:ind w:left="164" w:hanging="164"/>
        <w:spacing w:after="0"/>
        <w:tabs>
          <w:tab w:leader="none" w:pos="1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Net Assets: $278.9 million</w:t>
      </w:r>
    </w:p>
    <w:p>
      <w:pPr>
        <w:spacing w:after="0" w:line="103" w:lineRule="exact"/>
        <w:rPr>
          <w:rFonts w:ascii="Arial" w:cs="Arial" w:eastAsia="Arial" w:hAnsi="Arial"/>
          <w:sz w:val="18"/>
          <w:szCs w:val="18"/>
          <w:color w:val="auto"/>
        </w:rPr>
      </w:pPr>
    </w:p>
    <w:p>
      <w:pPr>
        <w:ind w:left="164" w:hanging="164"/>
        <w:spacing w:after="0"/>
        <w:tabs>
          <w:tab w:leader="none" w:pos="1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 Value per Share: $17.74</w:t>
      </w:r>
    </w:p>
    <w:p>
      <w:pPr>
        <w:spacing w:after="0" w:line="103" w:lineRule="exact"/>
        <w:rPr>
          <w:rFonts w:ascii="Arial" w:cs="Arial" w:eastAsia="Arial" w:hAnsi="Arial"/>
          <w:sz w:val="18"/>
          <w:szCs w:val="18"/>
          <w:color w:val="auto"/>
        </w:rPr>
      </w:pPr>
    </w:p>
    <w:p>
      <w:pPr>
        <w:ind w:left="104" w:hanging="104"/>
        <w:spacing w:after="0"/>
        <w:tabs>
          <w:tab w:leader="none" w:pos="10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Weighted Average Yield on Debt Investments: 10.00%</w:t>
      </w:r>
    </w:p>
    <w:p>
      <w:pPr>
        <w:spacing w:after="0" w:line="103" w:lineRule="exact"/>
        <w:rPr>
          <w:sz w:val="20"/>
          <w:szCs w:val="20"/>
          <w:color w:val="auto"/>
        </w:rPr>
      </w:pPr>
    </w:p>
    <w:p>
      <w:pPr>
        <w:ind w:left="44" w:right="200" w:hanging="49"/>
        <w:spacing w:after="0" w:line="235" w:lineRule="auto"/>
        <w:rPr>
          <w:sz w:val="20"/>
          <w:szCs w:val="20"/>
          <w:color w:val="auto"/>
        </w:rPr>
      </w:pPr>
      <w:r>
        <w:rPr>
          <w:rFonts w:ascii="Arial" w:cs="Arial" w:eastAsia="Arial" w:hAnsi="Arial"/>
          <w:sz w:val="18"/>
          <w:szCs w:val="18"/>
          <w:color w:val="auto"/>
        </w:rPr>
        <w:t>·One legacy investment asset currently on non-accrual with fair value of $2.5 million, representing 1.8% of the total credit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576072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0720" cy="15875"/>
                    </a:xfrm>
                    <a:prstGeom prst="rect">
                      <a:avLst/>
                    </a:prstGeom>
                    <a:noFill/>
                  </pic:spPr>
                </pic:pic>
              </a:graphicData>
            </a:graphic>
          </wp:anchor>
        </w:drawing>
      </w:r>
    </w:p>
    <w:p>
      <w:pPr>
        <w:sectPr>
          <w:pgSz w:w="11900" w:h="16838" w:orient="portrait"/>
          <w:cols w:equalWidth="0" w:num="1">
            <w:col w:w="9084"/>
          </w:cols>
          <w:pgMar w:left="1416" w:top="123" w:right="139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18"/>
          <w:szCs w:val="18"/>
          <w:color w:val="auto"/>
        </w:rPr>
        <w:t>In commenting on the Company's results, Bowen Diehl, President and Chief Executive Officer, stated, “This quarter, we experienced robust origination volume across both the Upper and Lower Middle Markets. We closed on approximately 2% of the opportunities we reviewed resulting in $55 million invested in six new and three existing portfolio companies. With our new ING led balance sheet credit facility, the additional capacity on our I-45 credit facility and our cash on hand, we are well positioned to continue to thoughtfully grow our credit portfolio.”</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and Investment Activities</w:t>
      </w:r>
    </w:p>
    <w:p>
      <w:pPr>
        <w:spacing w:after="0" w:line="120"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During the quarter ended September 30, 2016, the Company originated six new on-balance sheet credit investments totaling $48.3 million and made follow-on investments in three existing credit investments totaling $6.5 million. The Company also grew the I-45 SLF investment portfolio to $172.5 million from $134.5 million. The Company received proceeds related to scheduled repayments of certain debt securities totaling $1.0 million. New investment and follow-on investment transactions which occurred during the quarter ended September 30, 2016 are summarized as follows: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New Investments:</w:t>
      </w:r>
    </w:p>
    <w:p>
      <w:pPr>
        <w:spacing w:after="0" w:line="8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Amware Fulfillment, LLC, $13.4 million 1</w:t>
      </w:r>
      <w:r>
        <w:rPr>
          <w:rFonts w:ascii="Arial" w:cs="Arial" w:eastAsia="Arial" w:hAnsi="Arial"/>
          <w:sz w:val="18"/>
          <w:szCs w:val="18"/>
          <w:b w:val="1"/>
          <w:bCs w:val="1"/>
          <w:color w:val="auto"/>
          <w:vertAlign w:val="superscript"/>
        </w:rPr>
        <w:t>st</w:t>
      </w:r>
      <w:r>
        <w:rPr>
          <w:rFonts w:ascii="Arial" w:cs="Arial" w:eastAsia="Arial" w:hAnsi="Arial"/>
          <w:sz w:val="18"/>
          <w:szCs w:val="18"/>
          <w:b w:val="1"/>
          <w:bCs w:val="1"/>
          <w:color w:val="auto"/>
        </w:rPr>
        <w:t xml:space="preserve"> Lien Senior Secured Debt: </w:t>
      </w:r>
      <w:r>
        <w:rPr>
          <w:rFonts w:ascii="Arial" w:cs="Arial" w:eastAsia="Arial" w:hAnsi="Arial"/>
          <w:sz w:val="18"/>
          <w:szCs w:val="18"/>
          <w:color w:val="auto"/>
        </w:rPr>
        <w:t>Amware provides logistics fulfillment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business-to-consumer, business-to-business, and multi-channel verticals.</w:t>
      </w:r>
    </w:p>
    <w:p>
      <w:pPr>
        <w:spacing w:after="0" w:line="75"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b w:val="1"/>
          <w:bCs w:val="1"/>
          <w:color w:val="auto"/>
        </w:rPr>
        <w:t>AG Kings Holdings, Inc., $10.0 million 1</w:t>
      </w:r>
      <w:r>
        <w:rPr>
          <w:rFonts w:ascii="Arial" w:cs="Arial" w:eastAsia="Arial" w:hAnsi="Arial"/>
          <w:sz w:val="17"/>
          <w:szCs w:val="17"/>
          <w:b w:val="1"/>
          <w:bCs w:val="1"/>
          <w:color w:val="auto"/>
          <w:vertAlign w:val="superscript"/>
        </w:rPr>
        <w:t>st</w:t>
      </w:r>
      <w:r>
        <w:rPr>
          <w:rFonts w:ascii="Arial" w:cs="Arial" w:eastAsia="Arial" w:hAnsi="Arial"/>
          <w:sz w:val="17"/>
          <w:szCs w:val="17"/>
          <w:b w:val="1"/>
          <w:bCs w:val="1"/>
          <w:color w:val="auto"/>
        </w:rPr>
        <w:t xml:space="preserve"> Lien Senior Secured Debt (Last-Out Unitranche): </w:t>
      </w:r>
      <w:r>
        <w:rPr>
          <w:rFonts w:ascii="Arial" w:cs="Arial" w:eastAsia="Arial" w:hAnsi="Arial"/>
          <w:sz w:val="17"/>
          <w:szCs w:val="17"/>
          <w:color w:val="auto"/>
        </w:rPr>
        <w:t>AG Kings is a leading</w:t>
      </w:r>
      <w:r>
        <w:rPr>
          <w:rFonts w:ascii="Arial" w:cs="Arial" w:eastAsia="Arial" w:hAnsi="Arial"/>
          <w:sz w:val="17"/>
          <w:szCs w:val="17"/>
          <w:b w:val="1"/>
          <w:bCs w:val="1"/>
          <w:color w:val="auto"/>
        </w:rPr>
        <w:t xml:space="preserve"> </w:t>
      </w:r>
      <w:r>
        <w:rPr>
          <w:rFonts w:ascii="Arial" w:cs="Arial" w:eastAsia="Arial" w:hAnsi="Arial"/>
          <w:sz w:val="17"/>
          <w:szCs w:val="17"/>
          <w:color w:val="auto"/>
        </w:rPr>
        <w:t>regional specialty food retailer under two regionally recognized banners, Kings Foods markets and Balducci’s.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b w:val="1"/>
          <w:bCs w:val="1"/>
          <w:color w:val="auto"/>
        </w:rPr>
        <w:t>California Pizza Kitchen, Inc., $5.0 million 1</w:t>
      </w:r>
      <w:r>
        <w:rPr>
          <w:rFonts w:ascii="Arial" w:cs="Arial" w:eastAsia="Arial" w:hAnsi="Arial"/>
          <w:sz w:val="17"/>
          <w:szCs w:val="17"/>
          <w:b w:val="1"/>
          <w:bCs w:val="1"/>
          <w:color w:val="auto"/>
          <w:vertAlign w:val="superscript"/>
        </w:rPr>
        <w:t>st</w:t>
      </w:r>
      <w:r>
        <w:rPr>
          <w:rFonts w:ascii="Arial" w:cs="Arial" w:eastAsia="Arial" w:hAnsi="Arial"/>
          <w:sz w:val="17"/>
          <w:szCs w:val="17"/>
          <w:b w:val="1"/>
          <w:bCs w:val="1"/>
          <w:color w:val="auto"/>
        </w:rPr>
        <w:t xml:space="preserve"> Lien Senior Secured Debt: </w:t>
      </w:r>
      <w:r>
        <w:rPr>
          <w:rFonts w:ascii="Arial" w:cs="Arial" w:eastAsia="Arial" w:hAnsi="Arial"/>
          <w:sz w:val="17"/>
          <w:szCs w:val="17"/>
          <w:color w:val="auto"/>
        </w:rPr>
        <w:t>California Pizza Kitchen is a polished-casual</w:t>
      </w:r>
      <w:r>
        <w:rPr>
          <w:rFonts w:ascii="Arial" w:cs="Arial" w:eastAsia="Arial" w:hAnsi="Arial"/>
          <w:sz w:val="17"/>
          <w:szCs w:val="17"/>
          <w:b w:val="1"/>
          <w:bCs w:val="1"/>
          <w:color w:val="auto"/>
        </w:rPr>
        <w:t xml:space="preserve"> </w:t>
      </w:r>
      <w:r>
        <w:rPr>
          <w:rFonts w:ascii="Arial" w:cs="Arial" w:eastAsia="Arial" w:hAnsi="Arial"/>
          <w:sz w:val="17"/>
          <w:szCs w:val="17"/>
          <w:color w:val="auto"/>
        </w:rPr>
        <w:t>restaurant concept with 273 locations (192 Company-operated; 81 franchised) in 218 cities in 14 countries.</w:t>
      </w:r>
    </w:p>
    <w:p>
      <w:pPr>
        <w:spacing w:after="0" w:line="4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Redbox Automated Retail, LLC, $10.0 million 1</w:t>
      </w:r>
      <w:r>
        <w:rPr>
          <w:rFonts w:ascii="Arial" w:cs="Arial" w:eastAsia="Arial" w:hAnsi="Arial"/>
          <w:sz w:val="18"/>
          <w:szCs w:val="18"/>
          <w:b w:val="1"/>
          <w:bCs w:val="1"/>
          <w:color w:val="auto"/>
          <w:vertAlign w:val="superscript"/>
        </w:rPr>
        <w:t>st</w:t>
      </w:r>
      <w:r>
        <w:rPr>
          <w:rFonts w:ascii="Arial" w:cs="Arial" w:eastAsia="Arial" w:hAnsi="Arial"/>
          <w:sz w:val="18"/>
          <w:szCs w:val="18"/>
          <w:b w:val="1"/>
          <w:bCs w:val="1"/>
          <w:color w:val="auto"/>
        </w:rPr>
        <w:t xml:space="preserve"> Lien Senior Secured Debt: </w:t>
      </w:r>
      <w:r>
        <w:rPr>
          <w:rFonts w:ascii="Arial" w:cs="Arial" w:eastAsia="Arial" w:hAnsi="Arial"/>
          <w:sz w:val="18"/>
          <w:szCs w:val="18"/>
          <w:color w:val="auto"/>
        </w:rPr>
        <w:t>Redbox delivers affordable and convenient</w:t>
      </w:r>
      <w:r>
        <w:rPr>
          <w:rFonts w:ascii="Arial" w:cs="Arial" w:eastAsia="Arial" w:hAnsi="Arial"/>
          <w:sz w:val="18"/>
          <w:szCs w:val="18"/>
          <w:b w:val="1"/>
          <w:bCs w:val="1"/>
          <w:color w:val="auto"/>
        </w:rPr>
        <w:t xml:space="preserve"> </w:t>
      </w:r>
      <w:r>
        <w:rPr>
          <w:rFonts w:ascii="Arial" w:cs="Arial" w:eastAsia="Arial" w:hAnsi="Arial"/>
          <w:sz w:val="18"/>
          <w:szCs w:val="18"/>
          <w:color w:val="auto"/>
        </w:rPr>
        <w:t>new entertainment through a network of approximately 40,000 kiosks across every U.S. state where consumers can rent or purchase standard definition DVD movies, Blu-ray movies and video games.</w:t>
      </w:r>
    </w:p>
    <w:p>
      <w:pPr>
        <w:spacing w:after="0" w:line="150" w:lineRule="exact"/>
        <w:rPr>
          <w:sz w:val="20"/>
          <w:szCs w:val="20"/>
          <w:color w:val="auto"/>
        </w:rPr>
      </w:pPr>
    </w:p>
    <w:p>
      <w:pPr>
        <w:ind w:right="20"/>
        <w:spacing w:after="0" w:line="339" w:lineRule="auto"/>
        <w:rPr>
          <w:sz w:val="20"/>
          <w:szCs w:val="20"/>
          <w:color w:val="auto"/>
        </w:rPr>
      </w:pPr>
      <w:r>
        <w:rPr>
          <w:rFonts w:ascii="Arial" w:cs="Arial" w:eastAsia="Arial" w:hAnsi="Arial"/>
          <w:sz w:val="17"/>
          <w:szCs w:val="17"/>
          <w:b w:val="1"/>
          <w:bCs w:val="1"/>
          <w:color w:val="auto"/>
        </w:rPr>
        <w:t>Dunn Paper, Inc., $3.0 million 2</w:t>
      </w:r>
      <w:r>
        <w:rPr>
          <w:rFonts w:ascii="Arial" w:cs="Arial" w:eastAsia="Arial" w:hAnsi="Arial"/>
          <w:sz w:val="17"/>
          <w:szCs w:val="17"/>
          <w:b w:val="1"/>
          <w:bCs w:val="1"/>
          <w:color w:val="auto"/>
          <w:vertAlign w:val="superscript"/>
        </w:rPr>
        <w:t>nd</w:t>
      </w:r>
      <w:r>
        <w:rPr>
          <w:rFonts w:ascii="Arial" w:cs="Arial" w:eastAsia="Arial" w:hAnsi="Arial"/>
          <w:sz w:val="17"/>
          <w:szCs w:val="17"/>
          <w:b w:val="1"/>
          <w:bCs w:val="1"/>
          <w:color w:val="auto"/>
        </w:rPr>
        <w:t xml:space="preserve"> Lien Senior Secured Debt: </w:t>
      </w:r>
      <w:r>
        <w:rPr>
          <w:rFonts w:ascii="Arial" w:cs="Arial" w:eastAsia="Arial" w:hAnsi="Arial"/>
          <w:sz w:val="17"/>
          <w:szCs w:val="17"/>
          <w:color w:val="auto"/>
        </w:rPr>
        <w:t>Dunn Paper is a supplier of high performance, specialty</w:t>
      </w:r>
      <w:r>
        <w:rPr>
          <w:rFonts w:ascii="Arial" w:cs="Arial" w:eastAsia="Arial" w:hAnsi="Arial"/>
          <w:sz w:val="17"/>
          <w:szCs w:val="17"/>
          <w:b w:val="1"/>
          <w:bCs w:val="1"/>
          <w:color w:val="auto"/>
        </w:rPr>
        <w:t xml:space="preserve"> </w:t>
      </w:r>
      <w:r>
        <w:rPr>
          <w:rFonts w:ascii="Arial" w:cs="Arial" w:eastAsia="Arial" w:hAnsi="Arial"/>
          <w:sz w:val="17"/>
          <w:szCs w:val="17"/>
          <w:color w:val="auto"/>
        </w:rPr>
        <w:t>paper materials customized for a range of lightweight food packaging, hygiene, and consumer applications.</w:t>
      </w:r>
    </w:p>
    <w:p>
      <w:pPr>
        <w:spacing w:after="0" w:line="68" w:lineRule="exact"/>
        <w:rPr>
          <w:sz w:val="20"/>
          <w:szCs w:val="20"/>
          <w:color w:val="auto"/>
        </w:rPr>
      </w:pPr>
    </w:p>
    <w:p>
      <w:pPr>
        <w:jc w:val="both"/>
        <w:ind w:right="60"/>
        <w:spacing w:after="0" w:line="195" w:lineRule="exact"/>
        <w:rPr>
          <w:sz w:val="20"/>
          <w:szCs w:val="20"/>
          <w:color w:val="auto"/>
        </w:rPr>
      </w:pPr>
      <w:r>
        <w:rPr>
          <w:rFonts w:ascii="Arial" w:cs="Arial" w:eastAsia="Arial" w:hAnsi="Arial"/>
          <w:sz w:val="18"/>
          <w:szCs w:val="18"/>
          <w:b w:val="1"/>
          <w:bCs w:val="1"/>
          <w:color w:val="auto"/>
        </w:rPr>
        <w:t>Premiere Global Services, Inc., $6.9 million 1</w:t>
      </w:r>
      <w:r>
        <w:rPr>
          <w:rFonts w:ascii="Arial" w:cs="Arial" w:eastAsia="Arial" w:hAnsi="Arial"/>
          <w:sz w:val="18"/>
          <w:szCs w:val="18"/>
          <w:b w:val="1"/>
          <w:bCs w:val="1"/>
          <w:color w:val="auto"/>
          <w:vertAlign w:val="superscript"/>
        </w:rPr>
        <w:t>st</w:t>
      </w:r>
      <w:r>
        <w:rPr>
          <w:rFonts w:ascii="Arial" w:cs="Arial" w:eastAsia="Arial" w:hAnsi="Arial"/>
          <w:sz w:val="18"/>
          <w:szCs w:val="18"/>
          <w:b w:val="1"/>
          <w:bCs w:val="1"/>
          <w:color w:val="auto"/>
        </w:rPr>
        <w:t xml:space="preserve"> Lien Senior Secured Debt: </w:t>
      </w:r>
      <w:r>
        <w:rPr>
          <w:rFonts w:ascii="Arial" w:cs="Arial" w:eastAsia="Arial" w:hAnsi="Arial"/>
          <w:sz w:val="18"/>
          <w:szCs w:val="18"/>
          <w:color w:val="auto"/>
        </w:rPr>
        <w:t>Premiere Global is a leading global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of audio conferencing solutions and SaaS</w:t>
      </w:r>
      <w:r>
        <w:rPr>
          <w:rFonts w:ascii="MS PGothic" w:cs="MS PGothic" w:eastAsia="MS PGothic" w:hAnsi="MS PGothic"/>
          <w:sz w:val="18"/>
          <w:szCs w:val="18"/>
          <w:color w:val="auto"/>
        </w:rPr>
        <w:t>‐</w:t>
      </w:r>
      <w:r>
        <w:rPr>
          <w:rFonts w:ascii="Arial" w:cs="Arial" w:eastAsia="Arial" w:hAnsi="Arial"/>
          <w:sz w:val="18"/>
          <w:szCs w:val="18"/>
          <w:color w:val="auto"/>
        </w:rPr>
        <w:t>based web and video collaboration solutions to large global companies, mid</w:t>
      </w:r>
      <w:r>
        <w:rPr>
          <w:rFonts w:ascii="MS PGothic" w:cs="MS PGothic" w:eastAsia="MS PGothic" w:hAnsi="MS PGothic"/>
          <w:sz w:val="18"/>
          <w:szCs w:val="18"/>
          <w:color w:val="auto"/>
        </w:rPr>
        <w:t>‐</w:t>
      </w:r>
      <w:r>
        <w:rPr>
          <w:rFonts w:ascii="Arial" w:cs="Arial" w:eastAsia="Arial" w:hAnsi="Arial"/>
          <w:sz w:val="18"/>
          <w:szCs w:val="18"/>
          <w:color w:val="auto"/>
        </w:rPr>
        <w:t>sized companies, and SMBs.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Follow-on Investments: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Imagine! Print Solutions, $0.9 million 1</w:t>
      </w:r>
      <w:r>
        <w:rPr>
          <w:rFonts w:ascii="Arial" w:cs="Arial" w:eastAsia="Arial" w:hAnsi="Arial"/>
          <w:sz w:val="18"/>
          <w:szCs w:val="18"/>
          <w:b w:val="1"/>
          <w:bCs w:val="1"/>
          <w:color w:val="auto"/>
          <w:vertAlign w:val="superscript"/>
        </w:rPr>
        <w:t>st</w:t>
      </w:r>
      <w:r>
        <w:rPr>
          <w:rFonts w:ascii="Arial" w:cs="Arial" w:eastAsia="Arial" w:hAnsi="Arial"/>
          <w:sz w:val="18"/>
          <w:szCs w:val="18"/>
          <w:b w:val="1"/>
          <w:bCs w:val="1"/>
          <w:color w:val="auto"/>
        </w:rPr>
        <w:t xml:space="preserve"> Lien Senior Secured Debt: </w:t>
      </w:r>
      <w:r>
        <w:rPr>
          <w:rFonts w:ascii="Arial" w:cs="Arial" w:eastAsia="Arial" w:hAnsi="Arial"/>
          <w:sz w:val="18"/>
          <w:szCs w:val="18"/>
          <w:color w:val="auto"/>
        </w:rPr>
        <w:t>Imagine! is the leading provider of in-store</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solutions in North America.</w:t>
      </w:r>
    </w:p>
    <w:p>
      <w:pPr>
        <w:spacing w:after="0" w:line="7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color w:val="auto"/>
        </w:rPr>
        <w:t>InfoGroup Inc., $3.2 million 1</w:t>
      </w:r>
      <w:r>
        <w:rPr>
          <w:rFonts w:ascii="Arial" w:cs="Arial" w:eastAsia="Arial" w:hAnsi="Arial"/>
          <w:sz w:val="18"/>
          <w:szCs w:val="18"/>
          <w:b w:val="1"/>
          <w:bCs w:val="1"/>
          <w:color w:val="auto"/>
          <w:vertAlign w:val="superscript"/>
        </w:rPr>
        <w:t>st</w:t>
      </w:r>
      <w:r>
        <w:rPr>
          <w:rFonts w:ascii="Arial" w:cs="Arial" w:eastAsia="Arial" w:hAnsi="Arial"/>
          <w:sz w:val="18"/>
          <w:szCs w:val="18"/>
          <w:b w:val="1"/>
          <w:bCs w:val="1"/>
          <w:color w:val="auto"/>
        </w:rPr>
        <w:t xml:space="preserve"> Lien Senior Secured Debt: </w:t>
      </w:r>
      <w:r>
        <w:rPr>
          <w:rFonts w:ascii="Arial" w:cs="Arial" w:eastAsia="Arial" w:hAnsi="Arial"/>
          <w:sz w:val="18"/>
          <w:szCs w:val="18"/>
          <w:color w:val="auto"/>
        </w:rPr>
        <w:t>InfoGroup helps companies increase sales and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loyalty through its high value data and innovative multi-channel digital and offline marketing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57607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0720" cy="15875"/>
                    </a:xfrm>
                    <a:prstGeom prst="rect">
                      <a:avLst/>
                    </a:prstGeom>
                    <a:noFill/>
                  </pic:spPr>
                </pic:pic>
              </a:graphicData>
            </a:graphic>
          </wp:anchor>
        </w:drawing>
      </w:r>
    </w:p>
    <w:p>
      <w:pPr>
        <w:sectPr>
          <w:pgSz w:w="11900" w:h="16838" w:orient="portrait"/>
          <w:cols w:equalWidth="0" w:num="1">
            <w:col w:w="9080"/>
          </w:cols>
          <w:pgMar w:left="1420" w:top="124" w:right="1399" w:bottom="1440" w:gutter="0" w:footer="0" w:header="0"/>
        </w:sectPr>
      </w:pPr>
    </w:p>
    <w:bookmarkStart w:id="5" w:name="page6"/>
    <w:bookmarkEnd w:id="5"/>
    <w:p>
      <w:pPr>
        <w:jc w:val="both"/>
        <w:ind w:right="20"/>
        <w:spacing w:after="0" w:line="264" w:lineRule="auto"/>
        <w:rPr>
          <w:sz w:val="20"/>
          <w:szCs w:val="20"/>
          <w:color w:val="auto"/>
        </w:rPr>
      </w:pPr>
      <w:r>
        <w:rPr>
          <w:rFonts w:ascii="Arial" w:cs="Arial" w:eastAsia="Arial" w:hAnsi="Arial"/>
          <w:sz w:val="17"/>
          <w:szCs w:val="17"/>
          <w:b w:val="1"/>
          <w:bCs w:val="1"/>
          <w:color w:val="auto"/>
        </w:rPr>
        <w:t>Digital River Inc., $2.4 million 1</w:t>
      </w:r>
      <w:r>
        <w:rPr>
          <w:rFonts w:ascii="Arial" w:cs="Arial" w:eastAsia="Arial" w:hAnsi="Arial"/>
          <w:sz w:val="17"/>
          <w:szCs w:val="17"/>
          <w:b w:val="1"/>
          <w:bCs w:val="1"/>
          <w:color w:val="auto"/>
          <w:vertAlign w:val="superscript"/>
        </w:rPr>
        <w:t>st</w:t>
      </w:r>
      <w:r>
        <w:rPr>
          <w:rFonts w:ascii="Arial" w:cs="Arial" w:eastAsia="Arial" w:hAnsi="Arial"/>
          <w:sz w:val="17"/>
          <w:szCs w:val="17"/>
          <w:b w:val="1"/>
          <w:bCs w:val="1"/>
          <w:color w:val="auto"/>
        </w:rPr>
        <w:t xml:space="preserve"> Lien Senior Secured Debt: </w:t>
      </w:r>
      <w:r>
        <w:rPr>
          <w:rFonts w:ascii="Arial" w:cs="Arial" w:eastAsia="Arial" w:hAnsi="Arial"/>
          <w:sz w:val="17"/>
          <w:szCs w:val="17"/>
          <w:color w:val="auto"/>
        </w:rPr>
        <w:t>Digital River is a leading provider of mission-critical, end-to-end outsourced e-commerce solutions to tier 1 and tier 2 enterprises across many industry verticals.</w:t>
      </w:r>
    </w:p>
    <w:p>
      <w:pPr>
        <w:spacing w:after="0" w:line="59"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Subsequent to quarter end, the Company originated one new senior secured debt investment totaling $8.0 million in Lighting Retrofit International and received a full prepayment on its investment in Vivid Seats in the amount of $6.9 million, recognizing a realized gain of $0.5 million and an IRR of 21.5%.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Fiscal Quarter 2017 Operating Results</w:t>
      </w:r>
    </w:p>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quarter ended September 30, 2016, Capital Southwest reported total investment income of $4.7 million, compared to $4.2 million in the prior quarter. The increase in investment income was attributable to both an increase in average debt investments outstanding and dividends paid from I-45 SLF.</w:t>
      </w:r>
    </w:p>
    <w:p>
      <w:pPr>
        <w:spacing w:after="0" w:line="6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quarter ended September 30, 2016, total expenses (excluding tax expense) were $2.9 million, compared to $3.2 million in the prior quarter. The decrease in expenses was primarily due to the legal and accounting fees incurred in connection with the 2016 audit during the quarter ended June 30, 2016.</w:t>
      </w:r>
    </w:p>
    <w:p>
      <w:pPr>
        <w:spacing w:after="0" w:line="7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For the quarter ended September 30, 2016, total pre-tax net investment income was $1.8 million compared to $0.9 million in the prior quarter.</w:t>
      </w:r>
    </w:p>
    <w:p>
      <w:pPr>
        <w:spacing w:after="0" w:line="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quarter ended September 30, 2016, there was a tax expense of $0.4 million recorded compared to $0.5 million in the prior quarter.</w:t>
      </w:r>
    </w:p>
    <w:p>
      <w:pPr>
        <w:spacing w:after="0" w:line="6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the quarter ended September 30, 2016, Capital Southwest recorded realized and unrealized gains on investments of $5.6 million. The net increase in net assets resulting from operations was $6.9 million, compared to $2.7 million in the prior quarter.</w:t>
      </w:r>
    </w:p>
    <w:p>
      <w:pPr>
        <w:spacing w:after="0" w:line="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net asset value, or NAV, at September 30, 2016 was $17.74 per share, as compared to $17.39 at June 30, 2016. The increase in NAV was primarily due to an increase in net realized and unrealized gains in the current quarter.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0" w:lineRule="exact"/>
        <w:rPr>
          <w:sz w:val="20"/>
          <w:szCs w:val="20"/>
          <w:color w:val="auto"/>
        </w:rPr>
      </w:pPr>
    </w:p>
    <w:p>
      <w:pPr>
        <w:jc w:val="both"/>
        <w:ind w:right="20"/>
        <w:spacing w:after="0" w:line="227" w:lineRule="auto"/>
        <w:rPr>
          <w:sz w:val="20"/>
          <w:szCs w:val="20"/>
          <w:color w:val="auto"/>
        </w:rPr>
      </w:pPr>
      <w:r>
        <w:rPr>
          <w:rFonts w:ascii="Arial" w:cs="Arial" w:eastAsia="Arial" w:hAnsi="Arial"/>
          <w:sz w:val="17"/>
          <w:szCs w:val="17"/>
          <w:color w:val="auto"/>
        </w:rPr>
        <w:t>At September 30, 2016, Capital Southwest had unrestricted cash and money market balances of approximately $57.8 million, total assets of approximately $307.3 million, and net assets of approximately $278.9 million. During the current period, the Company entered into a credit facility to provide additional liquidity to support its investment and operational activities. The facility includes total commitments of $100.0 million from a diversified group of five lenders and is scheduled to mature on August 30, 2020. As of September 30, 2016, Capital Southwest had no borrowings outstanding.</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quarter, I-45 SLF increased the total commitments outstanding on its credit facility to $145.0 million from $100.0 million. I-45 SLF had $88.0 million in borrowings outstanding as of September 30,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 January 25, 2016, Capital Southwest announced that its Board of Directors authorized the repurchase of up to $10 million of its common stock at prices below the Company’s net asset value per share as reported in its most recent financial statements. The Board authorized the plan because it believes that the Company’s common stock may be undervalued from time to time due to market volatility. As of September 30, 2016, no shares have been purchased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57607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15875"/>
                    </a:xfrm>
                    <a:prstGeom prst="rect">
                      <a:avLst/>
                    </a:prstGeom>
                    <a:noFill/>
                  </pic:spPr>
                </pic:pic>
              </a:graphicData>
            </a:graphic>
          </wp:anchor>
        </w:drawing>
      </w:r>
    </w:p>
    <w:p>
      <w:pPr>
        <w:sectPr>
          <w:pgSz w:w="11900" w:h="16838" w:orient="portrait"/>
          <w:cols w:equalWidth="0" w:num="1">
            <w:col w:w="9080"/>
          </w:cols>
          <w:pgMar w:left="1420" w:top="105" w:right="1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Second Fiscal Quarter 2017 Financial Results Conference Call and Webcast</w:t>
      </w:r>
    </w:p>
    <w:p>
      <w:pPr>
        <w:spacing w:after="0" w:line="133"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Capital Southwest has scheduled a conference call on Tuesday, November 8, 2016, at 11:00 a.m. Eastern Time to discuss the first second quarter 2017 financial results. You may access the call by dialing 1-855-835-4076 and using the passcode 9960163 at least 10 minutes before the call. The call can also be accessed using the Investor Relations section of Capital Southwest's website at www.capitalsouthwest.com, or by using http://edge.media-server.com/m/p/kk87uia4</w:t>
      </w:r>
      <w:r>
        <w:rPr>
          <w:rFonts w:ascii="Arial" w:cs="Arial" w:eastAsia="Arial" w:hAnsi="Arial"/>
          <w:sz w:val="17"/>
          <w:szCs w:val="17"/>
          <w:color w:val="auto"/>
        </w:rPr>
        <w:t>.</w:t>
      </w:r>
    </w:p>
    <w:p>
      <w:pPr>
        <w:spacing w:after="0" w:line="62"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color w:val="auto"/>
        </w:rPr>
        <w:t>A telephonic replay will be available through November 15, 2016 by dialing 1-855-859-2056 and using the passcode 99960163. An audio archive of the conference call will also be available on the Investor Relations section of Capital Southwest’s website.</w:t>
      </w:r>
    </w:p>
    <w:p>
      <w:pPr>
        <w:spacing w:after="0" w:line="88"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For a more detailed discussion of the financial and other information included in this press release, please refer to the Capital Southwest Form 10-Q for the period ended September 30, 2016 to be filed with the Securities and Exchange Commission and Capital Southwest’s First Fiscal Quarter 2017 Earnings Presentation to be posted on the Investor Relations section of Capital Southwest’s website at www.capitalsouthwest.com.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Capital Southwest</w:t>
      </w:r>
    </w:p>
    <w:p>
      <w:pPr>
        <w:spacing w:after="0" w:line="107"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Capital Southwest Corporation (Nasdaq: CSWC) is a Dallas, Texas-based publicly traded business development company, with approximately $278.9 million in net assets as of September 30, 2016. On September 30, 2015, Capital Southwest completed the spin-off to shareholders of its industrial businesses, CSW Industrials, Inc. Capital Southwest is a middle market lending firm focused on supporting the acquisition and growth of middle market businesses with $5 to $20 million investments across the capital structure, including first lien, unitranche, second lien and subordinated debt, as well as non-control equity co-investments. Since Capital Southwest's formation in 1961, it has always sought to invest in companies with strong management teams and sound financial performance. As a public company with a permanent capital base, Capital Southwest is fortunate to have the flexibility to be creative in its financing solutions and to invest to support the growth of its portfolio companies over long periods of time.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2"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This press release contains historical information and forward-looking statements within the meaning of The Private Securities Litigation Reform Act of 1995 with respect to the business and investments of Capital Southwest. 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Capital Southwest invests, changes in the financial and lending markets and general economic and business conditions.</w:t>
      </w:r>
    </w:p>
    <w:p>
      <w:pPr>
        <w:spacing w:after="0" w:line="158"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Readers should not place undue reliance on any forward-looking statements and are encouraged to review Capital Southwest's Annual Report on Form 10-K for the year ended March 31, 2016 and subsequent fillings with the Securities and Exchange Commission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576072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15875"/>
                    </a:xfrm>
                    <a:prstGeom prst="rect">
                      <a:avLst/>
                    </a:prstGeom>
                    <a:noFill/>
                  </pic:spPr>
                </pic:pic>
              </a:graphicData>
            </a:graphic>
          </wp:anchor>
        </w:drawing>
      </w:r>
    </w:p>
    <w:p>
      <w:pPr>
        <w:sectPr>
          <w:pgSz w:w="11900" w:h="16838" w:orient="portrait"/>
          <w:cols w:equalWidth="0" w:num="1">
            <w:col w:w="9140"/>
          </w:cols>
          <w:pgMar w:left="1420" w:top="118" w:right="1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Relations Contacts: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Michael S. Sarner,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214-884-3829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57607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15875"/>
                    </a:xfrm>
                    <a:prstGeom prst="rect">
                      <a:avLst/>
                    </a:prstGeom>
                    <a:noFill/>
                  </pic:spPr>
                </pic:pic>
              </a:graphicData>
            </a:graphic>
          </wp:anchor>
        </w:drawing>
      </w:r>
    </w:p>
    <w:p>
      <w:pPr>
        <w:sectPr>
          <w:pgSz w:w="11900" w:h="16838" w:orient="portrait"/>
          <w:cols w:equalWidth="0" w:num="1">
            <w:col w:w="9039"/>
          </w:cols>
          <w:pgMar w:left="1420" w:top="317" w:right="1440" w:bottom="1440" w:gutter="0" w:footer="0" w:header="0"/>
        </w:sectPr>
      </w:pPr>
    </w:p>
    <w:bookmarkStart w:id="8" w:name="page9"/>
    <w:bookmarkEnd w:id="8"/>
    <w:p>
      <w:pPr>
        <w:ind w:left="8980"/>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160655</wp:posOffset>
            </wp:positionV>
            <wp:extent cx="6769100" cy="540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0" w:num="1">
            <w:col w:w="9840"/>
          </w:cols>
          <w:pgMar w:left="1440" w:top="123" w:right="6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112395</wp:posOffset>
            </wp:positionV>
            <wp:extent cx="6769100" cy="540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112395</wp:posOffset>
            </wp:positionV>
            <wp:extent cx="6769100" cy="5414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9100" cy="5414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40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69100"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396240</wp:posOffset>
            </wp:positionH>
            <wp:positionV relativeFrom="page">
              <wp:posOffset>88900</wp:posOffset>
            </wp:positionV>
            <wp:extent cx="6769100" cy="5280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9100" cy="5280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ü"/>
      <w:numFmt w:val="bullet"/>
      <w:start w:val="1"/>
    </w:lvl>
    <w:lvl w:ilvl="1">
      <w:lvlJc w:val="left"/>
      <w:lvlText w:val="o"/>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2019-12-05T02:30:08Z</dcterms:created>
  <dcterms:modified xsi:type="dcterms:W3CDTF">2019-12-05T02:30:08Z</dcterms:modified>
</cp:coreProperties>
</file>